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10.xml" ContentType="application/vnd.openxmlformats-officedocument.wordprocessingml.footer+xml"/>
  <Override PartName="/word/footer100.xml" ContentType="application/vnd.openxmlformats-officedocument.wordprocessingml.footer+xml"/>
  <Override PartName="/word/footer101.xml" ContentType="application/vnd.openxmlformats-officedocument.wordprocessingml.footer+xml"/>
  <Override PartName="/word/footer102.xml" ContentType="application/vnd.openxmlformats-officedocument.wordprocessingml.footer+xml"/>
  <Override PartName="/word/footer103.xml" ContentType="application/vnd.openxmlformats-officedocument.wordprocessingml.footer+xml"/>
  <Override PartName="/word/footer104.xml" ContentType="application/vnd.openxmlformats-officedocument.wordprocessingml.footer+xml"/>
  <Override PartName="/word/footer105.xml" ContentType="application/vnd.openxmlformats-officedocument.wordprocessingml.footer+xml"/>
  <Override PartName="/word/footer106.xml" ContentType="application/vnd.openxmlformats-officedocument.wordprocessingml.footer+xml"/>
  <Override PartName="/word/footer107.xml" ContentType="application/vnd.openxmlformats-officedocument.wordprocessingml.footer+xml"/>
  <Override PartName="/word/footer108.xml" ContentType="application/vnd.openxmlformats-officedocument.wordprocessingml.footer+xml"/>
  <Override PartName="/word/footer109.xml" ContentType="application/vnd.openxmlformats-officedocument.wordprocessingml.footer+xml"/>
  <Override PartName="/word/footer11.xml" ContentType="application/vnd.openxmlformats-officedocument.wordprocessingml.footer+xml"/>
  <Override PartName="/word/footer110.xml" ContentType="application/vnd.openxmlformats-officedocument.wordprocessingml.footer+xml"/>
  <Override PartName="/word/footer111.xml" ContentType="application/vnd.openxmlformats-officedocument.wordprocessingml.footer+xml"/>
  <Override PartName="/word/footer112.xml" ContentType="application/vnd.openxmlformats-officedocument.wordprocessingml.footer+xml"/>
  <Override PartName="/word/footer113.xml" ContentType="application/vnd.openxmlformats-officedocument.wordprocessingml.footer+xml"/>
  <Override PartName="/word/footer114.xml" ContentType="application/vnd.openxmlformats-officedocument.wordprocessingml.footer+xml"/>
  <Override PartName="/word/footer115.xml" ContentType="application/vnd.openxmlformats-officedocument.wordprocessingml.footer+xml"/>
  <Override PartName="/word/footer116.xml" ContentType="application/vnd.openxmlformats-officedocument.wordprocessingml.footer+xml"/>
  <Override PartName="/word/footer117.xml" ContentType="application/vnd.openxmlformats-officedocument.wordprocessingml.footer+xml"/>
  <Override PartName="/word/footer118.xml" ContentType="application/vnd.openxmlformats-officedocument.wordprocessingml.footer+xml"/>
  <Override PartName="/word/footer119.xml" ContentType="application/vnd.openxmlformats-officedocument.wordprocessingml.footer+xml"/>
  <Override PartName="/word/footer12.xml" ContentType="application/vnd.openxmlformats-officedocument.wordprocessingml.footer+xml"/>
  <Override PartName="/word/footer120.xml" ContentType="application/vnd.openxmlformats-officedocument.wordprocessingml.footer+xml"/>
  <Override PartName="/word/footer121.xml" ContentType="application/vnd.openxmlformats-officedocument.wordprocessingml.footer+xml"/>
  <Override PartName="/word/footer122.xml" ContentType="application/vnd.openxmlformats-officedocument.wordprocessingml.footer+xml"/>
  <Override PartName="/word/footer123.xml" ContentType="application/vnd.openxmlformats-officedocument.wordprocessingml.footer+xml"/>
  <Override PartName="/word/footer124.xml" ContentType="application/vnd.openxmlformats-officedocument.wordprocessingml.footer+xml"/>
  <Override PartName="/word/footer125.xml" ContentType="application/vnd.openxmlformats-officedocument.wordprocessingml.footer+xml"/>
  <Override PartName="/word/footer126.xml" ContentType="application/vnd.openxmlformats-officedocument.wordprocessingml.footer+xml"/>
  <Override PartName="/word/footer127.xml" ContentType="application/vnd.openxmlformats-officedocument.wordprocessingml.footer+xml"/>
  <Override PartName="/word/footer128.xml" ContentType="application/vnd.openxmlformats-officedocument.wordprocessingml.footer+xml"/>
  <Override PartName="/word/footer129.xml" ContentType="application/vnd.openxmlformats-officedocument.wordprocessingml.footer+xml"/>
  <Override PartName="/word/footer13.xml" ContentType="application/vnd.openxmlformats-officedocument.wordprocessingml.footer+xml"/>
  <Override PartName="/word/footer130.xml" ContentType="application/vnd.openxmlformats-officedocument.wordprocessingml.footer+xml"/>
  <Override PartName="/word/footer131.xml" ContentType="application/vnd.openxmlformats-officedocument.wordprocessingml.footer+xml"/>
  <Override PartName="/word/footer132.xml" ContentType="application/vnd.openxmlformats-officedocument.wordprocessingml.footer+xml"/>
  <Override PartName="/word/footer133.xml" ContentType="application/vnd.openxmlformats-officedocument.wordprocessingml.footer+xml"/>
  <Override PartName="/word/footer134.xml" ContentType="application/vnd.openxmlformats-officedocument.wordprocessingml.footer+xml"/>
  <Override PartName="/word/footer135.xml" ContentType="application/vnd.openxmlformats-officedocument.wordprocessingml.footer+xml"/>
  <Override PartName="/word/footer136.xml" ContentType="application/vnd.openxmlformats-officedocument.wordprocessingml.footer+xml"/>
  <Override PartName="/word/footer137.xml" ContentType="application/vnd.openxmlformats-officedocument.wordprocessingml.footer+xml"/>
  <Override PartName="/word/footer138.xml" ContentType="application/vnd.openxmlformats-officedocument.wordprocessingml.footer+xml"/>
  <Override PartName="/word/footer139.xml" ContentType="application/vnd.openxmlformats-officedocument.wordprocessingml.footer+xml"/>
  <Override PartName="/word/footer14.xml" ContentType="application/vnd.openxmlformats-officedocument.wordprocessingml.footer+xml"/>
  <Override PartName="/word/footer140.xml" ContentType="application/vnd.openxmlformats-officedocument.wordprocessingml.footer+xml"/>
  <Override PartName="/word/footer141.xml" ContentType="application/vnd.openxmlformats-officedocument.wordprocessingml.footer+xml"/>
  <Override PartName="/word/footer142.xml" ContentType="application/vnd.openxmlformats-officedocument.wordprocessingml.footer+xml"/>
  <Override PartName="/word/footer143.xml" ContentType="application/vnd.openxmlformats-officedocument.wordprocessingml.footer+xml"/>
  <Override PartName="/word/footer144.xml" ContentType="application/vnd.openxmlformats-officedocument.wordprocessingml.footer+xml"/>
  <Override PartName="/word/footer145.xml" ContentType="application/vnd.openxmlformats-officedocument.wordprocessingml.footer+xml"/>
  <Override PartName="/word/footer146.xml" ContentType="application/vnd.openxmlformats-officedocument.wordprocessingml.footer+xml"/>
  <Override PartName="/word/footer147.xml" ContentType="application/vnd.openxmlformats-officedocument.wordprocessingml.footer+xml"/>
  <Override PartName="/word/footer148.xml" ContentType="application/vnd.openxmlformats-officedocument.wordprocessingml.footer+xml"/>
  <Override PartName="/word/footer149.xml" ContentType="application/vnd.openxmlformats-officedocument.wordprocessingml.footer+xml"/>
  <Override PartName="/word/footer15.xml" ContentType="application/vnd.openxmlformats-officedocument.wordprocessingml.footer+xml"/>
  <Override PartName="/word/footer150.xml" ContentType="application/vnd.openxmlformats-officedocument.wordprocessingml.footer+xml"/>
  <Override PartName="/word/footer16.xml" ContentType="application/vnd.openxmlformats-officedocument.wordprocessingml.footer+xml"/>
  <Override PartName="/word/footer17.xml" ContentType="application/vnd.openxmlformats-officedocument.wordprocessingml.footer+xml"/>
  <Override PartName="/word/footer18.xml" ContentType="application/vnd.openxmlformats-officedocument.wordprocessingml.footer+xml"/>
  <Override PartName="/word/footer19.xml" ContentType="application/vnd.openxmlformats-officedocument.wordprocessingml.footer+xml"/>
  <Override PartName="/word/footer2.xml" ContentType="application/vnd.openxmlformats-officedocument.wordprocessingml.footer+xml"/>
  <Override PartName="/word/footer20.xml" ContentType="application/vnd.openxmlformats-officedocument.wordprocessingml.footer+xml"/>
  <Override PartName="/word/footer21.xml" ContentType="application/vnd.openxmlformats-officedocument.wordprocessingml.footer+xml"/>
  <Override PartName="/word/footer22.xml" ContentType="application/vnd.openxmlformats-officedocument.wordprocessingml.footer+xml"/>
  <Override PartName="/word/footer23.xml" ContentType="application/vnd.openxmlformats-officedocument.wordprocessingml.footer+xml"/>
  <Override PartName="/word/footer24.xml" ContentType="application/vnd.openxmlformats-officedocument.wordprocessingml.footer+xml"/>
  <Override PartName="/word/footer25.xml" ContentType="application/vnd.openxmlformats-officedocument.wordprocessingml.footer+xml"/>
  <Override PartName="/word/footer26.xml" ContentType="application/vnd.openxmlformats-officedocument.wordprocessingml.footer+xml"/>
  <Override PartName="/word/footer27.xml" ContentType="application/vnd.openxmlformats-officedocument.wordprocessingml.footer+xml"/>
  <Override PartName="/word/footer28.xml" ContentType="application/vnd.openxmlformats-officedocument.wordprocessingml.footer+xml"/>
  <Override PartName="/word/footer29.xml" ContentType="application/vnd.openxmlformats-officedocument.wordprocessingml.footer+xml"/>
  <Override PartName="/word/footer3.xml" ContentType="application/vnd.openxmlformats-officedocument.wordprocessingml.footer+xml"/>
  <Override PartName="/word/footer30.xml" ContentType="application/vnd.openxmlformats-officedocument.wordprocessingml.footer+xml"/>
  <Override PartName="/word/footer31.xml" ContentType="application/vnd.openxmlformats-officedocument.wordprocessingml.footer+xml"/>
  <Override PartName="/word/footer32.xml" ContentType="application/vnd.openxmlformats-officedocument.wordprocessingml.footer+xml"/>
  <Override PartName="/word/footer33.xml" ContentType="application/vnd.openxmlformats-officedocument.wordprocessingml.footer+xml"/>
  <Override PartName="/word/footer34.xml" ContentType="application/vnd.openxmlformats-officedocument.wordprocessingml.footer+xml"/>
  <Override PartName="/word/footer35.xml" ContentType="application/vnd.openxmlformats-officedocument.wordprocessingml.footer+xml"/>
  <Override PartName="/word/footer36.xml" ContentType="application/vnd.openxmlformats-officedocument.wordprocessingml.footer+xml"/>
  <Override PartName="/word/footer37.xml" ContentType="application/vnd.openxmlformats-officedocument.wordprocessingml.footer+xml"/>
  <Override PartName="/word/footer38.xml" ContentType="application/vnd.openxmlformats-officedocument.wordprocessingml.footer+xml"/>
  <Override PartName="/word/footer39.xml" ContentType="application/vnd.openxmlformats-officedocument.wordprocessingml.footer+xml"/>
  <Override PartName="/word/footer4.xml" ContentType="application/vnd.openxmlformats-officedocument.wordprocessingml.footer+xml"/>
  <Override PartName="/word/footer40.xml" ContentType="application/vnd.openxmlformats-officedocument.wordprocessingml.footer+xml"/>
  <Override PartName="/word/footer41.xml" ContentType="application/vnd.openxmlformats-officedocument.wordprocessingml.footer+xml"/>
  <Override PartName="/word/footer42.xml" ContentType="application/vnd.openxmlformats-officedocument.wordprocessingml.footer+xml"/>
  <Override PartName="/word/footer43.xml" ContentType="application/vnd.openxmlformats-officedocument.wordprocessingml.footer+xml"/>
  <Override PartName="/word/footer44.xml" ContentType="application/vnd.openxmlformats-officedocument.wordprocessingml.footer+xml"/>
  <Override PartName="/word/footer45.xml" ContentType="application/vnd.openxmlformats-officedocument.wordprocessingml.footer+xml"/>
  <Override PartName="/word/footer46.xml" ContentType="application/vnd.openxmlformats-officedocument.wordprocessingml.footer+xml"/>
  <Override PartName="/word/footer47.xml" ContentType="application/vnd.openxmlformats-officedocument.wordprocessingml.footer+xml"/>
  <Override PartName="/word/footer48.xml" ContentType="application/vnd.openxmlformats-officedocument.wordprocessingml.footer+xml"/>
  <Override PartName="/word/footer49.xml" ContentType="application/vnd.openxmlformats-officedocument.wordprocessingml.footer+xml"/>
  <Override PartName="/word/footer5.xml" ContentType="application/vnd.openxmlformats-officedocument.wordprocessingml.footer+xml"/>
  <Override PartName="/word/footer50.xml" ContentType="application/vnd.openxmlformats-officedocument.wordprocessingml.footer+xml"/>
  <Override PartName="/word/footer51.xml" ContentType="application/vnd.openxmlformats-officedocument.wordprocessingml.footer+xml"/>
  <Override PartName="/word/footer52.xml" ContentType="application/vnd.openxmlformats-officedocument.wordprocessingml.footer+xml"/>
  <Override PartName="/word/footer53.xml" ContentType="application/vnd.openxmlformats-officedocument.wordprocessingml.footer+xml"/>
  <Override PartName="/word/footer54.xml" ContentType="application/vnd.openxmlformats-officedocument.wordprocessingml.footer+xml"/>
  <Override PartName="/word/footer55.xml" ContentType="application/vnd.openxmlformats-officedocument.wordprocessingml.footer+xml"/>
  <Override PartName="/word/footer56.xml" ContentType="application/vnd.openxmlformats-officedocument.wordprocessingml.footer+xml"/>
  <Override PartName="/word/footer57.xml" ContentType="application/vnd.openxmlformats-officedocument.wordprocessingml.footer+xml"/>
  <Override PartName="/word/footer58.xml" ContentType="application/vnd.openxmlformats-officedocument.wordprocessingml.footer+xml"/>
  <Override PartName="/word/footer59.xml" ContentType="application/vnd.openxmlformats-officedocument.wordprocessingml.footer+xml"/>
  <Override PartName="/word/footer6.xml" ContentType="application/vnd.openxmlformats-officedocument.wordprocessingml.footer+xml"/>
  <Override PartName="/word/footer60.xml" ContentType="application/vnd.openxmlformats-officedocument.wordprocessingml.footer+xml"/>
  <Override PartName="/word/footer61.xml" ContentType="application/vnd.openxmlformats-officedocument.wordprocessingml.footer+xml"/>
  <Override PartName="/word/footer62.xml" ContentType="application/vnd.openxmlformats-officedocument.wordprocessingml.footer+xml"/>
  <Override PartName="/word/footer63.xml" ContentType="application/vnd.openxmlformats-officedocument.wordprocessingml.footer+xml"/>
  <Override PartName="/word/footer64.xml" ContentType="application/vnd.openxmlformats-officedocument.wordprocessingml.footer+xml"/>
  <Override PartName="/word/footer65.xml" ContentType="application/vnd.openxmlformats-officedocument.wordprocessingml.footer+xml"/>
  <Override PartName="/word/footer66.xml" ContentType="application/vnd.openxmlformats-officedocument.wordprocessingml.footer+xml"/>
  <Override PartName="/word/footer67.xml" ContentType="application/vnd.openxmlformats-officedocument.wordprocessingml.footer+xml"/>
  <Override PartName="/word/footer68.xml" ContentType="application/vnd.openxmlformats-officedocument.wordprocessingml.footer+xml"/>
  <Override PartName="/word/footer69.xml" ContentType="application/vnd.openxmlformats-officedocument.wordprocessingml.footer+xml"/>
  <Override PartName="/word/footer7.xml" ContentType="application/vnd.openxmlformats-officedocument.wordprocessingml.footer+xml"/>
  <Override PartName="/word/footer70.xml" ContentType="application/vnd.openxmlformats-officedocument.wordprocessingml.footer+xml"/>
  <Override PartName="/word/footer71.xml" ContentType="application/vnd.openxmlformats-officedocument.wordprocessingml.footer+xml"/>
  <Override PartName="/word/footer72.xml" ContentType="application/vnd.openxmlformats-officedocument.wordprocessingml.footer+xml"/>
  <Override PartName="/word/footer73.xml" ContentType="application/vnd.openxmlformats-officedocument.wordprocessingml.footer+xml"/>
  <Override PartName="/word/footer74.xml" ContentType="application/vnd.openxmlformats-officedocument.wordprocessingml.footer+xml"/>
  <Override PartName="/word/footer75.xml" ContentType="application/vnd.openxmlformats-officedocument.wordprocessingml.footer+xml"/>
  <Override PartName="/word/footer76.xml" ContentType="application/vnd.openxmlformats-officedocument.wordprocessingml.footer+xml"/>
  <Override PartName="/word/footer77.xml" ContentType="application/vnd.openxmlformats-officedocument.wordprocessingml.footer+xml"/>
  <Override PartName="/word/footer78.xml" ContentType="application/vnd.openxmlformats-officedocument.wordprocessingml.footer+xml"/>
  <Override PartName="/word/footer79.xml" ContentType="application/vnd.openxmlformats-officedocument.wordprocessingml.footer+xml"/>
  <Override PartName="/word/footer8.xml" ContentType="application/vnd.openxmlformats-officedocument.wordprocessingml.footer+xml"/>
  <Override PartName="/word/footer80.xml" ContentType="application/vnd.openxmlformats-officedocument.wordprocessingml.footer+xml"/>
  <Override PartName="/word/footer81.xml" ContentType="application/vnd.openxmlformats-officedocument.wordprocessingml.footer+xml"/>
  <Override PartName="/word/footer82.xml" ContentType="application/vnd.openxmlformats-officedocument.wordprocessingml.footer+xml"/>
  <Override PartName="/word/footer83.xml" ContentType="application/vnd.openxmlformats-officedocument.wordprocessingml.footer+xml"/>
  <Override PartName="/word/footer84.xml" ContentType="application/vnd.openxmlformats-officedocument.wordprocessingml.footer+xml"/>
  <Override PartName="/word/footer85.xml" ContentType="application/vnd.openxmlformats-officedocument.wordprocessingml.footer+xml"/>
  <Override PartName="/word/footer86.xml" ContentType="application/vnd.openxmlformats-officedocument.wordprocessingml.footer+xml"/>
  <Override PartName="/word/footer87.xml" ContentType="application/vnd.openxmlformats-officedocument.wordprocessingml.footer+xml"/>
  <Override PartName="/word/footer88.xml" ContentType="application/vnd.openxmlformats-officedocument.wordprocessingml.footer+xml"/>
  <Override PartName="/word/footer89.xml" ContentType="application/vnd.openxmlformats-officedocument.wordprocessingml.footer+xml"/>
  <Override PartName="/word/footer9.xml" ContentType="application/vnd.openxmlformats-officedocument.wordprocessingml.footer+xml"/>
  <Override PartName="/word/footer90.xml" ContentType="application/vnd.openxmlformats-officedocument.wordprocessingml.footer+xml"/>
  <Override PartName="/word/footer91.xml" ContentType="application/vnd.openxmlformats-officedocument.wordprocessingml.footer+xml"/>
  <Override PartName="/word/footer92.xml" ContentType="application/vnd.openxmlformats-officedocument.wordprocessingml.footer+xml"/>
  <Override PartName="/word/footer93.xml" ContentType="application/vnd.openxmlformats-officedocument.wordprocessingml.footer+xml"/>
  <Override PartName="/word/footer94.xml" ContentType="application/vnd.openxmlformats-officedocument.wordprocessingml.footer+xml"/>
  <Override PartName="/word/footer95.xml" ContentType="application/vnd.openxmlformats-officedocument.wordprocessingml.footer+xml"/>
  <Override PartName="/word/footer96.xml" ContentType="application/vnd.openxmlformats-officedocument.wordprocessingml.footer+xml"/>
  <Override PartName="/word/footer97.xml" ContentType="application/vnd.openxmlformats-officedocument.wordprocessingml.footer+xml"/>
  <Override PartName="/word/footer98.xml" ContentType="application/vnd.openxmlformats-officedocument.wordprocessingml.footer+xml"/>
  <Override PartName="/word/footer99.xml" ContentType="application/vnd.openxmlformats-officedocument.wordprocessingml.footer+xml"/>
  <Override PartName="/word/header1.xml" ContentType="application/vnd.openxmlformats-officedocument.wordprocessingml.header+xml"/>
  <Override PartName="/word/header10.xml" ContentType="application/vnd.openxmlformats-officedocument.wordprocessingml.header+xml"/>
  <Override PartName="/word/header100.xml" ContentType="application/vnd.openxmlformats-officedocument.wordprocessingml.header+xml"/>
  <Override PartName="/word/header101.xml" ContentType="application/vnd.openxmlformats-officedocument.wordprocessingml.header+xml"/>
  <Override PartName="/word/header102.xml" ContentType="application/vnd.openxmlformats-officedocument.wordprocessingml.header+xml"/>
  <Override PartName="/word/header103.xml" ContentType="application/vnd.openxmlformats-officedocument.wordprocessingml.header+xml"/>
  <Override PartName="/word/header104.xml" ContentType="application/vnd.openxmlformats-officedocument.wordprocessingml.header+xml"/>
  <Override PartName="/word/header105.xml" ContentType="application/vnd.openxmlformats-officedocument.wordprocessingml.header+xml"/>
  <Override PartName="/word/header106.xml" ContentType="application/vnd.openxmlformats-officedocument.wordprocessingml.header+xml"/>
  <Override PartName="/word/header107.xml" ContentType="application/vnd.openxmlformats-officedocument.wordprocessingml.header+xml"/>
  <Override PartName="/word/header108.xml" ContentType="application/vnd.openxmlformats-officedocument.wordprocessingml.header+xml"/>
  <Override PartName="/word/header109.xml" ContentType="application/vnd.openxmlformats-officedocument.wordprocessingml.header+xml"/>
  <Override PartName="/word/header11.xml" ContentType="application/vnd.openxmlformats-officedocument.wordprocessingml.header+xml"/>
  <Override PartName="/word/header110.xml" ContentType="application/vnd.openxmlformats-officedocument.wordprocessingml.header+xml"/>
  <Override PartName="/word/header111.xml" ContentType="application/vnd.openxmlformats-officedocument.wordprocessingml.header+xml"/>
  <Override PartName="/word/header112.xml" ContentType="application/vnd.openxmlformats-officedocument.wordprocessingml.header+xml"/>
  <Override PartName="/word/header113.xml" ContentType="application/vnd.openxmlformats-officedocument.wordprocessingml.header+xml"/>
  <Override PartName="/word/header114.xml" ContentType="application/vnd.openxmlformats-officedocument.wordprocessingml.header+xml"/>
  <Override PartName="/word/header115.xml" ContentType="application/vnd.openxmlformats-officedocument.wordprocessingml.header+xml"/>
  <Override PartName="/word/header116.xml" ContentType="application/vnd.openxmlformats-officedocument.wordprocessingml.header+xml"/>
  <Override PartName="/word/header117.xml" ContentType="application/vnd.openxmlformats-officedocument.wordprocessingml.header+xml"/>
  <Override PartName="/word/header118.xml" ContentType="application/vnd.openxmlformats-officedocument.wordprocessingml.header+xml"/>
  <Override PartName="/word/header119.xml" ContentType="application/vnd.openxmlformats-officedocument.wordprocessingml.header+xml"/>
  <Override PartName="/word/header12.xml" ContentType="application/vnd.openxmlformats-officedocument.wordprocessingml.header+xml"/>
  <Override PartName="/word/header120.xml" ContentType="application/vnd.openxmlformats-officedocument.wordprocessingml.header+xml"/>
  <Override PartName="/word/header121.xml" ContentType="application/vnd.openxmlformats-officedocument.wordprocessingml.header+xml"/>
  <Override PartName="/word/header122.xml" ContentType="application/vnd.openxmlformats-officedocument.wordprocessingml.header+xml"/>
  <Override PartName="/word/header123.xml" ContentType="application/vnd.openxmlformats-officedocument.wordprocessingml.header+xml"/>
  <Override PartName="/word/header124.xml" ContentType="application/vnd.openxmlformats-officedocument.wordprocessingml.header+xml"/>
  <Override PartName="/word/header125.xml" ContentType="application/vnd.openxmlformats-officedocument.wordprocessingml.header+xml"/>
  <Override PartName="/word/header126.xml" ContentType="application/vnd.openxmlformats-officedocument.wordprocessingml.header+xml"/>
  <Override PartName="/word/header127.xml" ContentType="application/vnd.openxmlformats-officedocument.wordprocessingml.header+xml"/>
  <Override PartName="/word/header128.xml" ContentType="application/vnd.openxmlformats-officedocument.wordprocessingml.header+xml"/>
  <Override PartName="/word/header129.xml" ContentType="application/vnd.openxmlformats-officedocument.wordprocessingml.header+xml"/>
  <Override PartName="/word/header13.xml" ContentType="application/vnd.openxmlformats-officedocument.wordprocessingml.header+xml"/>
  <Override PartName="/word/header130.xml" ContentType="application/vnd.openxmlformats-officedocument.wordprocessingml.header+xml"/>
  <Override PartName="/word/header131.xml" ContentType="application/vnd.openxmlformats-officedocument.wordprocessingml.header+xml"/>
  <Override PartName="/word/header132.xml" ContentType="application/vnd.openxmlformats-officedocument.wordprocessingml.header+xml"/>
  <Override PartName="/word/header133.xml" ContentType="application/vnd.openxmlformats-officedocument.wordprocessingml.header+xml"/>
  <Override PartName="/word/header134.xml" ContentType="application/vnd.openxmlformats-officedocument.wordprocessingml.header+xml"/>
  <Override PartName="/word/header135.xml" ContentType="application/vnd.openxmlformats-officedocument.wordprocessingml.header+xml"/>
  <Override PartName="/word/header136.xml" ContentType="application/vnd.openxmlformats-officedocument.wordprocessingml.header+xml"/>
  <Override PartName="/word/header137.xml" ContentType="application/vnd.openxmlformats-officedocument.wordprocessingml.header+xml"/>
  <Override PartName="/word/header138.xml" ContentType="application/vnd.openxmlformats-officedocument.wordprocessingml.header+xml"/>
  <Override PartName="/word/header139.xml" ContentType="application/vnd.openxmlformats-officedocument.wordprocessingml.header+xml"/>
  <Override PartName="/word/header14.xml" ContentType="application/vnd.openxmlformats-officedocument.wordprocessingml.header+xml"/>
  <Override PartName="/word/header140.xml" ContentType="application/vnd.openxmlformats-officedocument.wordprocessingml.header+xml"/>
  <Override PartName="/word/header141.xml" ContentType="application/vnd.openxmlformats-officedocument.wordprocessingml.header+xml"/>
  <Override PartName="/word/header142.xml" ContentType="application/vnd.openxmlformats-officedocument.wordprocessingml.header+xml"/>
  <Override PartName="/word/header143.xml" ContentType="application/vnd.openxmlformats-officedocument.wordprocessingml.header+xml"/>
  <Override PartName="/word/header144.xml" ContentType="application/vnd.openxmlformats-officedocument.wordprocessingml.header+xml"/>
  <Override PartName="/word/header145.xml" ContentType="application/vnd.openxmlformats-officedocument.wordprocessingml.header+xml"/>
  <Override PartName="/word/header146.xml" ContentType="application/vnd.openxmlformats-officedocument.wordprocessingml.header+xml"/>
  <Override PartName="/word/header147.xml" ContentType="application/vnd.openxmlformats-officedocument.wordprocessingml.header+xml"/>
  <Override PartName="/word/header148.xml" ContentType="application/vnd.openxmlformats-officedocument.wordprocessingml.header+xml"/>
  <Override PartName="/word/header149.xml" ContentType="application/vnd.openxmlformats-officedocument.wordprocessingml.header+xml"/>
  <Override PartName="/word/header15.xml" ContentType="application/vnd.openxmlformats-officedocument.wordprocessingml.header+xml"/>
  <Override PartName="/word/header150.xml" ContentType="application/vnd.openxmlformats-officedocument.wordprocessingml.header+xml"/>
  <Override PartName="/word/header16.xml" ContentType="application/vnd.openxmlformats-officedocument.wordprocessingml.header+xml"/>
  <Override PartName="/word/header17.xml" ContentType="application/vnd.openxmlformats-officedocument.wordprocessingml.header+xml"/>
  <Override PartName="/word/header18.xml" ContentType="application/vnd.openxmlformats-officedocument.wordprocessingml.header+xml"/>
  <Override PartName="/word/header19.xml" ContentType="application/vnd.openxmlformats-officedocument.wordprocessingml.header+xml"/>
  <Override PartName="/word/header2.xml" ContentType="application/vnd.openxmlformats-officedocument.wordprocessingml.header+xml"/>
  <Override PartName="/word/header20.xml" ContentType="application/vnd.openxmlformats-officedocument.wordprocessingml.header+xml"/>
  <Override PartName="/word/header21.xml" ContentType="application/vnd.openxmlformats-officedocument.wordprocessingml.header+xml"/>
  <Override PartName="/word/header22.xml" ContentType="application/vnd.openxmlformats-officedocument.wordprocessingml.header+xml"/>
  <Override PartName="/word/header23.xml" ContentType="application/vnd.openxmlformats-officedocument.wordprocessingml.header+xml"/>
  <Override PartName="/word/header24.xml" ContentType="application/vnd.openxmlformats-officedocument.wordprocessingml.header+xml"/>
  <Override PartName="/word/header25.xml" ContentType="application/vnd.openxmlformats-officedocument.wordprocessingml.header+xml"/>
  <Override PartName="/word/header26.xml" ContentType="application/vnd.openxmlformats-officedocument.wordprocessingml.header+xml"/>
  <Override PartName="/word/header27.xml" ContentType="application/vnd.openxmlformats-officedocument.wordprocessingml.header+xml"/>
  <Override PartName="/word/header28.xml" ContentType="application/vnd.openxmlformats-officedocument.wordprocessingml.header+xml"/>
  <Override PartName="/word/header29.xml" ContentType="application/vnd.openxmlformats-officedocument.wordprocessingml.header+xml"/>
  <Override PartName="/word/header3.xml" ContentType="application/vnd.openxmlformats-officedocument.wordprocessingml.header+xml"/>
  <Override PartName="/word/header30.xml" ContentType="application/vnd.openxmlformats-officedocument.wordprocessingml.header+xml"/>
  <Override PartName="/word/header31.xml" ContentType="application/vnd.openxmlformats-officedocument.wordprocessingml.header+xml"/>
  <Override PartName="/word/header32.xml" ContentType="application/vnd.openxmlformats-officedocument.wordprocessingml.header+xml"/>
  <Override PartName="/word/header33.xml" ContentType="application/vnd.openxmlformats-officedocument.wordprocessingml.header+xml"/>
  <Override PartName="/word/header34.xml" ContentType="application/vnd.openxmlformats-officedocument.wordprocessingml.header+xml"/>
  <Override PartName="/word/header35.xml" ContentType="application/vnd.openxmlformats-officedocument.wordprocessingml.header+xml"/>
  <Override PartName="/word/header36.xml" ContentType="application/vnd.openxmlformats-officedocument.wordprocessingml.header+xml"/>
  <Override PartName="/word/header37.xml" ContentType="application/vnd.openxmlformats-officedocument.wordprocessingml.header+xml"/>
  <Override PartName="/word/header38.xml" ContentType="application/vnd.openxmlformats-officedocument.wordprocessingml.header+xml"/>
  <Override PartName="/word/header39.xml" ContentType="application/vnd.openxmlformats-officedocument.wordprocessingml.header+xml"/>
  <Override PartName="/word/header4.xml" ContentType="application/vnd.openxmlformats-officedocument.wordprocessingml.header+xml"/>
  <Override PartName="/word/header40.xml" ContentType="application/vnd.openxmlformats-officedocument.wordprocessingml.header+xml"/>
  <Override PartName="/word/header41.xml" ContentType="application/vnd.openxmlformats-officedocument.wordprocessingml.header+xml"/>
  <Override PartName="/word/header42.xml" ContentType="application/vnd.openxmlformats-officedocument.wordprocessingml.header+xml"/>
  <Override PartName="/word/header43.xml" ContentType="application/vnd.openxmlformats-officedocument.wordprocessingml.header+xml"/>
  <Override PartName="/word/header44.xml" ContentType="application/vnd.openxmlformats-officedocument.wordprocessingml.header+xml"/>
  <Override PartName="/word/header45.xml" ContentType="application/vnd.openxmlformats-officedocument.wordprocessingml.header+xml"/>
  <Override PartName="/word/header46.xml" ContentType="application/vnd.openxmlformats-officedocument.wordprocessingml.header+xml"/>
  <Override PartName="/word/header47.xml" ContentType="application/vnd.openxmlformats-officedocument.wordprocessingml.header+xml"/>
  <Override PartName="/word/header48.xml" ContentType="application/vnd.openxmlformats-officedocument.wordprocessingml.header+xml"/>
  <Override PartName="/word/header49.xml" ContentType="application/vnd.openxmlformats-officedocument.wordprocessingml.header+xml"/>
  <Override PartName="/word/header5.xml" ContentType="application/vnd.openxmlformats-officedocument.wordprocessingml.header+xml"/>
  <Override PartName="/word/header50.xml" ContentType="application/vnd.openxmlformats-officedocument.wordprocessingml.header+xml"/>
  <Override PartName="/word/header51.xml" ContentType="application/vnd.openxmlformats-officedocument.wordprocessingml.header+xml"/>
  <Override PartName="/word/header52.xml" ContentType="application/vnd.openxmlformats-officedocument.wordprocessingml.header+xml"/>
  <Override PartName="/word/header53.xml" ContentType="application/vnd.openxmlformats-officedocument.wordprocessingml.header+xml"/>
  <Override PartName="/word/header54.xml" ContentType="application/vnd.openxmlformats-officedocument.wordprocessingml.header+xml"/>
  <Override PartName="/word/header55.xml" ContentType="application/vnd.openxmlformats-officedocument.wordprocessingml.header+xml"/>
  <Override PartName="/word/header56.xml" ContentType="application/vnd.openxmlformats-officedocument.wordprocessingml.header+xml"/>
  <Override PartName="/word/header57.xml" ContentType="application/vnd.openxmlformats-officedocument.wordprocessingml.header+xml"/>
  <Override PartName="/word/header58.xml" ContentType="application/vnd.openxmlformats-officedocument.wordprocessingml.header+xml"/>
  <Override PartName="/word/header59.xml" ContentType="application/vnd.openxmlformats-officedocument.wordprocessingml.header+xml"/>
  <Override PartName="/word/header6.xml" ContentType="application/vnd.openxmlformats-officedocument.wordprocessingml.header+xml"/>
  <Override PartName="/word/header60.xml" ContentType="application/vnd.openxmlformats-officedocument.wordprocessingml.header+xml"/>
  <Override PartName="/word/header61.xml" ContentType="application/vnd.openxmlformats-officedocument.wordprocessingml.header+xml"/>
  <Override PartName="/word/header62.xml" ContentType="application/vnd.openxmlformats-officedocument.wordprocessingml.header+xml"/>
  <Override PartName="/word/header63.xml" ContentType="application/vnd.openxmlformats-officedocument.wordprocessingml.header+xml"/>
  <Override PartName="/word/header64.xml" ContentType="application/vnd.openxmlformats-officedocument.wordprocessingml.header+xml"/>
  <Override PartName="/word/header65.xml" ContentType="application/vnd.openxmlformats-officedocument.wordprocessingml.header+xml"/>
  <Override PartName="/word/header66.xml" ContentType="application/vnd.openxmlformats-officedocument.wordprocessingml.header+xml"/>
  <Override PartName="/word/header67.xml" ContentType="application/vnd.openxmlformats-officedocument.wordprocessingml.header+xml"/>
  <Override PartName="/word/header68.xml" ContentType="application/vnd.openxmlformats-officedocument.wordprocessingml.header+xml"/>
  <Override PartName="/word/header69.xml" ContentType="application/vnd.openxmlformats-officedocument.wordprocessingml.header+xml"/>
  <Override PartName="/word/header7.xml" ContentType="application/vnd.openxmlformats-officedocument.wordprocessingml.header+xml"/>
  <Override PartName="/word/header70.xml" ContentType="application/vnd.openxmlformats-officedocument.wordprocessingml.header+xml"/>
  <Override PartName="/word/header71.xml" ContentType="application/vnd.openxmlformats-officedocument.wordprocessingml.header+xml"/>
  <Override PartName="/word/header72.xml" ContentType="application/vnd.openxmlformats-officedocument.wordprocessingml.header+xml"/>
  <Override PartName="/word/header73.xml" ContentType="application/vnd.openxmlformats-officedocument.wordprocessingml.header+xml"/>
  <Override PartName="/word/header74.xml" ContentType="application/vnd.openxmlformats-officedocument.wordprocessingml.header+xml"/>
  <Override PartName="/word/header75.xml" ContentType="application/vnd.openxmlformats-officedocument.wordprocessingml.header+xml"/>
  <Override PartName="/word/header76.xml" ContentType="application/vnd.openxmlformats-officedocument.wordprocessingml.header+xml"/>
  <Override PartName="/word/header77.xml" ContentType="application/vnd.openxmlformats-officedocument.wordprocessingml.header+xml"/>
  <Override PartName="/word/header78.xml" ContentType="application/vnd.openxmlformats-officedocument.wordprocessingml.header+xml"/>
  <Override PartName="/word/header79.xml" ContentType="application/vnd.openxmlformats-officedocument.wordprocessingml.header+xml"/>
  <Override PartName="/word/header8.xml" ContentType="application/vnd.openxmlformats-officedocument.wordprocessingml.header+xml"/>
  <Override PartName="/word/header80.xml" ContentType="application/vnd.openxmlformats-officedocument.wordprocessingml.header+xml"/>
  <Override PartName="/word/header81.xml" ContentType="application/vnd.openxmlformats-officedocument.wordprocessingml.header+xml"/>
  <Override PartName="/word/header82.xml" ContentType="application/vnd.openxmlformats-officedocument.wordprocessingml.header+xml"/>
  <Override PartName="/word/header83.xml" ContentType="application/vnd.openxmlformats-officedocument.wordprocessingml.header+xml"/>
  <Override PartName="/word/header84.xml" ContentType="application/vnd.openxmlformats-officedocument.wordprocessingml.header+xml"/>
  <Override PartName="/word/header85.xml" ContentType="application/vnd.openxmlformats-officedocument.wordprocessingml.header+xml"/>
  <Override PartName="/word/header86.xml" ContentType="application/vnd.openxmlformats-officedocument.wordprocessingml.header+xml"/>
  <Override PartName="/word/header87.xml" ContentType="application/vnd.openxmlformats-officedocument.wordprocessingml.header+xml"/>
  <Override PartName="/word/header88.xml" ContentType="application/vnd.openxmlformats-officedocument.wordprocessingml.header+xml"/>
  <Override PartName="/word/header89.xml" ContentType="application/vnd.openxmlformats-officedocument.wordprocessingml.header+xml"/>
  <Override PartName="/word/header9.xml" ContentType="application/vnd.openxmlformats-officedocument.wordprocessingml.header+xml"/>
  <Override PartName="/word/header90.xml" ContentType="application/vnd.openxmlformats-officedocument.wordprocessingml.header+xml"/>
  <Override PartName="/word/header91.xml" ContentType="application/vnd.openxmlformats-officedocument.wordprocessingml.header+xml"/>
  <Override PartName="/word/header92.xml" ContentType="application/vnd.openxmlformats-officedocument.wordprocessingml.header+xml"/>
  <Override PartName="/word/header93.xml" ContentType="application/vnd.openxmlformats-officedocument.wordprocessingml.header+xml"/>
  <Override PartName="/word/header94.xml" ContentType="application/vnd.openxmlformats-officedocument.wordprocessingml.header+xml"/>
  <Override PartName="/word/header95.xml" ContentType="application/vnd.openxmlformats-officedocument.wordprocessingml.header+xml"/>
  <Override PartName="/word/header96.xml" ContentType="application/vnd.openxmlformats-officedocument.wordprocessingml.header+xml"/>
  <Override PartName="/word/header97.xml" ContentType="application/vnd.openxmlformats-officedocument.wordprocessingml.header+xml"/>
  <Override PartName="/word/header98.xml" ContentType="application/vnd.openxmlformats-officedocument.wordprocessingml.header+xml"/>
  <Override PartName="/word/header99.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19.7 -->
  <w:body>
    <w:p>
      <w:pPr>
        <w:rPr>
          <w:rFonts w:ascii="arial" w:eastAsia="arial" w:hAnsi="arial" w:cs="arial"/>
          <w:sz w:val="20"/>
          <w:lang w:val="en-US" w:eastAsia="en-US" w:bidi="ar-SA"/>
        </w:rPr>
        <w:sectPr>
          <w:headerReference w:type="even" r:id="rId4"/>
          <w:headerReference w:type="default" r:id="rId5"/>
          <w:footerReference w:type="even" r:id="rId6"/>
          <w:footerReference w:type="default" r:id="rId7"/>
          <w:headerReference w:type="first" r:id="rId8"/>
          <w:footerReference w:type="first" r:id="rId9"/>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eastAsia="arial" w:hAnsi="Arial" w:cs="Arial"/>
          <w:b/>
          <w:bCs/>
          <w:kern w:val="32"/>
          <w:sz w:val="32"/>
          <w:szCs w:val="32"/>
          <w:lang w:val="en-US" w:eastAsia="en-US" w:bidi="ar-SA"/>
        </w:rPr>
      </w:pPr>
      <w:hyperlink r:id="rId10" w:history="1">
        <w:r>
          <w:rPr>
            <w:rFonts w:ascii="arial" w:eastAsia="arial" w:hAnsi="arial" w:cs="arial"/>
            <w:b/>
            <w:bCs/>
            <w:i/>
            <w:color w:val="0077CC"/>
            <w:kern w:val="32"/>
            <w:sz w:val="28"/>
            <w:szCs w:val="32"/>
            <w:u w:val="single"/>
            <w:shd w:val="clear" w:color="auto" w:fill="FFFFFF"/>
            <w:lang w:val="en-US" w:eastAsia="en-US" w:bidi="ar-SA"/>
          </w:rPr>
          <w:t>Gill v. Canada (Minister of Transport), [2014] B.C.J. No. 594</w:t>
        </w:r>
      </w:hyperlink>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Judgments</w:t>
      </w:r>
    </w:p>
    <w:p>
      <w:pPr>
        <w:rPr>
          <w:rFonts w:ascii="arial" w:eastAsia="arial" w:hAnsi="arial" w:cs="arial"/>
          <w:sz w:val="20"/>
          <w:lang w:val="en-US" w:eastAsia="en-US" w:bidi="ar-SA"/>
        </w:rPr>
      </w:pP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Vancouver, British Columbia</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B.M. Greyell J.</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Heard: June 10-14, 17-21, 24-28, July 8-12, October 15-18,</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2013.</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Judgment: April 4, 2014.</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Docket: S080464</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Registry: Vancouver</w:t>
      </w:r>
    </w:p>
    <w:p>
      <w:pPr>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r>
        <w:rPr>
          <w:rFonts w:ascii="arial" w:eastAsia="arial" w:hAnsi="arial" w:cs="arial"/>
          <w:b/>
          <w:color w:val="000000"/>
          <w:sz w:val="20"/>
          <w:lang w:val="en-US" w:eastAsia="en-US" w:bidi="ar-SA"/>
        </w:rPr>
        <w:t>[2014] B.C.J. No. 594</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2014 BCSC 582</w:t>
      </w:r>
    </w:p>
    <w:p>
      <w:pPr>
        <w:spacing w:before="120" w:line="260" w:lineRule="atLeast"/>
        <w:rPr>
          <w:rFonts w:ascii="arial" w:eastAsia="arial" w:hAnsi="arial" w:cs="arial"/>
          <w:sz w:val="20"/>
          <w:lang w:val="en-US" w:eastAsia="en-US" w:bidi="ar-SA"/>
        </w:rPr>
      </w:pPr>
      <w:r>
        <w:rPr>
          <w:rFonts w:ascii="arial" w:eastAsia="arial" w:hAnsi="arial" w:cs="arial"/>
          <w:color w:val="000000"/>
          <w:sz w:val="20"/>
          <w:lang w:val="en-US" w:eastAsia="en-US" w:bidi="ar-SA"/>
        </w:rPr>
        <w:t>Between Ranjit Singh Gill, Plaintiff, and Attorney General of Canada in Right of Minister of Transport, Trevor J. Heryet and David J. Nowzek, Defendants</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(206 paras.)</w:t>
      </w:r>
    </w:p>
    <w:p>
      <w:pPr>
        <w:keepNext/>
        <w:spacing w:before="12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Case Summary</w:t>
      </w:r>
    </w:p>
    <w:p>
      <w:pPr>
        <w:spacing w:line="60" w:lineRule="exact"/>
        <w:rPr>
          <w:rFonts w:ascii="arial" w:eastAsia="arial" w:hAnsi="arial" w:cs="arial"/>
          <w:sz w:val="20"/>
          <w:lang w:val="en-US" w:eastAsia="en-US" w:bidi="ar-SA"/>
        </w:rPr>
      </w:pPr>
      <w:r>
        <w:pict>
          <v:line id="_x0000_s1025" style="position:absolute;z-index:251658240"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bookmarkStart w:id="0" w:name="Keywords"/>
      <w:bookmarkEnd w:id="0"/>
      <w:r>
        <w:rPr>
          <w:rFonts w:ascii="arial" w:eastAsia="arial" w:hAnsi="arial" w:cs="arial"/>
          <w:b/>
          <w:color w:val="000000"/>
          <w:sz w:val="20"/>
          <w:lang w:val="en-US" w:eastAsia="en-US" w:bidi="ar-SA"/>
        </w:rPr>
        <w:t xml:space="preserve">Tort law — </w:t>
      </w:r>
      <w:r>
        <w:rPr>
          <w:rFonts w:ascii="arial" w:eastAsia="arial" w:hAnsi="arial" w:cs="arial"/>
          <w:b/>
          <w:i/>
          <w:color w:val="000000"/>
          <w:sz w:val="20"/>
          <w:u w:val="single"/>
          <w:lang w:val="en-US" w:eastAsia="en-US" w:bidi="ar-SA"/>
        </w:rPr>
        <w:t>Negligence</w:t>
      </w:r>
      <w:r>
        <w:rPr>
          <w:rFonts w:ascii="arial" w:eastAsia="arial" w:hAnsi="arial" w:cs="arial"/>
          <w:b/>
          <w:color w:val="000000"/>
          <w:sz w:val="20"/>
          <w:lang w:val="en-US" w:eastAsia="en-US" w:bidi="ar-SA"/>
        </w:rPr>
        <w:t xml:space="preserve"> — Duty and standard of care — Duty of care — Action by airline's shareholder for damages for </w:t>
      </w:r>
      <w:r>
        <w:rPr>
          <w:rFonts w:ascii="arial" w:eastAsia="arial" w:hAnsi="arial" w:cs="arial"/>
          <w:b/>
          <w:i/>
          <w:color w:val="000000"/>
          <w:sz w:val="20"/>
          <w:u w:val="single"/>
          <w:lang w:val="en-US" w:eastAsia="en-US" w:bidi="ar-SA"/>
        </w:rPr>
        <w:t>negligence</w:t>
      </w:r>
      <w:r>
        <w:rPr>
          <w:rFonts w:ascii="arial" w:eastAsia="arial" w:hAnsi="arial" w:cs="arial"/>
          <w:b/>
          <w:color w:val="000000"/>
          <w:sz w:val="20"/>
          <w:lang w:val="en-US" w:eastAsia="en-US" w:bidi="ar-SA"/>
        </w:rPr>
        <w:t xml:space="preserve"> and misfeasance in public office in suspending air operator certificate dismissed — Following crash of airplane defendants suspended airline's air operator certificate — It was later determined that cause of crash was manufacturing defect in turbine blade — In relationship between parties, there was a reasonable foreseeability of harm to plaintiff resulting from suspension of its certificate, but there was no close and direct relationship between parties that gave rise to prima facie duty of care — Defendants were motivated by public interest and did not act in malicious, arbitrary, high handed or oppressive manner.</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 xml:space="preserve">Tort law — Abuse of public office — Action by airline's shareholder for damages for </w:t>
      </w:r>
      <w:r>
        <w:rPr>
          <w:rFonts w:ascii="arial" w:eastAsia="arial" w:hAnsi="arial" w:cs="arial"/>
          <w:b/>
          <w:i/>
          <w:color w:val="000000"/>
          <w:sz w:val="20"/>
          <w:u w:val="single"/>
          <w:lang w:val="en-US" w:eastAsia="en-US" w:bidi="ar-SA"/>
        </w:rPr>
        <w:t>negligence</w:t>
      </w:r>
      <w:r>
        <w:rPr>
          <w:rFonts w:ascii="arial" w:eastAsia="arial" w:hAnsi="arial" w:cs="arial"/>
          <w:b/>
          <w:color w:val="000000"/>
          <w:sz w:val="20"/>
          <w:lang w:val="en-US" w:eastAsia="en-US" w:bidi="ar-SA"/>
        </w:rPr>
        <w:t xml:space="preserve"> and misfeasance in public office in suspending air operator certificate dismissed — Following crash of airplane defendants suspended airline's air operator certificate — It was later determined that cause of crash was manufacturing defect in turbine blade — In relationship between parties, there was a reasonable foreseeability of harm to plaintiff resulting from suspension of its certificate, but there was no close and direct relationship between parties that gave rise to prima facie duty of care — Defendants were motivated by public interest and did not act in malicious, arbitrary, high handed or oppressive manner.</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 xml:space="preserve">Transportation law — Air transportation — Liability — Regulation — Federal — Aircraft certification — Action by airline's shareholder for damages for </w:t>
      </w:r>
      <w:r>
        <w:rPr>
          <w:rFonts w:ascii="arial" w:eastAsia="arial" w:hAnsi="arial" w:cs="arial"/>
          <w:b/>
          <w:i/>
          <w:color w:val="000000"/>
          <w:sz w:val="20"/>
          <w:u w:val="single"/>
          <w:lang w:val="en-US" w:eastAsia="en-US" w:bidi="ar-SA"/>
        </w:rPr>
        <w:t>negligence</w:t>
      </w:r>
      <w:r>
        <w:rPr>
          <w:rFonts w:ascii="arial" w:eastAsia="arial" w:hAnsi="arial" w:cs="arial"/>
          <w:b/>
          <w:color w:val="000000"/>
          <w:sz w:val="20"/>
          <w:lang w:val="en-US" w:eastAsia="en-US" w:bidi="ar-SA"/>
        </w:rPr>
        <w:t xml:space="preserve"> and misfeasance in public office in suspending air operator certificate dismissed — Following crash of airplane defendants suspended airline's air operator certificate — It was later determined that cause of crash was manufacturing defect in turbine blade — In relationship between parties, there was a reasonable foreseeability of harm to plaintiff resulting from suspension of its certificate, but there was no close and direct relationship between parties that gave rise to prima facie duty of care — Defendants were motivated by public interest and did not act in malicious, arbitrary, high handed or oppressive manner.</w:t>
      </w:r>
    </w:p>
    <w:p>
      <w:pPr>
        <w:rPr>
          <w:rFonts w:ascii="arial" w:eastAsia="arial" w:hAnsi="arial" w:cs="arial"/>
          <w:sz w:val="20"/>
          <w:lang w:val="en-US" w:eastAsia="en-US" w:bidi="ar-SA"/>
        </w:rPr>
      </w:pPr>
    </w:p>
    <w:tbl>
      <w:tblPr>
        <w:tblStyle w:val="TableNormal"/>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
      <w:tblGrid>
        <w:gridCol w:w="10225"/>
      </w:tblGrid>
      <w:tr>
        <w:tblPrEx>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Ex>
        <w:tc>
          <w:tcPr/>
          <w:p>
            <w:pPr>
              <w:rPr>
                <w:rFonts w:ascii="arial" w:eastAsia="arial" w:hAnsi="arial" w:cs="arial"/>
                <w:sz w:val="20"/>
                <w:lang w:val="en-US" w:eastAsia="en-US" w:bidi="ar-SA"/>
              </w:rPr>
            </w:pPr>
            <w:bookmarkStart w:id="1" w:name="Case Summary"/>
            <w:bookmarkEnd w:id="1"/>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Action by the sole shareholder and director of International Express Aircharter ("IEA"), a bankrupt airline, for damages for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for the suspension of its Air Operator Certificate. IEA operated three businesses under three trade names. The largest component of its business was as an air courier service offering scheduled and unscheduled service for various courier companies and scheduled passenger service. In January 2006, one of IEA's airplanes crashed, resulting in the deaths of the pilot and two passengers and serious injuries to five passengers. Following the crash, IEA's operations manager and certificate were suspended due to concerns about IEA's history of poor maintenance of its aircraft. The certificate was subsequently cancelled. At the time of the cancellation of the certificate, the cause of the crash was unknown. Subsequently, it was determined that the cause of the crash was a manufacturing defence in a blade of a turbine. Following the cancellation of the certificate, IEA's business quickly closed and it went bankrupt. IEA appealed the suspension. The appeal was allowed and the matter was returned for reconsideration. On reconsideration, the suspension was not upheld. The plaintiff commenced this action alleging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and misfeasance in public office. The plaintiff claimed that the defendants owed a duty of care to IEA to suspend its air certificate in a reasonably competent manner and that they breached that duty of care by suspending the certificate without adequate grounds, without adequate knowledge of the relevant facts and without regard to the Act and Regulations. The plaintiff alleged that the defendants acted in excess of their legal authority and with malice and in bad faith as they fabricated grounds upon which to suspend IEA's certificate, exercised their authority with reckless indifference to the factual or legal grounds for doing so, suspended IEA's certificate without adequate notice and for the purpose of deflecting public criticism of Transport Canada. The plaintiff sought damages for IEA's economic loss in the amount of $10 to $12 million as a result of being forced into bankruptcy, out-of-pocket expenses incurred as a result of the bankruptcy, exemplary or punitive damages, special damages and costs. </w:t>
            </w:r>
            <w:r>
              <w:rPr>
                <w:rFonts w:ascii="arial" w:eastAsia="arial" w:hAnsi="arial" w:cs="arial"/>
                <w:sz w:val="20"/>
                <w:lang w:val="en-US" w:eastAsia="en-US" w:bidi="ar-SA"/>
              </w:rPr>
              <w:cr/>
            </w:r>
          </w:p>
          <w:p>
            <w:pPr>
              <w:spacing w:before="120" w:line="260" w:lineRule="atLeast"/>
              <w:ind w:left="240"/>
              <w:jc w:val="both"/>
              <w:rPr>
                <w:rFonts w:ascii="arial" w:eastAsia="arial" w:hAnsi="arial" w:cs="arial"/>
                <w:sz w:val="20"/>
                <w:lang w:val="en-US" w:eastAsia="en-US" w:bidi="ar-SA"/>
              </w:rPr>
            </w:pPr>
            <w:bookmarkStart w:id="2" w:name="Holdings of Court"/>
            <w:bookmarkEnd w:id="2"/>
            <w:r>
              <w:rPr>
                <w:rFonts w:ascii="arial" w:eastAsia="arial" w:hAnsi="arial" w:cs="arial"/>
                <w:color w:val="000000"/>
                <w:sz w:val="20"/>
                <w:lang w:val="en-US" w:eastAsia="en-US" w:bidi="ar-SA"/>
              </w:rPr>
              <w:t>HELD: Action dismissed.</w:t>
            </w:r>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In the relationship between the parties, there was a reasonable foreseeability of harm to IEA resulting from the suspension of IEA's certificate. There was no close and direct relationship between the parties that gave rise to a prima facie duty of care. The defendant's mandate, to protect the safety of the flying public, could not give rise to a duty of care to be mindful of an aviation company's economic status, and the defendants never stepped outside of their role as regulator. Even if there was a sufficient proximity between IEA and the defendants, imposing a duty of care on the defendants would have a chilling effect on the duties they were required to perform under the Aeronautics Act and Regulations and therefore a prima facie duty of care would be negated by policy considerations. The defendants did not act in a malicious, arbitrary, high handed or oppressive manner, but were motivated by their sense of what was in the public interest at the time. They did not knowingly act illegally or in bad faith chose a course of action specifically to injure IEA. </w:t>
            </w:r>
            <w:r>
              <w:rPr>
                <w:rFonts w:ascii="arial" w:eastAsia="arial" w:hAnsi="arial" w:cs="arial"/>
                <w:sz w:val="20"/>
                <w:lang w:val="en-US" w:eastAsia="en-US" w:bidi="ar-SA"/>
              </w:rPr>
              <w:cr/>
            </w:r>
          </w:p>
          <w:p>
            <w:pPr>
              <w:rPr>
                <w:rFonts w:ascii="arial" w:eastAsia="arial" w:hAnsi="arial" w:cs="arial"/>
                <w:sz w:val="20"/>
                <w:lang w:val="en-US" w:eastAsia="en-US" w:bidi="ar-SA"/>
              </w:rPr>
            </w:pPr>
          </w:p>
        </w:tc>
      </w:tr>
    </w:tbl>
    <w:p>
      <w:pPr>
        <w:jc w:val="both"/>
        <w:rPr>
          <w:rFonts w:ascii="arial" w:eastAsia="arial" w:hAnsi="arial" w:cs="arial"/>
          <w:sz w:val="20"/>
          <w:lang w:val="en-US" w:eastAsia="en-US" w:bidi="ar-SA"/>
        </w:rPr>
      </w:pPr>
      <w:bookmarkStart w:id="3" w:name="Legislation Cited"/>
      <w:bookmarkEnd w:id="3"/>
      <w:r>
        <w:rPr>
          <w:rFonts w:ascii="arial" w:eastAsia="arial" w:hAnsi="arial" w:cs="arial"/>
          <w:sz w:val="20"/>
          <w:lang w:val="en-US" w:eastAsia="en-US" w:bidi="ar-SA"/>
        </w:rPr>
        <w:br/>
      </w:r>
    </w:p>
    <w:p>
      <w:pPr>
        <w:keepNext/>
        <w:spacing w:before="24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Statutes, Regulations and Rules Cited:</w:t>
      </w:r>
    </w:p>
    <w:p>
      <w:pPr>
        <w:spacing w:line="60" w:lineRule="exact"/>
        <w:rPr>
          <w:rFonts w:ascii="arial" w:eastAsia="arial" w:hAnsi="arial" w:cs="arial"/>
          <w:sz w:val="20"/>
          <w:lang w:val="en-US" w:eastAsia="en-US" w:bidi="ar-SA"/>
        </w:rPr>
      </w:pPr>
      <w:r>
        <w:pict>
          <v:line id="_x0000_s1026" style="position:absolute;z-index:251709440"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Aeronautics Act, </w:t>
      </w:r>
      <w:hyperlink r:id="rId11" w:history="1">
        <w:r>
          <w:rPr>
            <w:rFonts w:ascii="arial" w:eastAsia="arial" w:hAnsi="arial" w:cs="arial"/>
            <w:i/>
            <w:color w:val="0077CC"/>
            <w:sz w:val="20"/>
            <w:u w:val="single"/>
            <w:shd w:val="clear" w:color="auto" w:fill="FFFFFF"/>
            <w:lang w:val="en-US" w:eastAsia="en-US" w:bidi="ar-SA"/>
          </w:rPr>
          <w:t>R.S.C. 1985, c. A-2, s. 4.2</w:t>
        </w:r>
      </w:hyperlink>
      <w:r>
        <w:rPr>
          <w:rFonts w:ascii="arial" w:eastAsia="arial" w:hAnsi="arial" w:cs="arial"/>
          <w:color w:val="000000"/>
          <w:sz w:val="20"/>
          <w:lang w:val="en-US" w:eastAsia="en-US" w:bidi="ar-SA"/>
        </w:rPr>
        <w:t>, s. 4.2(a), s. 4.2(k), s. 4.2(n), s. 4.2(o), s. 4.9(c), s. 4.9(g), s. 4.9(h), s. 6.6, s. 7(1), s. 7(2.1), s. 7.1(1), s. 7.1(1)(b), s. 7.1(1) (c), s. 7.1(2)(a)(ii), s. 7.1(2.1), s. 7.1(3), s. 7.1(4), s. 7.1(7), s. 7.1(8), s. 7.7(1), s. 7.21, s. 7.31</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Canada Labour Code, </w:t>
      </w:r>
      <w:hyperlink r:id="rId12" w:history="1">
        <w:r>
          <w:rPr>
            <w:rFonts w:ascii="arial" w:eastAsia="arial" w:hAnsi="arial" w:cs="arial"/>
            <w:i/>
            <w:color w:val="0077CC"/>
            <w:sz w:val="20"/>
            <w:u w:val="single"/>
            <w:shd w:val="clear" w:color="auto" w:fill="FFFFFF"/>
            <w:lang w:val="en-US" w:eastAsia="en-US" w:bidi="ar-SA"/>
          </w:rPr>
          <w:t>R.S.C. 1985, c. L-2</w:t>
        </w:r>
      </w:hyperlink>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Canadian Aviation Regulations, </w:t>
      </w:r>
      <w:hyperlink r:id="rId13" w:history="1">
        <w:r>
          <w:rPr>
            <w:rFonts w:ascii="arial" w:eastAsia="arial" w:hAnsi="arial" w:cs="arial"/>
            <w:i/>
            <w:color w:val="0077CC"/>
            <w:sz w:val="20"/>
            <w:u w:val="single"/>
            <w:shd w:val="clear" w:color="auto" w:fill="FFFFFF"/>
            <w:lang w:val="en-US" w:eastAsia="en-US" w:bidi="ar-SA"/>
          </w:rPr>
          <w:t>SOR/96-433, s. 703.07</w:t>
        </w:r>
      </w:hyperlink>
      <w:r>
        <w:rPr>
          <w:rFonts w:ascii="arial" w:eastAsia="arial" w:hAnsi="arial" w:cs="arial"/>
          <w:color w:val="000000"/>
          <w:sz w:val="20"/>
          <w:lang w:val="en-US" w:eastAsia="en-US" w:bidi="ar-SA"/>
        </w:rPr>
        <w:t>(1)(b), s. 703.16, s. 706.02, s. 706.03(1)(f), s. 706.07(1), s. 706.08, s. 723.07(2)(a)(ii)(A)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Canadian Transportation Accident Investigation and Safety Board Act, </w:t>
      </w:r>
      <w:hyperlink r:id="rId14" w:history="1">
        <w:r>
          <w:rPr>
            <w:rFonts w:ascii="arial" w:eastAsia="arial" w:hAnsi="arial" w:cs="arial"/>
            <w:i/>
            <w:color w:val="0077CC"/>
            <w:sz w:val="20"/>
            <w:u w:val="single"/>
            <w:shd w:val="clear" w:color="auto" w:fill="FFFFFF"/>
            <w:lang w:val="en-US" w:eastAsia="en-US" w:bidi="ar-SA"/>
          </w:rPr>
          <w:t>S.C. 1989, c. 3</w:t>
        </w:r>
      </w:hyperlink>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Civil Air Navigation Services Commercialization Act, </w:t>
      </w:r>
      <w:hyperlink r:id="rId15" w:history="1">
        <w:r>
          <w:rPr>
            <w:rFonts w:ascii="arial" w:eastAsia="arial" w:hAnsi="arial" w:cs="arial"/>
            <w:i/>
            <w:color w:val="0077CC"/>
            <w:sz w:val="20"/>
            <w:u w:val="single"/>
            <w:shd w:val="clear" w:color="auto" w:fill="FFFFFF"/>
            <w:lang w:val="en-US" w:eastAsia="en-US" w:bidi="ar-SA"/>
          </w:rPr>
          <w:t>S.C. 1996, c. 20</w:t>
        </w:r>
      </w:hyperlink>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Food and Drugs Act, </w:t>
      </w:r>
      <w:hyperlink r:id="rId16" w:history="1">
        <w:r>
          <w:rPr>
            <w:rFonts w:ascii="arial" w:eastAsia="arial" w:hAnsi="arial" w:cs="arial"/>
            <w:i/>
            <w:color w:val="0077CC"/>
            <w:sz w:val="20"/>
            <w:u w:val="single"/>
            <w:shd w:val="clear" w:color="auto" w:fill="FFFFFF"/>
            <w:lang w:val="en-US" w:eastAsia="en-US" w:bidi="ar-SA"/>
          </w:rPr>
          <w:t>R.S.C. 1985, c. F-27</w:t>
        </w:r>
      </w:hyperlink>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Transportation Appeal Tribunal Act of Canada, </w:t>
      </w:r>
      <w:hyperlink r:id="rId17" w:history="1">
        <w:r>
          <w:rPr>
            <w:rFonts w:ascii="arial" w:eastAsia="arial" w:hAnsi="arial" w:cs="arial"/>
            <w:i/>
            <w:color w:val="0077CC"/>
            <w:sz w:val="20"/>
            <w:u w:val="single"/>
            <w:shd w:val="clear" w:color="auto" w:fill="FFFFFF"/>
            <w:lang w:val="en-US" w:eastAsia="en-US" w:bidi="ar-SA"/>
          </w:rPr>
          <w:t>S.C. 2001, c. 29, s. 3</w:t>
        </w:r>
      </w:hyperlink>
      <w:r>
        <w:rPr>
          <w:rFonts w:ascii="arial" w:eastAsia="arial" w:hAnsi="arial" w:cs="arial"/>
          <w:color w:val="000000"/>
          <w:sz w:val="20"/>
          <w:lang w:val="en-US" w:eastAsia="en-US" w:bidi="ar-SA"/>
        </w:rPr>
        <w:t>, s. 20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Transportation of Dangerous Goods Act,</w:t>
      </w:r>
      <w:r>
        <w:rPr>
          <w:rFonts w:ascii="arial" w:eastAsia="arial" w:hAnsi="arial" w:cs="arial"/>
          <w:sz w:val="20"/>
          <w:lang w:val="en-US" w:eastAsia="en-US" w:bidi="ar-SA"/>
        </w:rPr>
        <w:cr/>
      </w:r>
    </w:p>
    <w:p>
      <w:pPr>
        <w:keepNext/>
        <w:spacing w:before="240" w:line="340" w:lineRule="atLeast"/>
        <w:rPr>
          <w:rFonts w:ascii="arial" w:eastAsia="arial" w:hAnsi="arial" w:cs="arial"/>
          <w:sz w:val="20"/>
          <w:lang w:val="en-US" w:eastAsia="en-US" w:bidi="ar-SA"/>
        </w:rPr>
      </w:pPr>
      <w:bookmarkStart w:id="4" w:name="Counsel"/>
      <w:bookmarkEnd w:id="4"/>
      <w:r>
        <w:rPr>
          <w:rFonts w:ascii="arial" w:eastAsia="arial" w:hAnsi="arial" w:cs="arial"/>
          <w:b/>
          <w:color w:val="000000"/>
          <w:sz w:val="28"/>
          <w:lang w:val="en-US" w:eastAsia="en-US" w:bidi="ar-SA"/>
        </w:rPr>
        <w:t>Counsel</w:t>
      </w:r>
    </w:p>
    <w:p>
      <w:pPr>
        <w:spacing w:line="60" w:lineRule="exact"/>
        <w:rPr>
          <w:rFonts w:ascii="arial" w:eastAsia="arial" w:hAnsi="arial" w:cs="arial"/>
          <w:sz w:val="20"/>
          <w:lang w:val="en-US" w:eastAsia="en-US" w:bidi="ar-SA"/>
        </w:rPr>
      </w:pPr>
      <w:r>
        <w:pict>
          <v:line id="_x0000_s1027" style="position:absolute;z-index:251760640"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Counsel for the Plaintiff: R.P. Saul and K.A. McGoldrick.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Counsel for the Defendants: V. Anderson, M.F. Volk and S.R. Smiley.</w:t>
      </w:r>
      <w:r>
        <w:rPr>
          <w:rFonts w:ascii="arial" w:eastAsia="arial" w:hAnsi="arial" w:cs="arial"/>
          <w:sz w:val="20"/>
          <w:lang w:val="en-US" w:eastAsia="en-US" w:bidi="ar-SA"/>
        </w:rPr>
        <w:cr/>
      </w:r>
    </w:p>
    <w:p>
      <w:pPr>
        <w:spacing w:after="240"/>
        <w:rPr>
          <w:rFonts w:ascii="arial" w:eastAsia="arial" w:hAnsi="arial" w:cs="arial"/>
          <w:sz w:val="20"/>
          <w:lang w:val="en-US" w:eastAsia="en-US" w:bidi="ar-SA"/>
        </w:rPr>
      </w:pPr>
      <w:bookmarkStart w:id="5" w:name="Judgment"/>
      <w:bookmarkEnd w:id="5"/>
      <w:r>
        <w:pict>
          <v:line id="_x0000_s1028" style="position:absolute;z-index:251811840" from="0,12pt" to="512pt,12pt" strokecolor="#009ddb" strokeweight="1.5pt">
            <v:stroke linestyle="single"/>
          </v:line>
        </w:pict>
      </w:r>
    </w:p>
    <w:p>
      <w:pPr>
        <w:spacing w:before="120" w:line="260" w:lineRule="atLeast"/>
        <w:jc w:val="center"/>
        <w:rPr>
          <w:rFonts w:ascii="arial" w:eastAsia="arial" w:hAnsi="arial" w:cs="arial"/>
          <w:sz w:val="20"/>
          <w:lang w:val="en-US" w:eastAsia="en-US" w:bidi="ar-SA"/>
        </w:rPr>
      </w:pPr>
      <w:r>
        <w:rPr>
          <w:rFonts w:ascii="arial" w:eastAsia="arial" w:hAnsi="arial" w:cs="arial"/>
          <w:b/>
          <w:color w:val="000000"/>
          <w:sz w:val="20"/>
          <w:lang w:val="en-US" w:eastAsia="en-US" w:bidi="ar-SA"/>
        </w:rPr>
        <w:t>Reasons for Judgment</w:t>
      </w:r>
      <w:r>
        <w:rPr>
          <w:rFonts w:ascii="arial" w:eastAsia="arial" w:hAnsi="arial" w:cs="arial"/>
          <w:sz w:val="20"/>
          <w:lang w:val="en-US" w:eastAsia="en-US" w:bidi="ar-SA"/>
        </w:rPr>
        <w:cr/>
      </w:r>
    </w:p>
    <w:p>
      <w:pPr>
        <w:rPr>
          <w:rFonts w:ascii="arial" w:eastAsia="arial" w:hAnsi="arial" w:cs="arial"/>
          <w:sz w:val="20"/>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2737"/>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rFonts w:ascii="arial" w:eastAsia="arial" w:hAnsi="arial" w:cs="arial"/>
                <w:sz w:val="20"/>
                <w:lang w:val="en-US" w:eastAsia="en-US" w:bidi="ar-SA"/>
              </w:rPr>
            </w:pPr>
            <w:bookmarkStart w:id="6" w:name="B.M. GREYELL J."/>
            <w:bookmarkEnd w:id="6"/>
            <w:r>
              <w:rPr>
                <w:rFonts w:ascii="arial" w:eastAsia="arial" w:hAnsi="arial" w:cs="arial"/>
                <w:b/>
                <w:color w:val="000000"/>
                <w:sz w:val="30"/>
                <w:lang w:val="en-US" w:eastAsia="en-US" w:bidi="ar-SA"/>
              </w:rPr>
              <w:t>B.M. GREYELL J.</w:t>
            </w:r>
          </w:p>
        </w:tc>
      </w:tr>
    </w:tbl>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Introduction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xml:space="preserve">  The question raised in this case is whether the defendants, Transport Canada and two of its regional managers, are liable in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and consequent damages for the suspension of the Air Operator Certificate ("Certificate" or "AOC") issued to International Express Aircharter Ltd. ("IEA") following the crash of one of its planes on January 22, 2006.</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The plaintiff also claims damages for misfeasance in public office against the personal defendants arising from the suspension of the Certificate.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Background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The business of IEA was comprised of three components operating under the trade names Sonicblue Airways ("Sonicblue"), Flightec Crew Training Inc. ("Flightec"), and Regency Express Aircraft Maintenance Ltd. ("Regency Maintenance"). Sonicblue was an air courier service and a scheduled and chartered passenger service operating under a Certificate. Flightec was a flight training unit ("FTU") based out of the Boundary Bay Airport operating under a FTU certificate. Regency Maintenance was an approved maintenance organization ("AMO") operating under an AMO certificate. The three certificates for the three components of the business were distinct and were held independently from one another.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By far the largest component of IEA's business was its scheduled and unscheduled service for various courier companies (including Purolator, Dynamex and DHL), with whom it had contracted to deliver parcels to various cities and towns throughout British Columbia and Alaska. Parcels were delivered by those courier companies from across Canada to the Vancouver Airport and then, under contract with IEA delivered by its air craft within British Columbia and to Alaska. The scheduled passenger service was operated between Tofino and Vancouver.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The plaintiff, Mr. Ranjit Singh Gill, was the sole shareholder and director of IEA. Mr. Gill brings this action by way of an assignment from the Trustee in Bankruptcy of IEA.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xml:space="preserve">  The Minister of Transport ("Minister"), through Transport Canada, is responsible for the regulation and supervision of all matters connected with aeronautics in Canada under the </w:t>
      </w:r>
      <w:r>
        <w:rPr>
          <w:rFonts w:ascii="arial" w:eastAsia="arial" w:hAnsi="arial" w:cs="arial"/>
          <w:i/>
          <w:color w:val="000000"/>
          <w:sz w:val="20"/>
          <w:lang w:val="en-US" w:eastAsia="en-US" w:bidi="ar-SA"/>
        </w:rPr>
        <w:t>Aeronautics Act</w:t>
      </w:r>
      <w:r>
        <w:rPr>
          <w:rFonts w:ascii="arial" w:eastAsia="arial" w:hAnsi="arial" w:cs="arial"/>
          <w:color w:val="000000"/>
          <w:sz w:val="20"/>
          <w:lang w:val="en-US" w:eastAsia="en-US" w:bidi="ar-SA"/>
        </w:rPr>
        <w:t xml:space="preserve">, </w:t>
      </w:r>
      <w:hyperlink r:id="rId18" w:history="1">
        <w:r>
          <w:rPr>
            <w:rFonts w:ascii="arial" w:eastAsia="arial" w:hAnsi="arial" w:cs="arial"/>
            <w:i/>
            <w:color w:val="0077CC"/>
            <w:sz w:val="20"/>
            <w:u w:val="single"/>
            <w:shd w:val="clear" w:color="auto" w:fill="FFFFFF"/>
            <w:lang w:val="en-US" w:eastAsia="en-US" w:bidi="ar-SA"/>
          </w:rPr>
          <w:t>R.S.C. 1985, c. A-2</w:t>
        </w:r>
      </w:hyperlink>
      <w:r>
        <w:rPr>
          <w:rFonts w:ascii="arial" w:eastAsia="arial" w:hAnsi="arial" w:cs="arial"/>
          <w:color w:val="000000"/>
          <w:sz w:val="20"/>
          <w:lang w:val="en-US" w:eastAsia="en-US" w:bidi="ar-SA"/>
        </w:rPr>
        <w:t xml:space="preserve"> (the "</w:t>
      </w:r>
      <w:r>
        <w:rPr>
          <w:rFonts w:ascii="arial" w:eastAsia="arial" w:hAnsi="arial" w:cs="arial"/>
          <w:i/>
          <w:color w:val="000000"/>
          <w:sz w:val="20"/>
          <w:lang w:val="en-US" w:eastAsia="en-US" w:bidi="ar-SA"/>
        </w:rPr>
        <w:t>Act</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The defendants Mr. Trevor Heryet and Mr. David Nowzek were employed by Transport Canada respectively as the Pacific Region's Manager of Commercial and Business Aviation and Director of Civil Aviation.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IEA's Certificate was suspended by Transport Canada on January 22, 2006, the day following the crash of one of its aircraft operating on a scheduled flight from Tofino to Vancouver. Five passengers were seriously injured and three, including the pilot and a young boy, died in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The cause of the accident was not known at the time of the suspension of the Certificate. Following an investigation by the Transportation Safety Board and subsequent Report issued some 18 months later on August 9, 2007 the cause was attributed to a metallurgical anomaly in one of the blades in the compressor turbine which had fractured and damaged the compressor, resulting in loss of engine power. The metallurgical anomaly was a manufacturing defect in a blade of a turbine, a matter over which IEA had no control.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The Plaintiff's Action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xml:space="preserve">  The plaintiff initially commenced this action on January 21, 2008. An amended notice of civil claim was filed October 7, 2011. The plaintiff's claims are founded in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and misfeasance in public office. The plaintiff claims in his Amended Notice of Civil Claim:</w:t>
      </w:r>
      <w:r>
        <w:rPr>
          <w:rFonts w:ascii="arial" w:eastAsia="arial" w:hAnsi="arial" w:cs="arial"/>
          <w:sz w:val="20"/>
          <w:lang w:val="en-US" w:eastAsia="en-US" w:bidi="ar-SA"/>
        </w:rPr>
        <w:cr/>
      </w:r>
    </w:p>
    <w:p>
      <w:pPr>
        <w:numPr>
          <w:numId w:val="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Defendants knew or ought to have known that the suspension of IEA's Air Operator Certificate would deprive it of the right to carry on a commercial air service and cause it irreparable harm. The actual harm suffered by the Plaintiff and IEA was the foreseeable result of the Defendants' actions.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numPr>
          <w:numId w:val="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relationship between IEA and the Defendants was direct and proximate.</w:t>
      </w:r>
    </w:p>
    <w:p>
      <w:pPr>
        <w:numPr>
          <w:numId w:val="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Defendants owed to IEA a particular duty of care to exercise their authority to suspend its Air Operator Certificate in a reasonably competent manner with due care and attention to all relevant circumstances and to the provisions of the </w:t>
      </w:r>
      <w:r>
        <w:rPr>
          <w:rFonts w:ascii="arial" w:eastAsia="arial" w:hAnsi="arial" w:cs="arial"/>
          <w:i/>
          <w:color w:val="000000"/>
          <w:sz w:val="20"/>
          <w:lang w:val="en-US" w:eastAsia="en-US" w:bidi="ar-SA"/>
        </w:rPr>
        <w:t>Act</w:t>
      </w:r>
      <w:r>
        <w:rPr>
          <w:rFonts w:ascii="arial" w:eastAsia="arial" w:hAnsi="arial" w:cs="arial"/>
          <w:color w:val="000000"/>
          <w:sz w:val="20"/>
          <w:lang w:val="en-US" w:eastAsia="en-US" w:bidi="ar-SA"/>
        </w:rPr>
        <w:t xml:space="preserve"> and regulations thereto.</w:t>
      </w:r>
    </w:p>
    <w:p>
      <w:pPr>
        <w:numPr>
          <w:numId w:val="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Plaintiff pleads that the damages suffered by IEA as a result of the suspension of its Air Operator Certificate were caused by the breach of that duty of care and the unlawful actions by the Defendants, particulars of which include but are not limited to:</w:t>
      </w:r>
    </w:p>
    <w:p>
      <w:pPr>
        <w:numPr>
          <w:numId w:val="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they suspended IEA's Air Operator Certificate without adequate or any grounds for doing so;</w:t>
      </w:r>
    </w:p>
    <w:p>
      <w:pPr>
        <w:numPr>
          <w:numId w:val="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they suspended IEA's Air Operator Certificate on grounds which they knew or should have known could not be substantiated;</w:t>
      </w:r>
    </w:p>
    <w:p>
      <w:pPr>
        <w:numPr>
          <w:numId w:val="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they suspended IEA's Air Operator Certificate without any or any adequate knowledge of the relevant factual circumstances;</w:t>
      </w:r>
    </w:p>
    <w:p>
      <w:pPr>
        <w:numPr>
          <w:numId w:val="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they suspended IEA's Air Operator Certificate without regard for the provisions of the </w:t>
      </w:r>
      <w:r>
        <w:rPr>
          <w:rFonts w:ascii="arial" w:eastAsia="arial" w:hAnsi="arial" w:cs="arial"/>
          <w:i/>
          <w:color w:val="000000"/>
          <w:sz w:val="20"/>
          <w:lang w:val="en-US" w:eastAsia="en-US" w:bidi="ar-SA"/>
        </w:rPr>
        <w:t>Act</w:t>
      </w:r>
      <w:r>
        <w:rPr>
          <w:rFonts w:ascii="arial" w:eastAsia="arial" w:hAnsi="arial" w:cs="arial"/>
          <w:color w:val="000000"/>
          <w:sz w:val="20"/>
          <w:lang w:val="en-US" w:eastAsia="en-US" w:bidi="ar-SA"/>
        </w:rPr>
        <w:t xml:space="preserve"> and regulations thereto, under which they purported to be proceeding;</w:t>
      </w:r>
    </w:p>
    <w:p>
      <w:pPr>
        <w:numPr>
          <w:numId w:val="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they were not competent to interpret the provisions of the </w:t>
      </w:r>
      <w:r>
        <w:rPr>
          <w:rFonts w:ascii="arial" w:eastAsia="arial" w:hAnsi="arial" w:cs="arial"/>
          <w:i/>
          <w:color w:val="000000"/>
          <w:sz w:val="20"/>
          <w:lang w:val="en-US" w:eastAsia="en-US" w:bidi="ar-SA"/>
        </w:rPr>
        <w:t>Act</w:t>
      </w:r>
      <w:r>
        <w:rPr>
          <w:rFonts w:ascii="arial" w:eastAsia="arial" w:hAnsi="arial" w:cs="arial"/>
          <w:color w:val="000000"/>
          <w:sz w:val="20"/>
          <w:lang w:val="en-US" w:eastAsia="en-US" w:bidi="ar-SA"/>
        </w:rPr>
        <w:t xml:space="preserve"> and regulations thereto, under which they purported to be proceeding;</w:t>
      </w:r>
    </w:p>
    <w:p>
      <w:pPr>
        <w:numPr>
          <w:numId w:val="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they failed to consider the suspension of IEA's Air Operator Certificate with due care and regard; and</w:t>
      </w:r>
    </w:p>
    <w:p>
      <w:pPr>
        <w:numPr>
          <w:numId w:val="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they failed to understand or, alternatively, they ignored the fundamental duties and responsibilities of an operations manager described in the [</w:t>
      </w:r>
      <w:r>
        <w:rPr>
          <w:rFonts w:ascii="arial" w:eastAsia="arial" w:hAnsi="arial" w:cs="arial"/>
          <w:i/>
          <w:color w:val="000000"/>
          <w:sz w:val="20"/>
          <w:lang w:val="en-US" w:eastAsia="en-US" w:bidi="ar-SA"/>
        </w:rPr>
        <w:t>Act</w:t>
      </w:r>
      <w:r>
        <w:rPr>
          <w:rFonts w:ascii="arial" w:eastAsia="arial" w:hAnsi="arial" w:cs="arial"/>
          <w:color w:val="000000"/>
          <w:sz w:val="20"/>
          <w:lang w:val="en-US" w:eastAsia="en-US" w:bidi="ar-SA"/>
        </w:rPr>
        <w:t>] and regulations thereto.</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numPr>
          <w:numId w:val="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Plaintiff pleads that the damages suffered by IEA as a result of the suspension of its Air Operator Certificate were caused by the breach of that duty of care, and the recklessness and willful misconduct of the Defendants, who acted in excess of their legal authority, with malice and in bad faith, particulars of which include but are not limited to:</w:t>
      </w:r>
    </w:p>
    <w:p>
      <w:pPr>
        <w:numPr>
          <w:numId w:val="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they manipulated the provisions of the </w:t>
      </w:r>
      <w:r>
        <w:rPr>
          <w:rFonts w:ascii="arial" w:eastAsia="arial" w:hAnsi="arial" w:cs="arial"/>
          <w:i/>
          <w:color w:val="000000"/>
          <w:sz w:val="20"/>
          <w:lang w:val="en-US" w:eastAsia="en-US" w:bidi="ar-SA"/>
        </w:rPr>
        <w:t>Act</w:t>
      </w:r>
      <w:r>
        <w:rPr>
          <w:rFonts w:ascii="arial" w:eastAsia="arial" w:hAnsi="arial" w:cs="arial"/>
          <w:color w:val="000000"/>
          <w:sz w:val="20"/>
          <w:lang w:val="en-US" w:eastAsia="en-US" w:bidi="ar-SA"/>
        </w:rPr>
        <w:t xml:space="preserve"> and regulations thereto in order to fabricate grounds upon which to suspend IEA's Air Operator Certificate;</w:t>
      </w:r>
    </w:p>
    <w:p>
      <w:pPr>
        <w:numPr>
          <w:numId w:val="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they elected to revoke [Mr. Nikolas Chapman's] Authority [as Operations Manager] without any legal grounds for doing so because they believed that neither Chapman nor IEA would be able to review or appeal such a decision;</w:t>
      </w:r>
    </w:p>
    <w:p>
      <w:pPr>
        <w:numPr>
          <w:numId w:val="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they exercised their authority with reckless indifference to the factual or legal grounds for doing so;</w:t>
      </w:r>
    </w:p>
    <w:p>
      <w:pPr>
        <w:numPr>
          <w:numId w:val="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they suspended IEA's Air Operator Certificate without adequate notice with the express intention of causing irreparable harm to IEA; and</w:t>
      </w:r>
    </w:p>
    <w:p>
      <w:pPr>
        <w:numPr>
          <w:numId w:val="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they proceeded to suspend IEA's Air Operator Certificate immediately after the Accident in order to deflect public criticism of Transport Canada, which was responsible for authorizing single-engine [Instrument Flight Rules] flights over mountainous terrain.</w:t>
      </w:r>
    </w:p>
    <w:p>
      <w:pPr>
        <w:numPr>
          <w:numId w:val="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Minister owed to the Plaintiff and to the IEA a duty to provide training to Transport Canada staff in the exercise of their functions and particularly to provide training to Nowzek and Heryet in the provisions of the </w:t>
      </w:r>
      <w:r>
        <w:rPr>
          <w:rFonts w:ascii="arial" w:eastAsia="arial" w:hAnsi="arial" w:cs="arial"/>
          <w:i/>
          <w:color w:val="000000"/>
          <w:sz w:val="20"/>
          <w:lang w:val="en-US" w:eastAsia="en-US" w:bidi="ar-SA"/>
        </w:rPr>
        <w:t>Act</w:t>
      </w:r>
      <w:r>
        <w:rPr>
          <w:rFonts w:ascii="arial" w:eastAsia="arial" w:hAnsi="arial" w:cs="arial"/>
          <w:color w:val="000000"/>
          <w:sz w:val="20"/>
          <w:lang w:val="en-US" w:eastAsia="en-US" w:bidi="ar-SA"/>
        </w:rPr>
        <w:t xml:space="preserve"> and regulations thereto and in published Transport Canada procedures relating to the suspension of an air operator certificate.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The plaintiff seeks damages for recovery of IEA's economic loss in the amount of $10 - $12 million as a result of it being forced into bankruptcy, out-of-pocket costs incurred as a result of the bankruptcy of IEA, exemplary or punitive damages, special damages, costs on a solicitor-client basis or, in the alternative, special costs plus interest.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The Defendant's Response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The defendants argue they do not owe a private law duty of care to the plaintiff. The defendants say that the claim fails to disclose any proximate relationship between the plaintiff and the defendants which gives rise to a duty of care on their part.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xml:space="preserve">  Alternatively, the defendants say that if there was a duty of care owed to the plaintiff there was no breach of that duty by the defendants and that the decision to suspend the Certificate was a discretionary one, made in good faith in the public interest and without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malice or intent to injure and not for any improper or unlawful purpose.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The defendants further argue that if the plaintiff did suffer loss, damages or expense, the plaintiff failed to mitigate such loss by failing to cooperate with its banker, the Interim Receiver, the Receiver, and the Trustee in Bankruptcy; in failing to properly maintain its aircraft; in the manner in which it dealt with its financial obligations owing to creditors and others; and in shutting down its FTU and AMO.</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w:t>
      </w:r>
      <w:r>
        <w:rPr>
          <w:rFonts w:ascii="arial" w:eastAsia="arial" w:hAnsi="arial" w:cs="arial"/>
          <w:color w:val="000000"/>
          <w:sz w:val="20"/>
          <w:lang w:val="en-US" w:eastAsia="en-US" w:bidi="ar-SA"/>
        </w:rPr>
        <w:t>  Before describing the issues before the Court it is necessary to first set out the nature of the regulatory regime under which IEA operated and then to describe IEA's operations in somewhat more detail.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The Regulatory Regime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 xml:space="preserve">The </w:t>
      </w:r>
      <w:r>
        <w:rPr>
          <w:rFonts w:ascii="arial" w:eastAsia="arial" w:hAnsi="arial" w:cs="arial"/>
          <w:b/>
          <w:i/>
          <w:color w:val="000000"/>
          <w:sz w:val="20"/>
          <w:lang w:val="en-US" w:eastAsia="en-US" w:bidi="ar-SA"/>
        </w:rPr>
        <w:t>Aeronautics Act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w:t>
      </w:r>
      <w:r>
        <w:rPr>
          <w:rFonts w:ascii="arial" w:eastAsia="arial" w:hAnsi="arial" w:cs="arial"/>
          <w:color w:val="000000"/>
          <w:sz w:val="20"/>
          <w:lang w:val="en-US" w:eastAsia="en-US" w:bidi="ar-SA"/>
        </w:rPr>
        <w:t xml:space="preserve">  IEA was subject to the provisions of the </w:t>
      </w:r>
      <w:r>
        <w:rPr>
          <w:rFonts w:ascii="arial" w:eastAsia="arial" w:hAnsi="arial" w:cs="arial"/>
          <w:i/>
          <w:color w:val="000000"/>
          <w:sz w:val="20"/>
          <w:lang w:val="en-US" w:eastAsia="en-US" w:bidi="ar-SA"/>
        </w:rPr>
        <w:t>Act.</w:t>
      </w:r>
      <w:r>
        <w:rPr>
          <w:rFonts w:ascii="arial" w:eastAsia="arial" w:hAnsi="arial" w:cs="arial"/>
          <w:color w:val="000000"/>
          <w:sz w:val="20"/>
          <w:lang w:val="en-US" w:eastAsia="en-US" w:bidi="ar-SA"/>
        </w:rPr>
        <w:t xml:space="preserve"> As one would expect, the industry is heavily regulated. I will review some of the more significant parts of the </w:t>
      </w:r>
      <w:r>
        <w:rPr>
          <w:rFonts w:ascii="arial" w:eastAsia="arial" w:hAnsi="arial" w:cs="arial"/>
          <w:i/>
          <w:color w:val="000000"/>
          <w:sz w:val="20"/>
          <w:lang w:val="en-US" w:eastAsia="en-US" w:bidi="ar-SA"/>
        </w:rPr>
        <w:t>Act</w:t>
      </w:r>
      <w:r>
        <w:rPr>
          <w:rFonts w:ascii="arial" w:eastAsia="arial" w:hAnsi="arial" w:cs="arial"/>
          <w:color w:val="000000"/>
          <w:sz w:val="20"/>
          <w:lang w:val="en-US" w:eastAsia="en-US" w:bidi="ar-SA"/>
        </w:rPr>
        <w:t xml:space="preserve"> and regulations as they are important to the findings I must ultimately make.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w:t>
      </w:r>
      <w:r>
        <w:rPr>
          <w:rFonts w:ascii="arial" w:eastAsia="arial" w:hAnsi="arial" w:cs="arial"/>
          <w:color w:val="000000"/>
          <w:sz w:val="20"/>
          <w:lang w:val="en-US" w:eastAsia="en-US" w:bidi="ar-SA"/>
        </w:rPr>
        <w:t>  The Minister is responsible for the development, regulation and supervision of all matters connected with aeronautics, including the accreditation, licensing and certification of all persons providing services relating to aeronautics.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w:t>
      </w:r>
      <w:r>
        <w:rPr>
          <w:rFonts w:ascii="arial" w:eastAsia="arial" w:hAnsi="arial" w:cs="arial"/>
          <w:color w:val="000000"/>
          <w:sz w:val="20"/>
          <w:lang w:val="en-US" w:eastAsia="en-US" w:bidi="ar-SA"/>
        </w:rPr>
        <w:t>  In order to discharge those responsibilities the Minister is given a number of broad powers in s. 4.2, including the power to</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r>
        <w:rPr>
          <w:rFonts w:ascii="arial" w:eastAsia="arial" w:hAnsi="arial" w:cs="arial"/>
          <w:i/>
          <w:color w:val="000000"/>
          <w:sz w:val="20"/>
          <w:lang w:val="en-US" w:eastAsia="en-US" w:bidi="ar-SA"/>
        </w:rPr>
        <w:t>a</w:t>
      </w:r>
      <w:r>
        <w:rPr>
          <w:rFonts w:ascii="arial" w:eastAsia="arial" w:hAnsi="arial" w:cs="arial"/>
          <w:color w:val="000000"/>
          <w:sz w:val="20"/>
          <w:lang w:val="en-US" w:eastAsia="en-US" w:bidi="ar-SA"/>
        </w:rPr>
        <w:t>) promote aeronautics by such means as the Minister considers appropriate;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r>
        <w:rPr>
          <w:rFonts w:ascii="arial" w:eastAsia="arial" w:hAnsi="arial" w:cs="arial"/>
          <w:i/>
          <w:color w:val="000000"/>
          <w:sz w:val="20"/>
          <w:lang w:val="en-US" w:eastAsia="en-US" w:bidi="ar-SA"/>
        </w:rPr>
        <w:t>k</w:t>
      </w:r>
      <w:r>
        <w:rPr>
          <w:rFonts w:ascii="arial" w:eastAsia="arial" w:hAnsi="arial" w:cs="arial"/>
          <w:color w:val="000000"/>
          <w:sz w:val="20"/>
          <w:lang w:val="en-US" w:eastAsia="en-US" w:bidi="ar-SA"/>
        </w:rPr>
        <w:t>) investigate, examine and report on the operation and development of commercial air services in, to or from Canada;</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r>
        <w:rPr>
          <w:rFonts w:ascii="arial" w:eastAsia="arial" w:hAnsi="arial" w:cs="arial"/>
          <w:i/>
          <w:color w:val="000000"/>
          <w:sz w:val="20"/>
          <w:lang w:val="en-US" w:eastAsia="en-US" w:bidi="ar-SA"/>
        </w:rPr>
        <w:t>n</w:t>
      </w:r>
      <w:r>
        <w:rPr>
          <w:rFonts w:ascii="arial" w:eastAsia="arial" w:hAnsi="arial" w:cs="arial"/>
          <w:color w:val="000000"/>
          <w:sz w:val="20"/>
          <w:lang w:val="en-US" w:eastAsia="en-US" w:bidi="ar-SA"/>
        </w:rPr>
        <w:t>) investigate matters concerning aviation safety; and</w:t>
      </w:r>
    </w:p>
    <w:p>
      <w:pPr>
        <w:numPr>
          <w:numId w:val="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undertake such other activities in relation to aeronautics as the Minister considers appropriate or as the Governor in Council may direct.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w:t>
      </w:r>
      <w:r>
        <w:rPr>
          <w:rFonts w:ascii="arial" w:eastAsia="arial" w:hAnsi="arial" w:cs="arial"/>
          <w:color w:val="000000"/>
          <w:sz w:val="20"/>
          <w:lang w:val="en-US" w:eastAsia="en-US" w:bidi="ar-SA"/>
        </w:rPr>
        <w:t xml:space="preserve">  The Governor in Council can make regulations relating to operators engaged in aeronautics, including the accreditation, licensing and certification of air carriers and the conditions under which aircraft can be operated: </w:t>
      </w:r>
      <w:r>
        <w:rPr>
          <w:rFonts w:ascii="arial" w:eastAsia="arial" w:hAnsi="arial" w:cs="arial"/>
          <w:i/>
          <w:color w:val="000000"/>
          <w:sz w:val="20"/>
          <w:lang w:val="en-US" w:eastAsia="en-US" w:bidi="ar-SA"/>
        </w:rPr>
        <w:t>Act</w:t>
      </w:r>
      <w:r>
        <w:rPr>
          <w:rFonts w:ascii="arial" w:eastAsia="arial" w:hAnsi="arial" w:cs="arial"/>
          <w:color w:val="000000"/>
          <w:sz w:val="20"/>
          <w:lang w:val="en-US" w:eastAsia="en-US" w:bidi="ar-SA"/>
        </w:rPr>
        <w:t xml:space="preserve">, s. 4.9(c)(g)(h). Those regulations include Part VII of the </w:t>
      </w:r>
      <w:r>
        <w:rPr>
          <w:rFonts w:ascii="arial" w:eastAsia="arial" w:hAnsi="arial" w:cs="arial"/>
          <w:i/>
          <w:color w:val="000000"/>
          <w:sz w:val="20"/>
          <w:lang w:val="en-US" w:eastAsia="en-US" w:bidi="ar-SA"/>
        </w:rPr>
        <w:t>Canadian Aviation Regulations</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S.O.R./96-433</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w:t>
      </w:r>
      <w:r>
        <w:rPr>
          <w:rFonts w:ascii="arial" w:eastAsia="arial" w:hAnsi="arial" w:cs="arial"/>
          <w:i/>
          <w:color w:val="000000"/>
          <w:sz w:val="20"/>
          <w:lang w:val="en-US" w:eastAsia="en-US" w:bidi="ar-SA"/>
        </w:rPr>
        <w:t>CARs</w:t>
      </w:r>
      <w:r>
        <w:rPr>
          <w:rFonts w:ascii="arial" w:eastAsia="arial" w:hAnsi="arial" w:cs="arial"/>
          <w:color w:val="000000"/>
          <w:sz w:val="20"/>
          <w:lang w:val="en-US" w:eastAsia="en-US" w:bidi="ar-SA"/>
        </w:rPr>
        <w:t>"), which governs Commercial Air Services.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Transport Canada Civil Aviation Branch ("TCCA")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w:t>
      </w:r>
      <w:r>
        <w:rPr>
          <w:rFonts w:ascii="arial" w:eastAsia="arial" w:hAnsi="arial" w:cs="arial"/>
          <w:color w:val="000000"/>
          <w:sz w:val="20"/>
          <w:lang w:val="en-US" w:eastAsia="en-US" w:bidi="ar-SA"/>
        </w:rPr>
        <w:t>  The Minister's responsibilities are delegated to Transport Canada, and in particular, to its Civil Aviation Branch.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w:t>
      </w:r>
      <w:r>
        <w:rPr>
          <w:rFonts w:ascii="arial" w:eastAsia="arial" w:hAnsi="arial" w:cs="arial"/>
          <w:color w:val="000000"/>
          <w:sz w:val="20"/>
          <w:lang w:val="en-US" w:eastAsia="en-US" w:bidi="ar-SA"/>
        </w:rPr>
        <w:t>  TCCA's Charter provides this description of its role: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Transport Canada Civil Aviation (TCCA) is charged with all of Transport Canada's regulatory responsibilities to provide effective safety oversight in all aspects of the civil aviation system. TCCA's authority rests primarily in the </w:t>
      </w:r>
      <w:r>
        <w:rPr>
          <w:rFonts w:ascii="arial" w:eastAsia="arial" w:hAnsi="arial" w:cs="arial"/>
          <w:i/>
          <w:color w:val="000000"/>
          <w:sz w:val="20"/>
          <w:lang w:val="en-US" w:eastAsia="en-US" w:bidi="ar-SA"/>
        </w:rPr>
        <w:t>Aeronautics Act</w:t>
      </w:r>
      <w:r>
        <w:rPr>
          <w:rFonts w:ascii="arial" w:eastAsia="arial" w:hAnsi="arial" w:cs="arial"/>
          <w:color w:val="000000"/>
          <w:sz w:val="20"/>
          <w:lang w:val="en-US" w:eastAsia="en-US" w:bidi="ar-SA"/>
        </w:rPr>
        <w:t xml:space="preserve">; the </w:t>
      </w:r>
      <w:r>
        <w:rPr>
          <w:rFonts w:ascii="arial" w:eastAsia="arial" w:hAnsi="arial" w:cs="arial"/>
          <w:i/>
          <w:color w:val="000000"/>
          <w:sz w:val="20"/>
          <w:lang w:val="en-US" w:eastAsia="en-US" w:bidi="ar-SA"/>
        </w:rPr>
        <w:t>Canadian Aviation Regulations</w:t>
      </w:r>
      <w:r>
        <w:rPr>
          <w:rFonts w:ascii="arial" w:eastAsia="arial" w:hAnsi="arial" w:cs="arial"/>
          <w:color w:val="000000"/>
          <w:sz w:val="20"/>
          <w:lang w:val="en-US" w:eastAsia="en-US" w:bidi="ar-SA"/>
        </w:rPr>
        <w:t xml:space="preserve"> (CARs) and related Standards; the </w:t>
      </w:r>
      <w:r>
        <w:rPr>
          <w:rFonts w:ascii="arial" w:eastAsia="arial" w:hAnsi="arial" w:cs="arial"/>
          <w:i/>
          <w:color w:val="000000"/>
          <w:sz w:val="20"/>
          <w:lang w:val="en-US" w:eastAsia="en-US" w:bidi="ar-SA"/>
        </w:rPr>
        <w:t>Canada Labour Code</w:t>
      </w:r>
      <w:r>
        <w:rPr>
          <w:rFonts w:ascii="arial" w:eastAsia="arial" w:hAnsi="arial" w:cs="arial"/>
          <w:color w:val="000000"/>
          <w:sz w:val="20"/>
          <w:lang w:val="en-US" w:eastAsia="en-US" w:bidi="ar-SA"/>
        </w:rPr>
        <w:t xml:space="preserve">, Part II; the </w:t>
      </w:r>
      <w:r>
        <w:rPr>
          <w:rFonts w:ascii="arial" w:eastAsia="arial" w:hAnsi="arial" w:cs="arial"/>
          <w:i/>
          <w:color w:val="000000"/>
          <w:sz w:val="20"/>
          <w:lang w:val="en-US" w:eastAsia="en-US" w:bidi="ar-SA"/>
        </w:rPr>
        <w:t>Transportation of Dangerous Goods Act</w:t>
      </w:r>
      <w:r>
        <w:rPr>
          <w:rFonts w:ascii="arial" w:eastAsia="arial" w:hAnsi="arial" w:cs="arial"/>
          <w:color w:val="000000"/>
          <w:sz w:val="20"/>
          <w:lang w:val="en-US" w:eastAsia="en-US" w:bidi="ar-SA"/>
        </w:rPr>
        <w:t xml:space="preserve">; the </w:t>
      </w:r>
      <w:r>
        <w:rPr>
          <w:rFonts w:ascii="arial" w:eastAsia="arial" w:hAnsi="arial" w:cs="arial"/>
          <w:i/>
          <w:color w:val="000000"/>
          <w:sz w:val="20"/>
          <w:lang w:val="en-US" w:eastAsia="en-US" w:bidi="ar-SA"/>
        </w:rPr>
        <w:t>Civil Air Navigation Services Commercialization Act</w:t>
      </w:r>
      <w:r>
        <w:rPr>
          <w:rFonts w:ascii="arial" w:eastAsia="arial" w:hAnsi="arial" w:cs="arial"/>
          <w:color w:val="000000"/>
          <w:sz w:val="20"/>
          <w:lang w:val="en-US" w:eastAsia="en-US" w:bidi="ar-SA"/>
        </w:rPr>
        <w:t>, and International Civil Aviation Organization (CAO) standards, among others.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TCCA plays a key role in meeting the government's commitment to develop performance-based regulations that maintain a high level of protection for the travelling public more effectively. TCCA is developing a modern and relevant policy and legislative framework that will enhance the safety of Canada's civil aviation transportation system.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w:t>
      </w:r>
      <w:r>
        <w:rPr>
          <w:rFonts w:ascii="arial" w:eastAsia="arial" w:hAnsi="arial" w:cs="arial"/>
          <w:color w:val="000000"/>
          <w:sz w:val="20"/>
          <w:lang w:val="en-US" w:eastAsia="en-US" w:bidi="ar-SA"/>
        </w:rPr>
        <w:t>  TCCA's "Vision" and "Mission" are described respectively in the Charter as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 transportation system in Canada that is recognized worldwide as safe and secure, efficient and environmentally responsible.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TCCA's mission is to develop and administer policies and regulations for the safest civil aviation system for Canada and Canadians using a systems approach to managing risks.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w:t>
      </w:r>
      <w:r>
        <w:rPr>
          <w:rFonts w:ascii="arial" w:eastAsia="arial" w:hAnsi="arial" w:cs="arial"/>
          <w:color w:val="000000"/>
          <w:sz w:val="20"/>
          <w:lang w:val="en-US" w:eastAsia="en-US" w:bidi="ar-SA"/>
        </w:rPr>
        <w:t>  TCCA is organized into a number of regional offices, each of which is headed by a Regional Director. The defendant Mr. Nowzek was the Regional Director of the Pacific Region at the time of the accident and suspension.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w:t>
      </w:r>
      <w:r>
        <w:rPr>
          <w:rFonts w:ascii="arial" w:eastAsia="arial" w:hAnsi="arial" w:cs="arial"/>
          <w:color w:val="000000"/>
          <w:sz w:val="20"/>
          <w:lang w:val="en-US" w:eastAsia="en-US" w:bidi="ar-SA"/>
        </w:rPr>
        <w:t xml:space="preserve">  Part VII of the </w:t>
      </w:r>
      <w:r>
        <w:rPr>
          <w:rFonts w:ascii="arial" w:eastAsia="arial" w:hAnsi="arial" w:cs="arial"/>
          <w:i/>
          <w:color w:val="000000"/>
          <w:sz w:val="20"/>
          <w:lang w:val="en-US" w:eastAsia="en-US" w:bidi="ar-SA"/>
        </w:rPr>
        <w:t>CARs</w:t>
      </w:r>
      <w:r>
        <w:rPr>
          <w:rFonts w:ascii="arial" w:eastAsia="arial" w:hAnsi="arial" w:cs="arial"/>
          <w:color w:val="000000"/>
          <w:sz w:val="20"/>
          <w:lang w:val="en-US" w:eastAsia="en-US" w:bidi="ar-SA"/>
        </w:rPr>
        <w:t xml:space="preserve"> contains the rules required to obtain a Certificate and the standards which have to be maintained by the air operator pursuant to that certificate. TCCA's Commercial and Business Aviation department is responsible for the development and maintenance of regulations, standards, advisory circulars and staff instructions related to private operator passenger transportation and commercial air operations. The Air Operator Certification Standards Unit within the Commercial and Business Aviation department provides support and functional guidance to Certification Specialists in the regional offices and other branches regarding regulations, standards, procedures and guidelines for the certification of Canadian air operators.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w:t>
      </w:r>
      <w:r>
        <w:rPr>
          <w:rFonts w:ascii="arial" w:eastAsia="arial" w:hAnsi="arial" w:cs="arial"/>
          <w:color w:val="000000"/>
          <w:sz w:val="20"/>
          <w:lang w:val="en-US" w:eastAsia="en-US" w:bidi="ar-SA"/>
        </w:rPr>
        <w:t xml:space="preserve">  TCCA inspectors regularly monitor, audit and inspect both the flight and the maintenance operations of all air carriers in Canada. Each carrier is assigned a Principal Operations Inspector and a Principal Maintenance Inspector ("PMI") for the purpose of ensuring consistency and knowledge of that operator's personnel and operations. Inspections and audits may be scheduled or conducted on a random basis. Licence holders can expect random ramp inspections or inspectors accompanying pilots on flights to observe adherence to the regulations. Maintenance inspectors inspect maintenance facilities, log books and aircraft log books to ensure maintenance is done in accordance with manufacturers' or other requirements. Periodic audits which are scheduled of a certificate holder's operations can involve a team of TCCA auditors/inspectors attending at the operator's place of business for a full review of its operations and can take several days or longer. Should the holder of a certificate be found in noncompliance of the </w:t>
      </w:r>
      <w:r>
        <w:rPr>
          <w:rFonts w:ascii="arial" w:eastAsia="arial" w:hAnsi="arial" w:cs="arial"/>
          <w:i/>
          <w:color w:val="000000"/>
          <w:sz w:val="20"/>
          <w:lang w:val="en-US" w:eastAsia="en-US" w:bidi="ar-SA"/>
        </w:rPr>
        <w:t>CARs</w:t>
      </w:r>
      <w:r>
        <w:rPr>
          <w:rFonts w:ascii="arial" w:eastAsia="arial" w:hAnsi="arial" w:cs="arial"/>
          <w:color w:val="000000"/>
          <w:sz w:val="20"/>
          <w:lang w:val="en-US" w:eastAsia="en-US" w:bidi="ar-SA"/>
        </w:rPr>
        <w:t>, a "finding" will be made which, depending on the seriousness of the infraction and the operator's plan to correct the error, may be referred to the Aviation Enforcement Division of TCCA for further investigation and imposition of a sanction. Inspections are carried out pursuant to set policies and procedures according to various inspection manuals.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w:t>
      </w:r>
      <w:r>
        <w:rPr>
          <w:rFonts w:ascii="arial" w:eastAsia="arial" w:hAnsi="arial" w:cs="arial"/>
          <w:color w:val="000000"/>
          <w:sz w:val="20"/>
          <w:lang w:val="en-US" w:eastAsia="en-US" w:bidi="ar-SA"/>
        </w:rPr>
        <w:t>  TCCA can engage in the enhanced monitoring of a certificate holder when it is considered appropriate to do so given particular "risk indicators" pertaining to the operations of the particular certificate holder. Such risk indicators include the complexity of an operator's operation, the number of certificates and authorities it held (where and the circumstances under which it could fly), the scope of work done, the geographic organization, staff turnover, performance, the results of regulatory inspections and audits, whether "findings" have been made and the success of the holder in solving issues under corrective action plans ("CAPs").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w:t>
      </w:r>
      <w:r>
        <w:rPr>
          <w:rFonts w:ascii="arial" w:eastAsia="arial" w:hAnsi="arial" w:cs="arial"/>
          <w:color w:val="000000"/>
          <w:sz w:val="20"/>
          <w:lang w:val="en-US" w:eastAsia="en-US" w:bidi="ar-SA"/>
        </w:rPr>
        <w:t xml:space="preserve">  The Aviation Enforcement Division is charged with enforcement action for contraventions of the </w:t>
      </w:r>
      <w:r>
        <w:rPr>
          <w:rFonts w:ascii="arial" w:eastAsia="arial" w:hAnsi="arial" w:cs="arial"/>
          <w:i/>
          <w:color w:val="000000"/>
          <w:sz w:val="20"/>
          <w:lang w:val="en-US" w:eastAsia="en-US" w:bidi="ar-SA"/>
        </w:rPr>
        <w:t>Act</w:t>
      </w:r>
      <w:r>
        <w:rPr>
          <w:rFonts w:ascii="arial" w:eastAsia="arial" w:hAnsi="arial" w:cs="arial"/>
          <w:color w:val="000000"/>
          <w:sz w:val="20"/>
          <w:lang w:val="en-US" w:eastAsia="en-US" w:bidi="ar-SA"/>
        </w:rPr>
        <w:t xml:space="preserve"> or </w:t>
      </w:r>
      <w:r>
        <w:rPr>
          <w:rFonts w:ascii="arial" w:eastAsia="arial" w:hAnsi="arial" w:cs="arial"/>
          <w:i/>
          <w:color w:val="000000"/>
          <w:sz w:val="20"/>
          <w:lang w:val="en-US" w:eastAsia="en-US" w:bidi="ar-SA"/>
        </w:rPr>
        <w:t>CARs</w:t>
      </w:r>
      <w:r>
        <w:rPr>
          <w:rFonts w:ascii="arial" w:eastAsia="arial" w:hAnsi="arial" w:cs="arial"/>
          <w:color w:val="000000"/>
          <w:sz w:val="20"/>
          <w:lang w:val="en-US" w:eastAsia="en-US" w:bidi="ar-SA"/>
        </w:rPr>
        <w:t>. Typically if inspectors find an infraction, they prepare a "finding" and detection notice and provide that notice to the Aviation Enforcement Division, which would then do a more formal investigation and, if an infraction is established, recommend a fine or other penalty, up to and including a suspension or cancellation of the holder's certificate.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The Canadian Aviation Regulations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w:t>
      </w:r>
      <w:r>
        <w:rPr>
          <w:rFonts w:ascii="arial" w:eastAsia="arial" w:hAnsi="arial" w:cs="arial"/>
          <w:color w:val="000000"/>
          <w:sz w:val="20"/>
          <w:lang w:val="en-US" w:eastAsia="en-US" w:bidi="ar-SA"/>
        </w:rPr>
        <w:t xml:space="preserve">  The </w:t>
      </w:r>
      <w:r>
        <w:rPr>
          <w:rFonts w:ascii="arial" w:eastAsia="arial" w:hAnsi="arial" w:cs="arial"/>
          <w:i/>
          <w:color w:val="000000"/>
          <w:sz w:val="20"/>
          <w:lang w:val="en-US" w:eastAsia="en-US" w:bidi="ar-SA"/>
        </w:rPr>
        <w:t>CARs</w:t>
      </w:r>
      <w:r>
        <w:rPr>
          <w:rFonts w:ascii="arial" w:eastAsia="arial" w:hAnsi="arial" w:cs="arial"/>
          <w:color w:val="000000"/>
          <w:sz w:val="20"/>
          <w:lang w:val="en-US" w:eastAsia="en-US" w:bidi="ar-SA"/>
        </w:rPr>
        <w:t xml:space="preserve"> are regulations made pursuant to the </w:t>
      </w:r>
      <w:r>
        <w:rPr>
          <w:rFonts w:ascii="arial" w:eastAsia="arial" w:hAnsi="arial" w:cs="arial"/>
          <w:i/>
          <w:color w:val="000000"/>
          <w:sz w:val="20"/>
          <w:lang w:val="en-US" w:eastAsia="en-US" w:bidi="ar-SA"/>
        </w:rPr>
        <w:t>Act</w:t>
      </w:r>
      <w:r>
        <w:rPr>
          <w:rFonts w:ascii="arial" w:eastAsia="arial" w:hAnsi="arial" w:cs="arial"/>
          <w:color w:val="000000"/>
          <w:sz w:val="20"/>
          <w:lang w:val="en-US" w:eastAsia="en-US" w:bidi="ar-SA"/>
        </w:rPr>
        <w:t xml:space="preserve"> which set out the standards which must be met before a Certificate can be obtained and which must be met to remain in compliance with that certificate. The regulations are detailed and extensive. They prescribe not only what must be done but the manner in which it must be done.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w:t>
      </w:r>
      <w:r>
        <w:rPr>
          <w:rFonts w:ascii="arial" w:eastAsia="arial" w:hAnsi="arial" w:cs="arial"/>
          <w:color w:val="000000"/>
          <w:sz w:val="20"/>
          <w:lang w:val="en-US" w:eastAsia="en-US" w:bidi="ar-SA"/>
        </w:rPr>
        <w:t xml:space="preserve">  Among many other regulatory requirements, the </w:t>
      </w:r>
      <w:r>
        <w:rPr>
          <w:rFonts w:ascii="arial" w:eastAsia="arial" w:hAnsi="arial" w:cs="arial"/>
          <w:i/>
          <w:color w:val="000000"/>
          <w:sz w:val="20"/>
          <w:lang w:val="en-US" w:eastAsia="en-US" w:bidi="ar-SA"/>
        </w:rPr>
        <w:t>CARs</w:t>
      </w:r>
      <w:r>
        <w:rPr>
          <w:rFonts w:ascii="arial" w:eastAsia="arial" w:hAnsi="arial" w:cs="arial"/>
          <w:color w:val="000000"/>
          <w:sz w:val="20"/>
          <w:lang w:val="en-US" w:eastAsia="en-US" w:bidi="ar-SA"/>
        </w:rPr>
        <w:t xml:space="preserve"> require that the holder of a Certificate must employ three key personnel who are approved and certified: an Operations Manager, a Chief Pilot and a Person Responsible for Maintenance ("PRM"). The </w:t>
      </w:r>
      <w:r>
        <w:rPr>
          <w:rFonts w:ascii="arial" w:eastAsia="arial" w:hAnsi="arial" w:cs="arial"/>
          <w:i/>
          <w:color w:val="000000"/>
          <w:sz w:val="20"/>
          <w:lang w:val="en-US" w:eastAsia="en-US" w:bidi="ar-SA"/>
        </w:rPr>
        <w:t>CARs</w:t>
      </w:r>
      <w:r>
        <w:rPr>
          <w:rFonts w:ascii="arial" w:eastAsia="arial" w:hAnsi="arial" w:cs="arial"/>
          <w:color w:val="000000"/>
          <w:sz w:val="20"/>
          <w:lang w:val="en-US" w:eastAsia="en-US" w:bidi="ar-SA"/>
        </w:rPr>
        <w:t xml:space="preserve"> specify the duties and responsibilities of each position, the management reporting structure and the content of the Certificate holder's Operations Manual.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w:t>
      </w:r>
      <w:r>
        <w:rPr>
          <w:rFonts w:ascii="arial" w:eastAsia="arial" w:hAnsi="arial" w:cs="arial"/>
          <w:color w:val="000000"/>
          <w:sz w:val="20"/>
          <w:lang w:val="en-US" w:eastAsia="en-US" w:bidi="ar-SA"/>
        </w:rPr>
        <w:t>  </w:t>
      </w:r>
      <w:r>
        <w:rPr>
          <w:rFonts w:ascii="arial" w:eastAsia="arial" w:hAnsi="arial" w:cs="arial"/>
          <w:i/>
          <w:color w:val="000000"/>
          <w:sz w:val="20"/>
          <w:lang w:val="en-US" w:eastAsia="en-US" w:bidi="ar-SA"/>
        </w:rPr>
        <w:t>CARs</w:t>
      </w:r>
      <w:r>
        <w:rPr>
          <w:rFonts w:ascii="arial" w:eastAsia="arial" w:hAnsi="arial" w:cs="arial"/>
          <w:color w:val="000000"/>
          <w:sz w:val="20"/>
          <w:lang w:val="en-US" w:eastAsia="en-US" w:bidi="ar-SA"/>
        </w:rPr>
        <w:t xml:space="preserve"> s. 703.07(1)(b) requires that "the applicant demonstrates to the Minister the ability to ... maintain an operational control system."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w:t>
      </w:r>
      <w:r>
        <w:rPr>
          <w:rFonts w:ascii="arial" w:eastAsia="arial" w:hAnsi="arial" w:cs="arial"/>
          <w:color w:val="000000"/>
          <w:sz w:val="20"/>
          <w:lang w:val="en-US" w:eastAsia="en-US" w:bidi="ar-SA"/>
        </w:rPr>
        <w:t>  </w:t>
      </w:r>
      <w:r>
        <w:rPr>
          <w:rFonts w:ascii="arial" w:eastAsia="arial" w:hAnsi="arial" w:cs="arial"/>
          <w:i/>
          <w:color w:val="000000"/>
          <w:sz w:val="20"/>
          <w:lang w:val="en-US" w:eastAsia="en-US" w:bidi="ar-SA"/>
        </w:rPr>
        <w:t>CARs</w:t>
      </w:r>
      <w:r>
        <w:rPr>
          <w:rFonts w:ascii="arial" w:eastAsia="arial" w:hAnsi="arial" w:cs="arial"/>
          <w:color w:val="000000"/>
          <w:sz w:val="20"/>
          <w:lang w:val="en-US" w:eastAsia="en-US" w:bidi="ar-SA"/>
        </w:rPr>
        <w:t xml:space="preserve"> s. 703.16 requires that "[n]o air operator shall operate an aircraft unless the air operator has an operational control system that meets the </w:t>
      </w:r>
      <w:r>
        <w:rPr>
          <w:rFonts w:ascii="arial" w:eastAsia="arial" w:hAnsi="arial" w:cs="arial"/>
          <w:i/>
          <w:color w:val="000000"/>
          <w:sz w:val="20"/>
          <w:lang w:val="en-US" w:eastAsia="en-US" w:bidi="ar-SA"/>
        </w:rPr>
        <w:t>Commercial Air Services Standards</w:t>
      </w:r>
      <w:r>
        <w:rPr>
          <w:rFonts w:ascii="arial" w:eastAsia="arial" w:hAnsi="arial" w:cs="arial"/>
          <w:color w:val="000000"/>
          <w:sz w:val="20"/>
          <w:lang w:val="en-US" w:eastAsia="en-US" w:bidi="ar-SA"/>
        </w:rPr>
        <w:t xml:space="preserve"> and is under the control of its operations manager."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w:t>
      </w:r>
      <w:r>
        <w:rPr>
          <w:rFonts w:ascii="arial" w:eastAsia="arial" w:hAnsi="arial" w:cs="arial"/>
          <w:color w:val="000000"/>
          <w:sz w:val="20"/>
          <w:lang w:val="en-US" w:eastAsia="en-US" w:bidi="ar-SA"/>
        </w:rPr>
        <w:t xml:space="preserve">  Subpart 6 of Part VII of the </w:t>
      </w:r>
      <w:r>
        <w:rPr>
          <w:rFonts w:ascii="arial" w:eastAsia="arial" w:hAnsi="arial" w:cs="arial"/>
          <w:i/>
          <w:color w:val="000000"/>
          <w:sz w:val="20"/>
          <w:lang w:val="en-US" w:eastAsia="en-US" w:bidi="ar-SA"/>
        </w:rPr>
        <w:t>CARs</w:t>
      </w:r>
      <w:r>
        <w:rPr>
          <w:rFonts w:ascii="arial" w:eastAsia="arial" w:hAnsi="arial" w:cs="arial"/>
          <w:color w:val="000000"/>
          <w:sz w:val="20"/>
          <w:lang w:val="en-US" w:eastAsia="en-US" w:bidi="ar-SA"/>
        </w:rPr>
        <w:t xml:space="preserve"> deals with "Aircraft Maintenance Requirements for Air Operators".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w:t>
      </w:r>
      <w:r>
        <w:rPr>
          <w:rFonts w:ascii="arial" w:eastAsia="arial" w:hAnsi="arial" w:cs="arial"/>
          <w:color w:val="000000"/>
          <w:sz w:val="20"/>
          <w:lang w:val="en-US" w:eastAsia="en-US" w:bidi="ar-SA"/>
        </w:rPr>
        <w:t>  </w:t>
      </w:r>
      <w:r>
        <w:rPr>
          <w:rFonts w:ascii="arial" w:eastAsia="arial" w:hAnsi="arial" w:cs="arial"/>
          <w:i/>
          <w:color w:val="000000"/>
          <w:sz w:val="20"/>
          <w:lang w:val="en-US" w:eastAsia="en-US" w:bidi="ar-SA"/>
        </w:rPr>
        <w:t>CARs</w:t>
      </w:r>
      <w:r>
        <w:rPr>
          <w:rFonts w:ascii="arial" w:eastAsia="arial" w:hAnsi="arial" w:cs="arial"/>
          <w:color w:val="000000"/>
          <w:sz w:val="20"/>
          <w:lang w:val="en-US" w:eastAsia="en-US" w:bidi="ar-SA"/>
        </w:rPr>
        <w:t xml:space="preserve"> s. 706.02 provides that "[n]o person shall operate an aircraft unless the aircraft is maintained in accordance with a maintenance control system" that meets the requirements set out in the regulations and "is described in the operator's maintenance control manual" as required by the regulations.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34</w:t>
      </w:r>
      <w:r>
        <w:rPr>
          <w:rFonts w:ascii="arial" w:eastAsia="arial" w:hAnsi="arial" w:cs="arial"/>
          <w:color w:val="000000"/>
          <w:sz w:val="20"/>
          <w:lang w:val="en-US" w:eastAsia="en-US" w:bidi="ar-SA"/>
        </w:rPr>
        <w:t xml:space="preserve">  As stated, the air operator is required to appoint a PRM who meets the qualifications required by the Minister and to provide that person with authority, </w:t>
      </w:r>
      <w:r>
        <w:rPr>
          <w:rFonts w:ascii="arial" w:eastAsia="arial" w:hAnsi="arial" w:cs="arial"/>
          <w:i/>
          <w:color w:val="000000"/>
          <w:sz w:val="20"/>
          <w:lang w:val="en-US" w:eastAsia="en-US" w:bidi="ar-SA"/>
        </w:rPr>
        <w:t>inter alia</w:t>
      </w:r>
      <w:r>
        <w:rPr>
          <w:rFonts w:ascii="arial" w:eastAsia="arial" w:hAnsi="arial" w:cs="arial"/>
          <w:color w:val="000000"/>
          <w:sz w:val="20"/>
          <w:lang w:val="en-US" w:eastAsia="en-US" w:bidi="ar-SA"/>
        </w:rPr>
        <w:t xml:space="preserve">, to "remove aircraft from operation if the removal is justified because of non-compliance with the requirements of these Regulations or because of a risk to aviation safety or the safety of the public": </w:t>
      </w:r>
      <w:r>
        <w:rPr>
          <w:rFonts w:ascii="arial" w:eastAsia="arial" w:hAnsi="arial" w:cs="arial"/>
          <w:i/>
          <w:color w:val="000000"/>
          <w:sz w:val="20"/>
          <w:lang w:val="en-US" w:eastAsia="en-US" w:bidi="ar-SA"/>
        </w:rPr>
        <w:t>CARs</w:t>
      </w:r>
      <w:r>
        <w:rPr>
          <w:rFonts w:ascii="arial" w:eastAsia="arial" w:hAnsi="arial" w:cs="arial"/>
          <w:color w:val="000000"/>
          <w:sz w:val="20"/>
          <w:lang w:val="en-US" w:eastAsia="en-US" w:bidi="ar-SA"/>
        </w:rPr>
        <w:t xml:space="preserve">, s. 706.03(1)(f). Under s. 706.07(1) the PRM is responsible for setting up and maintaining a quality assurance program to ensure that the air operator's maintenance control system and all of the included maintenance schedules continue to be effective and to comply with the </w:t>
      </w:r>
      <w:r>
        <w:rPr>
          <w:rFonts w:ascii="arial" w:eastAsia="arial" w:hAnsi="arial" w:cs="arial"/>
          <w:i/>
          <w:color w:val="000000"/>
          <w:sz w:val="20"/>
          <w:lang w:val="en-US" w:eastAsia="en-US" w:bidi="ar-SA"/>
        </w:rPr>
        <w:t>CARs</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35</w:t>
      </w:r>
      <w:r>
        <w:rPr>
          <w:rFonts w:ascii="arial" w:eastAsia="arial" w:hAnsi="arial" w:cs="arial"/>
          <w:color w:val="000000"/>
          <w:sz w:val="20"/>
          <w:lang w:val="en-US" w:eastAsia="en-US" w:bidi="ar-SA"/>
        </w:rPr>
        <w:t>  </w:t>
      </w:r>
      <w:r>
        <w:rPr>
          <w:rFonts w:ascii="arial" w:eastAsia="arial" w:hAnsi="arial" w:cs="arial"/>
          <w:i/>
          <w:color w:val="000000"/>
          <w:sz w:val="20"/>
          <w:lang w:val="en-US" w:eastAsia="en-US" w:bidi="ar-SA"/>
        </w:rPr>
        <w:t>CARs</w:t>
      </w:r>
      <w:r>
        <w:rPr>
          <w:rFonts w:ascii="arial" w:eastAsia="arial" w:hAnsi="arial" w:cs="arial"/>
          <w:color w:val="000000"/>
          <w:sz w:val="20"/>
          <w:lang w:val="en-US" w:eastAsia="en-US" w:bidi="ar-SA"/>
        </w:rPr>
        <w:t xml:space="preserve"> s. 706.08 requires an air operator to establish and maintain an up to date Maintenance Control Manual that contains the requirements mandated by the C</w:t>
      </w:r>
      <w:r>
        <w:rPr>
          <w:rFonts w:ascii="arial" w:eastAsia="arial" w:hAnsi="arial" w:cs="arial"/>
          <w:i/>
          <w:color w:val="000000"/>
          <w:sz w:val="20"/>
          <w:lang w:val="en-US" w:eastAsia="en-US" w:bidi="ar-SA"/>
        </w:rPr>
        <w:t>ommercial Air Service Standards.</w:t>
      </w:r>
      <w:r>
        <w:rPr>
          <w:rFonts w:ascii="arial" w:eastAsia="arial" w:hAnsi="arial" w:cs="arial"/>
          <w:color w:val="000000"/>
          <w:sz w:val="20"/>
          <w:lang w:val="en-US" w:eastAsia="en-US" w:bidi="ar-SA"/>
        </w:rPr>
        <w:t xml:space="preserve"> The air operator is required to submit each page of its Maintenance Control Manual to TCCA for approval and to amend it when required to do so by TCCA.</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Grounds for Cancellation/Suspension of Certificate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36</w:t>
      </w:r>
      <w:r>
        <w:rPr>
          <w:rFonts w:ascii="arial" w:eastAsia="arial" w:hAnsi="arial" w:cs="arial"/>
          <w:color w:val="000000"/>
          <w:sz w:val="20"/>
          <w:lang w:val="en-US" w:eastAsia="en-US" w:bidi="ar-SA"/>
        </w:rPr>
        <w:t xml:space="preserve">  Transport Canada may, under circumstances prescribed in the </w:t>
      </w:r>
      <w:r>
        <w:rPr>
          <w:rFonts w:ascii="arial" w:eastAsia="arial" w:hAnsi="arial" w:cs="arial"/>
          <w:i/>
          <w:color w:val="000000"/>
          <w:sz w:val="20"/>
          <w:lang w:val="en-US" w:eastAsia="en-US" w:bidi="ar-SA"/>
        </w:rPr>
        <w:t>Act</w:t>
      </w:r>
      <w:r>
        <w:rPr>
          <w:rFonts w:ascii="arial" w:eastAsia="arial" w:hAnsi="arial" w:cs="arial"/>
          <w:color w:val="000000"/>
          <w:sz w:val="20"/>
          <w:lang w:val="en-US" w:eastAsia="en-US" w:bidi="ar-SA"/>
        </w:rPr>
        <w:t>, suspend or cancel a Certificate.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37</w:t>
      </w:r>
      <w:r>
        <w:rPr>
          <w:rFonts w:ascii="arial" w:eastAsia="arial" w:hAnsi="arial" w:cs="arial"/>
          <w:color w:val="000000"/>
          <w:sz w:val="20"/>
          <w:lang w:val="en-US" w:eastAsia="en-US" w:bidi="ar-SA"/>
        </w:rPr>
        <w:t xml:space="preserve">  The circumstances under which a Certificate may be suspended are set out in ss. 6.6 to 7.21 of the </w:t>
      </w:r>
      <w:r>
        <w:rPr>
          <w:rFonts w:ascii="arial" w:eastAsia="arial" w:hAnsi="arial" w:cs="arial"/>
          <w:i/>
          <w:color w:val="000000"/>
          <w:sz w:val="20"/>
          <w:lang w:val="en-US" w:eastAsia="en-US" w:bidi="ar-SA"/>
        </w:rPr>
        <w:t>Act</w:t>
      </w:r>
      <w:r>
        <w:rPr>
          <w:rFonts w:ascii="arial" w:eastAsia="arial" w:hAnsi="arial" w:cs="arial"/>
          <w:color w:val="000000"/>
          <w:sz w:val="20"/>
          <w:lang w:val="en-US" w:eastAsia="en-US" w:bidi="ar-SA"/>
        </w:rPr>
        <w:t>. I will only discuss the provisions relevant to this case: ss. 7(1) and 7.1(1).</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38</w:t>
      </w:r>
      <w:r>
        <w:rPr>
          <w:rFonts w:ascii="arial" w:eastAsia="arial" w:hAnsi="arial" w:cs="arial"/>
          <w:color w:val="000000"/>
          <w:sz w:val="20"/>
          <w:lang w:val="en-US" w:eastAsia="en-US" w:bidi="ar-SA"/>
        </w:rPr>
        <w:t>  Section 7(1) provides that the Minister may suspend a Canadian aviation document "on the grounds that an immediate threat to aviation safety or security exists or is likely to occur as a result of an act or thing that was or is being done under the authority of the document or that is proposed to be done under the authority of the document".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39</w:t>
      </w:r>
      <w:r>
        <w:rPr>
          <w:rFonts w:ascii="arial" w:eastAsia="arial" w:hAnsi="arial" w:cs="arial"/>
          <w:color w:val="000000"/>
          <w:sz w:val="20"/>
          <w:lang w:val="en-US" w:eastAsia="en-US" w:bidi="ar-SA"/>
        </w:rPr>
        <w:t>  Section 7.1(1) provides three "other grounds" under which the Minister may suspend, cancel or refuse to renew a Certificate. Those grounds are incompetency, ceasing to meet the qualifications necessary for the issuance of the certificate and the public interest. Section 7.1(1) reads: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7.1</w:t>
      </w:r>
      <w:r>
        <w:rPr>
          <w:rFonts w:ascii="arial" w:eastAsia="arial" w:hAnsi="arial" w:cs="arial"/>
          <w:color w:val="000000"/>
          <w:sz w:val="20"/>
          <w:lang w:val="en-US" w:eastAsia="en-US" w:bidi="ar-SA"/>
        </w:rPr>
        <w:t>(1) If the Minister decides to suspend, cancel or refuse to renew a Canadian aviation document on the grounds that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1987"/>
        <w:gridCol w:w="6796"/>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1946"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i/>
                <w:color w:val="000000"/>
                <w:sz w:val="18"/>
                <w:lang w:val="en-US" w:eastAsia="en-US" w:bidi="ar-SA"/>
              </w:rPr>
              <w:t>(a)</w:t>
            </w:r>
          </w:p>
        </w:tc>
        <w:tc>
          <w:tcPr>
            <w:tcW w:w="6656"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the holder of the document is incompetent,</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19"/>
        <w:gridCol w:w="1858"/>
        <w:gridCol w:w="238"/>
        <w:gridCol w:w="6709"/>
        <w:gridCol w:w="103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1843"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i/>
                <w:color w:val="000000"/>
                <w:sz w:val="18"/>
                <w:lang w:val="en-US" w:eastAsia="en-US" w:bidi="ar-SA"/>
              </w:rPr>
              <w:t>(b)</w:t>
            </w:r>
          </w:p>
        </w:tc>
        <w:tc>
          <w:tcPr>
            <w:tcW w:w="102"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6656"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the holder or any aircraft, airport or other facility in respect of which the document was issued ceases to meet the qualifications necessary for the issuance of the document or to fulfil the conditions subject to which the document was issued, or</w:t>
            </w:r>
          </w:p>
        </w:tc>
        <w:tc>
          <w:tcPr>
            <w:tcW w:w="102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1843"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i/>
                <w:color w:val="000000"/>
                <w:sz w:val="18"/>
                <w:lang w:val="en-US" w:eastAsia="en-US" w:bidi="ar-SA"/>
              </w:rPr>
              <w:t>(c)</w:t>
            </w:r>
          </w:p>
        </w:tc>
        <w:tc>
          <w:tcPr>
            <w:tcW w:w="102"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6656"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the Minister is of the opinion that the public interest and, in particular, the aviation record of the holder of the document or of any principal of the holder, as defined in regulations made under paragraph 6.71(3)(a) warrant it,</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Minister shall, by personal service or by registered or certified mail sent to the holder or the owner or operator of the aircraft, airport or facility, as the case may be, at their latest known address, notify that person of the Minister's decision.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40</w:t>
      </w:r>
      <w:r>
        <w:rPr>
          <w:rFonts w:ascii="arial" w:eastAsia="arial" w:hAnsi="arial" w:cs="arial"/>
          <w:color w:val="000000"/>
          <w:sz w:val="20"/>
          <w:lang w:val="en-US" w:eastAsia="en-US" w:bidi="ar-SA"/>
        </w:rPr>
        <w:t>  The notice must provide information as to the nature of the incompetence the Minister believes to exist, the qualifications the document holder "ceases to have" or the "conditions subject to which the document was issued that the Minister believes are no longer being met or complied with ...": s. 7.1(2)(a)(ii).</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41</w:t>
      </w:r>
      <w:r>
        <w:rPr>
          <w:rFonts w:ascii="arial" w:eastAsia="arial" w:hAnsi="arial" w:cs="arial"/>
          <w:color w:val="000000"/>
          <w:sz w:val="20"/>
          <w:lang w:val="en-US" w:eastAsia="en-US" w:bidi="ar-SA"/>
        </w:rPr>
        <w:t>  Suspensions made under either s. 7(1) or 7.1(1) become effective upon service of the notice on the certificate holder unless otherwise stated in the notice: ss. 7(2.1), 7.1(2.1).</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42</w:t>
      </w:r>
      <w:r>
        <w:rPr>
          <w:rFonts w:ascii="arial" w:eastAsia="arial" w:hAnsi="arial" w:cs="arial"/>
          <w:color w:val="000000"/>
          <w:sz w:val="20"/>
          <w:lang w:val="en-US" w:eastAsia="en-US" w:bidi="ar-SA"/>
        </w:rPr>
        <w:t xml:space="preserve">  On January 22, 2006 TCCA revoked Mr. Chapman's authority to act as IEA's Operations Manager on the grounds that he had not fulfilled his responsibility of maintaining operational control. At the same time, TCCA suspended IEA's Certificate under s. 7.1(1)(b) on the grounds IEA no longer employed a qualified Operations Manager as required by the </w:t>
      </w:r>
      <w:r>
        <w:rPr>
          <w:rFonts w:ascii="arial" w:eastAsia="arial" w:hAnsi="arial" w:cs="arial"/>
          <w:i/>
          <w:color w:val="000000"/>
          <w:sz w:val="20"/>
          <w:lang w:val="en-US" w:eastAsia="en-US" w:bidi="ar-SA"/>
        </w:rPr>
        <w:t>CARs</w:t>
      </w:r>
      <w:r>
        <w:rPr>
          <w:rFonts w:ascii="arial" w:eastAsia="arial" w:hAnsi="arial" w:cs="arial"/>
          <w:color w:val="000000"/>
          <w:sz w:val="20"/>
          <w:lang w:val="en-US" w:eastAsia="en-US" w:bidi="ar-SA"/>
        </w:rPr>
        <w:t>. The suspension will be discussed in further detail below.</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43</w:t>
      </w:r>
      <w:r>
        <w:rPr>
          <w:rFonts w:ascii="arial" w:eastAsia="arial" w:hAnsi="arial" w:cs="arial"/>
          <w:color w:val="000000"/>
          <w:sz w:val="20"/>
          <w:lang w:val="en-US" w:eastAsia="en-US" w:bidi="ar-SA"/>
        </w:rPr>
        <w:t>  I have above attempted to briefly give an overview of the regulatory scheme under which IEA operated. I will touch on other parts of that scheme later in this decision. Before turning to consider the nature of IEA's operation further it is important to describe some of TCCA's operational policies and procedures that give context to the regulatory regime in the aeronautics industry in which IEA operated and upon which, in many respects, IEA relies in advancing its argument that TCCA owed it a duty of care.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Transport Canada's Operational Policies and Procedures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44</w:t>
      </w:r>
      <w:r>
        <w:rPr>
          <w:rFonts w:ascii="arial" w:eastAsia="arial" w:hAnsi="arial" w:cs="arial"/>
          <w:color w:val="000000"/>
          <w:sz w:val="20"/>
          <w:lang w:val="en-US" w:eastAsia="en-US" w:bidi="ar-SA"/>
        </w:rPr>
        <w:t>  Given the broad scope of TCCA's responsibilities and the large geographic region in which it exercises those responsibilities the organization has many policies and procedures in place to ensure it fulfills its mandate with industry appropriate and consistent regulatory practices.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Air Operator Certification Manual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45</w:t>
      </w:r>
      <w:r>
        <w:rPr>
          <w:rFonts w:ascii="arial" w:eastAsia="arial" w:hAnsi="arial" w:cs="arial"/>
          <w:color w:val="000000"/>
          <w:sz w:val="20"/>
          <w:lang w:val="en-US" w:eastAsia="en-US" w:bidi="ar-SA"/>
        </w:rPr>
        <w:t xml:space="preserve">  The Air Operator Certification Manual is an internal Transport Canada document containing provisions dealing with the certification of air operators and the procedures to follow on the suspension or cancellation of a Certificate. The Air Operator Certification Manual, which came into effect in April 2005, applies to "all certified aircraft operations falling within the scope of Part VII of the </w:t>
      </w:r>
      <w:r>
        <w:rPr>
          <w:rFonts w:ascii="arial" w:eastAsia="arial" w:hAnsi="arial" w:cs="arial"/>
          <w:i/>
          <w:color w:val="000000"/>
          <w:sz w:val="20"/>
          <w:lang w:val="en-US" w:eastAsia="en-US" w:bidi="ar-SA"/>
        </w:rPr>
        <w:t>Canadian Aviation Regulations</w:t>
      </w:r>
      <w:r>
        <w:rPr>
          <w:rFonts w:ascii="arial" w:eastAsia="arial" w:hAnsi="arial" w:cs="arial"/>
          <w:color w:val="000000"/>
          <w:sz w:val="20"/>
          <w:lang w:val="en-US" w:eastAsia="en-US" w:bidi="ar-SA"/>
        </w:rPr>
        <w:t>". It notes that because of the "broad scope of operations covered by this Manual and the many variables involved, no attempt is made to provide detailed procedures and guidance for all exigencies, therefore, good judgement must be applied in the use of this Manual."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46</w:t>
      </w:r>
      <w:r>
        <w:rPr>
          <w:rFonts w:ascii="arial" w:eastAsia="arial" w:hAnsi="arial" w:cs="arial"/>
          <w:color w:val="000000"/>
          <w:sz w:val="20"/>
          <w:lang w:val="en-US" w:eastAsia="en-US" w:bidi="ar-SA"/>
        </w:rPr>
        <w:t>  The Air Operator Certification Manual provides that Transport Canada inspectors "should have a thorough knowledge" of the manual and "to the extent practical, adhere to the policies, procedures and guidelines" contained therein. It contains procedures which are to be followed prior to the suspension of a Certificate. Those procedures include increasingly serious steps to be taken before suspension including letters to the air operator detailing the problem and attempts to encourage the air operator to enter into CAPs before suspension.</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Civil Aviation Integrated Management System Standard (the "IMS")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47</w:t>
      </w:r>
      <w:r>
        <w:rPr>
          <w:rFonts w:ascii="arial" w:eastAsia="arial" w:hAnsi="arial" w:cs="arial"/>
          <w:color w:val="000000"/>
          <w:sz w:val="20"/>
          <w:lang w:val="en-US" w:eastAsia="en-US" w:bidi="ar-SA"/>
        </w:rPr>
        <w:t>  The IMS was developed under the auspices of the National Civil Aviation Quality Assurance Committee and was approved by the National Civil Aviation Management Executive Board February 26, 2003. The purpose of this document is "to set out requirements for the effective and efficient management of the Civil Aviation Program in accordance with the Government of Canada's management framework and policies."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48</w:t>
      </w:r>
      <w:r>
        <w:rPr>
          <w:rFonts w:ascii="arial" w:eastAsia="arial" w:hAnsi="arial" w:cs="arial"/>
          <w:color w:val="000000"/>
          <w:sz w:val="20"/>
          <w:lang w:val="en-US" w:eastAsia="en-US" w:bidi="ar-SA"/>
        </w:rPr>
        <w:t>  The IMS applies to "all interrelated Civil Aviation activities necessary to manage and conduct the Civil Aviation Program."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49</w:t>
      </w:r>
      <w:r>
        <w:rPr>
          <w:rFonts w:ascii="arial" w:eastAsia="arial" w:hAnsi="arial" w:cs="arial"/>
          <w:color w:val="000000"/>
          <w:sz w:val="20"/>
          <w:lang w:val="en-US" w:eastAsia="en-US" w:bidi="ar-SA"/>
        </w:rPr>
        <w:t>  The IMS describes an "Integrated Risk Management Framework" as a "continuous, proactive and systematic process to understand, manage and communicate risk from an organization-wide perspective." It provides that "Stakeholders" include "a person or organization with an interest in aviation safety and includes external stakeholders, such as the travelling public, the aviation industry ..." and TCCA personnel. The IMS states that "shared values and ethics" are established under the IMS and are to be "communicated and practiced throughout" TCCA.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50</w:t>
      </w:r>
      <w:r>
        <w:rPr>
          <w:rFonts w:ascii="arial" w:eastAsia="arial" w:hAnsi="arial" w:cs="arial"/>
          <w:color w:val="000000"/>
          <w:sz w:val="20"/>
          <w:lang w:val="en-US" w:eastAsia="en-US" w:bidi="ar-SA"/>
        </w:rPr>
        <w:t>  The IMS required TCCA to "plan and document the design and delivery of program activities", which take into account, amongst other considerations, a requirement for "[s]takeholder focus".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Flight 2005: A Civil Aviation Safety Framework for Canada ("Flight 2005") and Safety Management Systems ("SMS")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51</w:t>
      </w:r>
      <w:r>
        <w:rPr>
          <w:rFonts w:ascii="arial" w:eastAsia="arial" w:hAnsi="arial" w:cs="arial"/>
          <w:color w:val="000000"/>
          <w:sz w:val="20"/>
          <w:lang w:val="en-US" w:eastAsia="en-US" w:bidi="ar-SA"/>
        </w:rPr>
        <w:t>  Flight 2005 is a five-year strategic planning document prepared by TCCA in 1999 which set out the goals of TCCA pertaining to aviation safety. When the document was introduced the then director general of Civil Aviation wrote: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[W]ith the predicted increases in traffic levels, in order to keep the number of accidents from increasing and to maintain public confidence in aviation safety, we need to lower the accident rate. I believe that our national Civil Aviation team and our partners in the aviation community can improve upon the safety standard. "Flight 2005" is about making that push to a higher safety standard - raising the flight level.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52</w:t>
      </w:r>
      <w:r>
        <w:rPr>
          <w:rFonts w:ascii="arial" w:eastAsia="arial" w:hAnsi="arial" w:cs="arial"/>
          <w:color w:val="000000"/>
          <w:sz w:val="20"/>
          <w:lang w:val="en-US" w:eastAsia="en-US" w:bidi="ar-SA"/>
        </w:rPr>
        <w:t>  Flight 2005 is replete with references to the necessity of the organization's adherence to aviation safety. There is no need to refer to the document in detail except to that portion entitled "Civil Aviation Program Charter" under which the program's "raison d'être" is described as: "</w:t>
      </w:r>
      <w:r>
        <w:rPr>
          <w:rFonts w:ascii="arial" w:eastAsia="arial" w:hAnsi="arial" w:cs="arial"/>
          <w:i/>
          <w:color w:val="000000"/>
          <w:sz w:val="20"/>
          <w:lang w:val="en-US" w:eastAsia="en-US" w:bidi="ar-SA"/>
        </w:rPr>
        <w:t>We are here for aviation safety</w:t>
      </w:r>
      <w:r>
        <w:rPr>
          <w:rFonts w:ascii="arial" w:eastAsia="arial" w:hAnsi="arial" w:cs="arial"/>
          <w:color w:val="000000"/>
          <w:sz w:val="20"/>
          <w:lang w:val="en-US" w:eastAsia="en-US" w:bidi="ar-SA"/>
        </w:rPr>
        <w:t>" [emphasis in original]. Mr. Heryet similarly described TCCA's raison d'être as aviation safety during his testimony.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53</w:t>
      </w:r>
      <w:r>
        <w:rPr>
          <w:rFonts w:ascii="arial" w:eastAsia="arial" w:hAnsi="arial" w:cs="arial"/>
          <w:color w:val="000000"/>
          <w:sz w:val="20"/>
          <w:lang w:val="en-US" w:eastAsia="en-US" w:bidi="ar-SA"/>
        </w:rPr>
        <w:t>  In 2005 TCCA adopted the SMS in Civil Aviation Directive #39. The SMS sought to change the culture within the aviation industry concerning safety related issues by permitting a non-punitive form of self-reporting of infractions by Certificate holders. The SMS permitted the holder to develop a CAP with the approval of TCCA's inspectors which would then result in TCCA holding off on enforcement action pending a determination the CAP had been effective. The SMS was required for large airlines (aircraft with 20 plus passenger seats) and, at least on paper, did not apply to smaller air operators such as IEA.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54</w:t>
      </w:r>
      <w:r>
        <w:rPr>
          <w:rFonts w:ascii="arial" w:eastAsia="arial" w:hAnsi="arial" w:cs="arial"/>
          <w:color w:val="000000"/>
          <w:sz w:val="20"/>
          <w:lang w:val="en-US" w:eastAsia="en-US" w:bidi="ar-SA"/>
        </w:rPr>
        <w:t xml:space="preserve">  Notwithstanding this IEA adopted its own SMS in 2005 which was approved and followed by TCCA inspectors on those occasions IEA was found to be in breach of </w:t>
      </w:r>
      <w:r>
        <w:rPr>
          <w:rFonts w:ascii="arial" w:eastAsia="arial" w:hAnsi="arial" w:cs="arial"/>
          <w:i/>
          <w:color w:val="000000"/>
          <w:sz w:val="20"/>
          <w:lang w:val="en-US" w:eastAsia="en-US" w:bidi="ar-SA"/>
        </w:rPr>
        <w:t>CARs</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55</w:t>
      </w:r>
      <w:r>
        <w:rPr>
          <w:rFonts w:ascii="arial" w:eastAsia="arial" w:hAnsi="arial" w:cs="arial"/>
          <w:color w:val="000000"/>
          <w:sz w:val="20"/>
          <w:lang w:val="en-US" w:eastAsia="en-US" w:bidi="ar-SA"/>
        </w:rPr>
        <w:t xml:space="preserve">  Mr. Heryet said the purpose of the SMS was to attempt to instill a fundamental shift in the culture of both the industry and TCCA away from a punitive structure to a non-punitive reporting structure for breaches of the </w:t>
      </w:r>
      <w:r>
        <w:rPr>
          <w:rFonts w:ascii="arial" w:eastAsia="arial" w:hAnsi="arial" w:cs="arial"/>
          <w:i/>
          <w:color w:val="000000"/>
          <w:sz w:val="20"/>
          <w:lang w:val="en-US" w:eastAsia="en-US" w:bidi="ar-SA"/>
        </w:rPr>
        <w:t>CARs</w:t>
      </w:r>
      <w:r>
        <w:rPr>
          <w:rFonts w:ascii="arial" w:eastAsia="arial" w:hAnsi="arial" w:cs="arial"/>
          <w:color w:val="000000"/>
          <w:sz w:val="20"/>
          <w:lang w:val="en-US" w:eastAsia="en-US" w:bidi="ar-SA"/>
        </w:rPr>
        <w:t xml:space="preserve"> so employees or certificate holders would be encouraged to voluntarily report infractions and companies could develop their own CAP program and notify TCCA without fear of punishment. He testified: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826"/>
        <w:gridCol w:w="516"/>
        <w:gridCol w:w="516"/>
        <w:gridCol w:w="238"/>
        <w:gridCol w:w="7328"/>
        <w:gridCol w:w="103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819"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6</w:t>
            </w:r>
          </w:p>
        </w:tc>
        <w:tc>
          <w:tcPr>
            <w:tcW w:w="512"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102"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270"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And what was the purpose of this civil aviation</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836"/>
        <w:gridCol w:w="523"/>
        <w:gridCol w:w="8051"/>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819"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7</w:t>
            </w:r>
          </w:p>
        </w:tc>
        <w:tc>
          <w:tcPr>
            <w:tcW w:w="512"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directive in December 2005? Do you recall?</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836"/>
        <w:gridCol w:w="523"/>
        <w:gridCol w:w="627"/>
        <w:gridCol w:w="7424"/>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819"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8</w:t>
            </w:r>
          </w:p>
        </w:tc>
        <w:tc>
          <w:tcPr>
            <w:tcW w:w="512"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614"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7270"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 And</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930"/>
        <w:gridCol w:w="413"/>
        <w:gridCol w:w="516"/>
        <w:gridCol w:w="238"/>
        <w:gridCol w:w="7327"/>
        <w:gridCol w:w="103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922"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39</w:t>
            </w:r>
          </w:p>
        </w:tc>
        <w:tc>
          <w:tcPr>
            <w:tcW w:w="410"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then</w:t>
            </w:r>
          </w:p>
        </w:tc>
        <w:tc>
          <w:tcPr>
            <w:tcW w:w="102"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270"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the idea was if it was proactive initiative</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941"/>
        <w:gridCol w:w="419"/>
        <w:gridCol w:w="8051"/>
        <w:gridCol w:w="1045"/>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922"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40</w:t>
            </w:r>
          </w:p>
        </w:tc>
        <w:tc>
          <w:tcPr>
            <w:tcW w:w="410"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and it was something that was reported and it was</w:t>
            </w:r>
          </w:p>
        </w:tc>
        <w:tc>
          <w:tcPr>
            <w:tcW w:w="102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922"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41</w:t>
            </w:r>
          </w:p>
        </w:tc>
        <w:tc>
          <w:tcPr>
            <w:tcW w:w="410"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effective we would hold off on any type of</w:t>
            </w:r>
          </w:p>
        </w:tc>
        <w:tc>
          <w:tcPr>
            <w:tcW w:w="102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922"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42</w:t>
            </w:r>
          </w:p>
        </w:tc>
        <w:tc>
          <w:tcPr>
            <w:tcW w:w="410"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enforcement action at least in the time being</w:t>
            </w:r>
          </w:p>
        </w:tc>
        <w:tc>
          <w:tcPr>
            <w:tcW w:w="102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922"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43</w:t>
            </w:r>
          </w:p>
        </w:tc>
        <w:tc>
          <w:tcPr>
            <w:tcW w:w="410"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until we saw whether their corrective action plan</w:t>
            </w:r>
          </w:p>
        </w:tc>
        <w:tc>
          <w:tcPr>
            <w:tcW w:w="102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922"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44</w:t>
            </w:r>
          </w:p>
        </w:tc>
        <w:tc>
          <w:tcPr>
            <w:tcW w:w="410"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was effective.</w:t>
            </w:r>
          </w:p>
        </w:tc>
        <w:tc>
          <w:tcPr>
            <w:tcW w:w="102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922"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45</w:t>
            </w:r>
          </w:p>
        </w:tc>
        <w:tc>
          <w:tcPr>
            <w:tcW w:w="410"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So it was a shift in the way we looked at</w:t>
            </w:r>
          </w:p>
        </w:tc>
        <w:tc>
          <w:tcPr>
            <w:tcW w:w="102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922"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46</w:t>
            </w:r>
          </w:p>
        </w:tc>
        <w:tc>
          <w:tcPr>
            <w:tcW w:w="410"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enforcement.</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(Page 82, lines 6 - 46)</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56</w:t>
      </w:r>
      <w:r>
        <w:rPr>
          <w:rFonts w:ascii="arial" w:eastAsia="arial" w:hAnsi="arial" w:cs="arial"/>
          <w:color w:val="000000"/>
          <w:sz w:val="20"/>
          <w:lang w:val="en-US" w:eastAsia="en-US" w:bidi="ar-SA"/>
        </w:rPr>
        <w:t>  While Civil Aviation Directive #39 was noted to be effective December 16, 2005 and it was to be "revised as necessary as the implementation of SMS in aviation organizations evolves", the principles underlying the directive had been identified as an objective in Flight 2005 and had been utilized by TCCA insofar as IEA was concerned since at least the Enhanced Monitoring Program in 2004 (described below). IEA had taken the initiative In June 2004 to develop an SMS. Again, because of the reliance placed by the plaintiff on the corrective action principles underlying TCCA's actions and his assertions of proximity and duty of care arising therefrom I will refer to portions of the Directive: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Policy Objective: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To enable the Enforcement Program to contribute to a smooth transition to a Safety Management System (SMS) framework, by allowing certificate holders to achieve future compliance through the effective use of internal reporting programs, the analysis of reported events, and the implementation of subsequent corrective measures.</w:t>
      </w:r>
    </w:p>
    <w:p>
      <w:pPr>
        <w:spacing w:before="120"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Background:</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As Transport Canada and the aviation industry set out to implement SMS, Civil Aviation Enforcement must be proactive in developing a flexible approach to this evolving safety framework. To that effect, TC must encourage certificate holders and their employees to make use of internal reporting processes to report non-compliance situations that may impact on safety, without fear of reprisal or punitive action.</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Policy Statement: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Transport Canada agrees to promote voluntary compliance with regulatory requirements, without necessarily resorting to punitive action, by providing certificate holders governed by an SMS, the opportunity to determine, by themselves, proposed corrective measures to prevent recurrence of a contravention, as well as the best course of action to help foster future compliance.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u w:val="single"/>
          <w:lang w:val="en-US" w:eastAsia="en-US" w:bidi="ar-SA"/>
        </w:rPr>
        <w:t>Although the development of a safety culture is encouraged as an essential element if the SMS framework, Transport Canada will not compromise safety, nor ignore any contraventions of the regulations</w:t>
      </w:r>
      <w:r>
        <w:rPr>
          <w:rFonts w:ascii="arial" w:eastAsia="arial" w:hAnsi="arial" w:cs="arial"/>
          <w:color w:val="000000"/>
          <w:sz w:val="20"/>
          <w:lang w:val="en-US" w:eastAsia="en-US" w:bidi="ar-SA"/>
        </w:rPr>
        <w:t>. [Emphasis added.]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57</w:t>
      </w:r>
      <w:r>
        <w:rPr>
          <w:rFonts w:ascii="arial" w:eastAsia="arial" w:hAnsi="arial" w:cs="arial"/>
          <w:color w:val="000000"/>
          <w:sz w:val="20"/>
          <w:lang w:val="en-US" w:eastAsia="en-US" w:bidi="ar-SA"/>
        </w:rPr>
        <w:t>  An appendix to the Civil Aviation Directive #39 explained: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The policy will provide a means of promoting voluntary compliance with regulatory requirements, without necessarily resorting to punitive action by Transport Canada Civil Aviation. ...</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When an enterprise with an SMS allegedly commits a contravention that is not intentional, other than a contravention respecting the conditions stipulated in paragraph (c) of Canadian Aviation Regulation 602.105, specific review procedures will be used. These procedures will allow the Transport Canada Civil Aviation manager, responsible for the oversight of the enterprise, the opportunity to engage in dialogue with the enterprise regarding the alleged contravention. This correspondence will provide the enterprise a reasonable opportunity to develop corrective measures and an action plan that will adequately address the deficiencies that led to the contravention. The purpose of this approach is to nurture and sustain a safety culture, whereby employees can confidentially report safety deficiencies without fear of subsequent punitive action. An enterprise can then, without apportioning blame, and without fear of enforcement action, analyze the event and the organizational or human factors that may have led to it, in order to incorporate corrective measures that will best help prevent recurrence.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Transport Canada Civil Aviation will then evaluate the proposed corrective measures, or the systems currently in place to address the event. If these are considered appropriate and likely to prevent recurrence, the review of the alleged contravention will then be concluded with no enforcement action. In cases where either the corrective measures or the systems in place are considered inappropriate, Transport Canada Civil Aviation will continue to interact with the enterprise to find a satisfactory resolution that would prevent enforcement action. </w:t>
      </w:r>
      <w:r>
        <w:rPr>
          <w:rFonts w:ascii="arial" w:eastAsia="arial" w:hAnsi="arial" w:cs="arial"/>
          <w:color w:val="000000"/>
          <w:sz w:val="20"/>
          <w:u w:val="single"/>
          <w:lang w:val="en-US" w:eastAsia="en-US" w:bidi="ar-SA"/>
        </w:rPr>
        <w:t>However, in cases where the enterprise refuses to address the event and provide effective corrective measures, Transport Canada Civil Aviation will consider taking enforcement action or other administrative action regarding the certificate.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[Emphasis added.]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58</w:t>
      </w:r>
      <w:r>
        <w:rPr>
          <w:rFonts w:ascii="arial" w:eastAsia="arial" w:hAnsi="arial" w:cs="arial"/>
          <w:color w:val="000000"/>
          <w:sz w:val="20"/>
          <w:lang w:val="en-US" w:eastAsia="en-US" w:bidi="ar-SA"/>
        </w:rPr>
        <w:t>  Throughout the course of their dealings with IEA when infractions were found, TCCA inspectors and managers accepted and applied the SMS principles to IEA, including working with IEA to adopt appropriate CAPs to address repetition of the infraction. However, as the SMS policy and numerous other documents before the Court demonstrates, the SMS was a mechanism used by Transport Canada to try to encourage compliance with its safety standards. It was not intended to take the place of the right of TCCA officials to take further enforcement action if it was necessary to ensure a certificate holder strictly complied with the terms of its certificate and did not operate in a manner that compromised the safety of its air operations.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The Plaintiff and IEA's Business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59</w:t>
      </w:r>
      <w:r>
        <w:rPr>
          <w:rFonts w:ascii="arial" w:eastAsia="arial" w:hAnsi="arial" w:cs="arial"/>
          <w:color w:val="000000"/>
          <w:sz w:val="20"/>
          <w:lang w:val="en-US" w:eastAsia="en-US" w:bidi="ar-SA"/>
        </w:rPr>
        <w:t>  Mr. Gill formed the goal to become a commercial pilot during his undergraduate studies. Upon graduating from the University of British Columbia in 1990, he obtained his commercial pilot's license. To become a commercial pilot he needed to obtain flight experience hours and to do so he took a job as an instructor at a flying school located at the Boundary Bay Airport.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60</w:t>
      </w:r>
      <w:r>
        <w:rPr>
          <w:rFonts w:ascii="arial" w:eastAsia="arial" w:hAnsi="arial" w:cs="arial"/>
          <w:color w:val="000000"/>
          <w:sz w:val="20"/>
          <w:lang w:val="en-US" w:eastAsia="en-US" w:bidi="ar-SA"/>
        </w:rPr>
        <w:t>  When that school closed he and a friend, with loans from their families, started their own flight school with a small leased Cessna aircraft. Their business expanded rapidly.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61</w:t>
      </w:r>
      <w:r>
        <w:rPr>
          <w:rFonts w:ascii="arial" w:eastAsia="arial" w:hAnsi="arial" w:cs="arial"/>
          <w:color w:val="000000"/>
          <w:sz w:val="20"/>
          <w:lang w:val="en-US" w:eastAsia="en-US" w:bidi="ar-SA"/>
        </w:rPr>
        <w:t>  In 1992 they commenced flying cargo - newspapers - for distribution on Vancouver Island. They were then successful in obtaining work from various courier companies transporting freight from Vancouver to airports on Vancouver Island and into the British Columbia interior. Mr. Gill subsequently bought out his partner and became the sole owner of the company.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62</w:t>
      </w:r>
      <w:r>
        <w:rPr>
          <w:rFonts w:ascii="arial" w:eastAsia="arial" w:hAnsi="arial" w:cs="arial"/>
          <w:color w:val="000000"/>
          <w:sz w:val="20"/>
          <w:lang w:val="en-US" w:eastAsia="en-US" w:bidi="ar-SA"/>
        </w:rPr>
        <w:t xml:space="preserve">  IEA obtained its Certificate in 1996 to operate as an air taxi operator. As stated, in order to do so it had to comply with the provisions of the </w:t>
      </w:r>
      <w:r>
        <w:rPr>
          <w:rFonts w:ascii="arial" w:eastAsia="arial" w:hAnsi="arial" w:cs="arial"/>
          <w:i/>
          <w:color w:val="000000"/>
          <w:sz w:val="20"/>
          <w:lang w:val="en-US" w:eastAsia="en-US" w:bidi="ar-SA"/>
        </w:rPr>
        <w:t>Act</w:t>
      </w:r>
      <w:r>
        <w:rPr>
          <w:rFonts w:ascii="arial" w:eastAsia="arial" w:hAnsi="arial" w:cs="arial"/>
          <w:color w:val="000000"/>
          <w:sz w:val="20"/>
          <w:lang w:val="en-US" w:eastAsia="en-US" w:bidi="ar-SA"/>
        </w:rPr>
        <w:t xml:space="preserve"> and put in place the necessary organizational structure, including the appointment of persons designated under the </w:t>
      </w:r>
      <w:r>
        <w:rPr>
          <w:rFonts w:ascii="arial" w:eastAsia="arial" w:hAnsi="arial" w:cs="arial"/>
          <w:i/>
          <w:color w:val="000000"/>
          <w:sz w:val="20"/>
          <w:lang w:val="en-US" w:eastAsia="en-US" w:bidi="ar-SA"/>
        </w:rPr>
        <w:t>Act</w:t>
      </w:r>
      <w:r>
        <w:rPr>
          <w:rFonts w:ascii="arial" w:eastAsia="arial" w:hAnsi="arial" w:cs="arial"/>
          <w:color w:val="000000"/>
          <w:sz w:val="20"/>
          <w:lang w:val="en-US" w:eastAsia="en-US" w:bidi="ar-SA"/>
        </w:rPr>
        <w:t>: an Operations Manager, a Chief Pilot and a PRM.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63</w:t>
      </w:r>
      <w:r>
        <w:rPr>
          <w:rFonts w:ascii="arial" w:eastAsia="arial" w:hAnsi="arial" w:cs="arial"/>
          <w:color w:val="000000"/>
          <w:sz w:val="20"/>
          <w:lang w:val="en-US" w:eastAsia="en-US" w:bidi="ar-SA"/>
        </w:rPr>
        <w:t>  In 2003 IEA purchased another carrier, acquired its business, including its aircraft and routes, and achieved a 99% increase in its revenue. It experienced a further 42% increase in revenue in 2004 as the routes and the number of aircraft utilized continued to grow.</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64</w:t>
      </w:r>
      <w:r>
        <w:rPr>
          <w:rFonts w:ascii="arial" w:eastAsia="arial" w:hAnsi="arial" w:cs="arial"/>
          <w:color w:val="000000"/>
          <w:sz w:val="20"/>
          <w:lang w:val="en-US" w:eastAsia="en-US" w:bidi="ar-SA"/>
        </w:rPr>
        <w:t>  By late 2005 IEA was operating some 18 aircraft, conducting up to 60 flights a day with annual revenues exceeding $4 million. It employed approximately 45 employees.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65</w:t>
      </w:r>
      <w:r>
        <w:rPr>
          <w:rFonts w:ascii="arial" w:eastAsia="arial" w:hAnsi="arial" w:cs="arial"/>
          <w:color w:val="000000"/>
          <w:sz w:val="20"/>
          <w:lang w:val="en-US" w:eastAsia="en-US" w:bidi="ar-SA"/>
        </w:rPr>
        <w:t>  The latter part of 2005 marked another watershed year for IEA. Not only was it in the process of consolidating its operations arising from the growth over the proceeding several years, a major competitor, operating from the Victoria Airport, discontinued its operations in December 2005. Many of that carrier's customers, having anticipated the closure, engaged IEA to take over their work. Mr. Gill and the principal of the competitor reached an agreement that work for one of its former significant customers, Bankers Dispatch Co. ("BDC"), would be transferred to IEA together with the necessary aircraft to perform that work in early 2006.</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66</w:t>
      </w:r>
      <w:r>
        <w:rPr>
          <w:rFonts w:ascii="arial" w:eastAsia="arial" w:hAnsi="arial" w:cs="arial"/>
          <w:color w:val="000000"/>
          <w:sz w:val="20"/>
          <w:lang w:val="en-US" w:eastAsia="en-US" w:bidi="ar-SA"/>
        </w:rPr>
        <w:t>  As can be seen, TCCA suspended IEA's Certificate at a time the company was experiencing a number of new business opportunities and undergoing significant growth. This growth did not come without operational and maintenance issues arising between IEA and TCCA.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67</w:t>
      </w:r>
      <w:r>
        <w:rPr>
          <w:rFonts w:ascii="arial" w:eastAsia="arial" w:hAnsi="arial" w:cs="arial"/>
          <w:color w:val="000000"/>
          <w:sz w:val="20"/>
          <w:lang w:val="en-US" w:eastAsia="en-US" w:bidi="ar-SA"/>
        </w:rPr>
        <w:t>  To give context to several issues raised by the parties I turn next to consider the main issues upon which the defendants rely in suspending the Certificate and upon which the plaintiff relies (along with other evidence) to establish there was a relationship of proximity between TCCA and air operators such as itself which gives rise to this cause of action.</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The Airspeed Indicator Incident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68</w:t>
      </w:r>
      <w:r>
        <w:rPr>
          <w:rFonts w:ascii="arial" w:eastAsia="arial" w:hAnsi="arial" w:cs="arial"/>
          <w:color w:val="000000"/>
          <w:sz w:val="20"/>
          <w:lang w:val="en-US" w:eastAsia="en-US" w:bidi="ar-SA"/>
        </w:rPr>
        <w:t xml:space="preserve">  In May 2002 an inspector with the United States Federal Aviation Agency inspected an IEA aircraft in Bellingham, Washington and concluded the plane's airspeed indicator was malfunctioning. The pilot disagreed with the inspector. IEA ultimately gave permission to the pilot to proceed to Vancouver. TCCA found IEA to be in breach of </w:t>
      </w:r>
      <w:r>
        <w:rPr>
          <w:rFonts w:ascii="arial" w:eastAsia="arial" w:hAnsi="arial" w:cs="arial"/>
          <w:i/>
          <w:color w:val="000000"/>
          <w:sz w:val="20"/>
          <w:lang w:val="en-US" w:eastAsia="en-US" w:bidi="ar-SA"/>
        </w:rPr>
        <w:t>CARs</w:t>
      </w:r>
      <w:r>
        <w:rPr>
          <w:rFonts w:ascii="arial" w:eastAsia="arial" w:hAnsi="arial" w:cs="arial"/>
          <w:color w:val="000000"/>
          <w:sz w:val="20"/>
          <w:lang w:val="en-US" w:eastAsia="en-US" w:bidi="ar-SA"/>
        </w:rPr>
        <w:t xml:space="preserve"> and imposed a fine of $15,000.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69</w:t>
      </w:r>
      <w:r>
        <w:rPr>
          <w:rFonts w:ascii="arial" w:eastAsia="arial" w:hAnsi="arial" w:cs="arial"/>
          <w:color w:val="000000"/>
          <w:sz w:val="20"/>
          <w:lang w:val="en-US" w:eastAsia="en-US" w:bidi="ar-SA"/>
        </w:rPr>
        <w:t>  IEA appealed to the Transportation Appeal Tribunal of Canada ("TAT"), which reduced the fine to $5000, concluding in its reasons that "[a]lthough potentially serious, this occurrence did not have an impact on aviation safety".</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The Ducks Unlimited Canada Incidents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70</w:t>
      </w:r>
      <w:r>
        <w:rPr>
          <w:rFonts w:ascii="arial" w:eastAsia="arial" w:hAnsi="arial" w:cs="arial"/>
          <w:color w:val="000000"/>
          <w:sz w:val="20"/>
          <w:lang w:val="en-US" w:eastAsia="en-US" w:bidi="ar-SA"/>
        </w:rPr>
        <w:t xml:space="preserve">  Between December 2003 and February 2004 a number of IEA's flight training pilots flew members of Ducks Unlimited Canada, a wetlands conservation organization, on various flights in and about the lower mainland area of Vancouver to monitor and count ducks. Prior to the flights antennae were found to be improperly attached to the wings of the aircraft used in the flights, contrary to the </w:t>
      </w:r>
      <w:r>
        <w:rPr>
          <w:rFonts w:ascii="arial" w:eastAsia="arial" w:hAnsi="arial" w:cs="arial"/>
          <w:i/>
          <w:color w:val="000000"/>
          <w:sz w:val="20"/>
          <w:lang w:val="en-US" w:eastAsia="en-US" w:bidi="ar-SA"/>
        </w:rPr>
        <w:t>CARs</w:t>
      </w:r>
      <w:r>
        <w:rPr>
          <w:rFonts w:ascii="arial" w:eastAsia="arial" w:hAnsi="arial" w:cs="arial"/>
          <w:color w:val="000000"/>
          <w:sz w:val="20"/>
          <w:lang w:val="en-US" w:eastAsia="en-US" w:bidi="ar-SA"/>
        </w:rPr>
        <w:t>. There was also an issue as to whether the flights were charter flights, which were not permitted under the FTU operating certificate.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71</w:t>
      </w:r>
      <w:r>
        <w:rPr>
          <w:rFonts w:ascii="arial" w:eastAsia="arial" w:hAnsi="arial" w:cs="arial"/>
          <w:color w:val="000000"/>
          <w:sz w:val="20"/>
          <w:lang w:val="en-US" w:eastAsia="en-US" w:bidi="ar-SA"/>
        </w:rPr>
        <w:t xml:space="preserve">  On June 9, 2004 TCCA issued 40 charges against IEA relating to various infractions under </w:t>
      </w:r>
      <w:r>
        <w:rPr>
          <w:rFonts w:ascii="arial" w:eastAsia="arial" w:hAnsi="arial" w:cs="arial"/>
          <w:i/>
          <w:color w:val="000000"/>
          <w:sz w:val="20"/>
          <w:lang w:val="en-US" w:eastAsia="en-US" w:bidi="ar-SA"/>
        </w:rPr>
        <w:t>CARs</w:t>
      </w:r>
      <w:r>
        <w:rPr>
          <w:rFonts w:ascii="arial" w:eastAsia="arial" w:hAnsi="arial" w:cs="arial"/>
          <w:color w:val="000000"/>
          <w:sz w:val="20"/>
          <w:lang w:val="en-US" w:eastAsia="en-US" w:bidi="ar-SA"/>
        </w:rPr>
        <w:t xml:space="preserve"> and assessed fines totalling $79,000 pursuant to s. 7.7(1) of the </w:t>
      </w:r>
      <w:r>
        <w:rPr>
          <w:rFonts w:ascii="arial" w:eastAsia="arial" w:hAnsi="arial" w:cs="arial"/>
          <w:i/>
          <w:color w:val="000000"/>
          <w:sz w:val="20"/>
          <w:lang w:val="en-US" w:eastAsia="en-US" w:bidi="ar-SA"/>
        </w:rPr>
        <w:t>Act.</w:t>
      </w:r>
      <w:r>
        <w:rPr>
          <w:rFonts w:ascii="arial" w:eastAsia="arial" w:hAnsi="arial" w:cs="arial"/>
          <w:color w:val="000000"/>
          <w:sz w:val="20"/>
          <w:lang w:val="en-US" w:eastAsia="en-US" w:bidi="ar-SA"/>
        </w:rPr>
        <w:t xml:space="preserve"> Each flight involved a separate breach of the </w:t>
      </w:r>
      <w:r>
        <w:rPr>
          <w:rFonts w:ascii="arial" w:eastAsia="arial" w:hAnsi="arial" w:cs="arial"/>
          <w:i/>
          <w:color w:val="000000"/>
          <w:sz w:val="20"/>
          <w:lang w:val="en-US" w:eastAsia="en-US" w:bidi="ar-SA"/>
        </w:rPr>
        <w:t>CARs</w:t>
      </w:r>
      <w:r>
        <w:rPr>
          <w:rFonts w:ascii="arial" w:eastAsia="arial" w:hAnsi="arial" w:cs="arial"/>
          <w:color w:val="000000"/>
          <w:sz w:val="20"/>
          <w:lang w:val="en-US" w:eastAsia="en-US" w:bidi="ar-SA"/>
        </w:rPr>
        <w:t xml:space="preserve"> pursuant to s. 7.31 of the </w:t>
      </w:r>
      <w:r>
        <w:rPr>
          <w:rFonts w:ascii="arial" w:eastAsia="arial" w:hAnsi="arial" w:cs="arial"/>
          <w:i/>
          <w:color w:val="000000"/>
          <w:sz w:val="20"/>
          <w:lang w:val="en-US" w:eastAsia="en-US" w:bidi="ar-SA"/>
        </w:rPr>
        <w:t>Act</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72</w:t>
      </w:r>
      <w:r>
        <w:rPr>
          <w:rFonts w:ascii="arial" w:eastAsia="arial" w:hAnsi="arial" w:cs="arial"/>
          <w:color w:val="000000"/>
          <w:sz w:val="20"/>
          <w:lang w:val="en-US" w:eastAsia="en-US" w:bidi="ar-SA"/>
        </w:rPr>
        <w:t>  The fine was subsequently reduced to $40,000 after IEA filed an appeal with the TAT and the parties negotiated a settlement.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Enhanced Monitoring Program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73</w:t>
      </w:r>
      <w:r>
        <w:rPr>
          <w:rFonts w:ascii="arial" w:eastAsia="arial" w:hAnsi="arial" w:cs="arial"/>
          <w:color w:val="000000"/>
          <w:sz w:val="20"/>
          <w:lang w:val="en-US" w:eastAsia="en-US" w:bidi="ar-SA"/>
        </w:rPr>
        <w:t>  On August 1, 2004 IEA was placed under an Enhanced Monitoring Program by TCCA as a result of the Ducks Unlimited Canada incidents. At the time of the imposition TCCA did not have a formal Enhanced Monitoring Program. This was the first time it had conducted such a program with any air operator. The Enhanced Monitoring Program subjected IEA to an increased regime of inspections of both its flight and maintenance operations.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74</w:t>
      </w:r>
      <w:r>
        <w:rPr>
          <w:rFonts w:ascii="arial" w:eastAsia="arial" w:hAnsi="arial" w:cs="arial"/>
          <w:color w:val="000000"/>
          <w:sz w:val="20"/>
          <w:lang w:val="en-US" w:eastAsia="en-US" w:bidi="ar-SA"/>
        </w:rPr>
        <w:t>  Initially the program was to run from August 1, 2004 to November 1, 2004. In a "status report" to his supervisor and others dated September 30, 2004 Mr. Swanson, the then Regional Superintendent of TCCA's Maintenance and Manufacturing Divisions, reported that during the preceding two months there had been 21 aircraft ramp inspections conducted, and as a result, 15 Letters of Notification identifying regulatory issues had been issued to IEA, four Detection Notices had been sent to the Enforcement Branch for further investigation and some 62 defects noted and brought to the attention of the company.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75</w:t>
      </w:r>
      <w:r>
        <w:rPr>
          <w:rFonts w:ascii="arial" w:eastAsia="arial" w:hAnsi="arial" w:cs="arial"/>
          <w:color w:val="000000"/>
          <w:sz w:val="20"/>
          <w:lang w:val="en-US" w:eastAsia="en-US" w:bidi="ar-SA"/>
        </w:rPr>
        <w:t>  Mr. Swanson testified in his experience the number of defects was "significantly high" for the number of aircraft inspected. In cross-examination he agreed that only 12 of the 62 defects could be considered "significant" defects in terms of airworthiness and safety. The others were less significant. There was no evidence any of the four Detection Notices proceeded to enforcement action.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76</w:t>
      </w:r>
      <w:r>
        <w:rPr>
          <w:rFonts w:ascii="arial" w:eastAsia="arial" w:hAnsi="arial" w:cs="arial"/>
          <w:color w:val="000000"/>
          <w:sz w:val="20"/>
          <w:lang w:val="en-US" w:eastAsia="en-US" w:bidi="ar-SA"/>
        </w:rPr>
        <w:t>  In November 2004 Mr. Swanson received an e-mail from one of his inspectors relating to that inspector's dealings with IEA. The e-mail states: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 am suspicious about some of the information found on the files. I have no [trust in] any of the work they are [carrying] out on those aircraft. Catch me if you can attitude I don't like it ....</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77</w:t>
      </w:r>
      <w:r>
        <w:rPr>
          <w:rFonts w:ascii="arial" w:eastAsia="arial" w:hAnsi="arial" w:cs="arial"/>
          <w:color w:val="000000"/>
          <w:sz w:val="20"/>
          <w:lang w:val="en-US" w:eastAsia="en-US" w:bidi="ar-SA"/>
        </w:rPr>
        <w:t xml:space="preserve">  Mr. Swanson issued a further report to IEA on February 4, 2005 following an examination of IEA's systems and procedures to determine the degree of conformance to the </w:t>
      </w:r>
      <w:r>
        <w:rPr>
          <w:rFonts w:ascii="arial" w:eastAsia="arial" w:hAnsi="arial" w:cs="arial"/>
          <w:i/>
          <w:color w:val="000000"/>
          <w:sz w:val="20"/>
          <w:lang w:val="en-US" w:eastAsia="en-US" w:bidi="ar-SA"/>
        </w:rPr>
        <w:t>CARs</w:t>
      </w:r>
      <w:r>
        <w:rPr>
          <w:rFonts w:ascii="arial" w:eastAsia="arial" w:hAnsi="arial" w:cs="arial"/>
          <w:color w:val="000000"/>
          <w:sz w:val="20"/>
          <w:lang w:val="en-US" w:eastAsia="en-US" w:bidi="ar-SA"/>
        </w:rPr>
        <w:t xml:space="preserve"> and to the </w:t>
      </w:r>
      <w:r>
        <w:rPr>
          <w:rFonts w:ascii="arial" w:eastAsia="arial" w:hAnsi="arial" w:cs="arial"/>
          <w:i/>
          <w:color w:val="000000"/>
          <w:sz w:val="20"/>
          <w:lang w:val="en-US" w:eastAsia="en-US" w:bidi="ar-SA"/>
        </w:rPr>
        <w:t>Canadian Aviation Standards</w:t>
      </w:r>
      <w:r>
        <w:rPr>
          <w:rFonts w:ascii="arial" w:eastAsia="arial" w:hAnsi="arial" w:cs="arial"/>
          <w:color w:val="000000"/>
          <w:sz w:val="20"/>
          <w:lang w:val="en-US" w:eastAsia="en-US" w:bidi="ar-SA"/>
        </w:rPr>
        <w:t xml:space="preserve">. He identified 11 findings of non-compliance with the </w:t>
      </w:r>
      <w:r>
        <w:rPr>
          <w:rFonts w:ascii="arial" w:eastAsia="arial" w:hAnsi="arial" w:cs="arial"/>
          <w:i/>
          <w:color w:val="000000"/>
          <w:sz w:val="20"/>
          <w:lang w:val="en-US" w:eastAsia="en-US" w:bidi="ar-SA"/>
        </w:rPr>
        <w:t>CARs</w:t>
      </w:r>
      <w:r>
        <w:rPr>
          <w:rFonts w:ascii="arial" w:eastAsia="arial" w:hAnsi="arial" w:cs="arial"/>
          <w:color w:val="000000"/>
          <w:sz w:val="20"/>
          <w:lang w:val="en-US" w:eastAsia="en-US" w:bidi="ar-SA"/>
        </w:rPr>
        <w:t xml:space="preserve"> or approved manuals and directed IEA to prepare both short term and long term CAPs to address the issues.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78</w:t>
      </w:r>
      <w:r>
        <w:rPr>
          <w:rFonts w:ascii="arial" w:eastAsia="arial" w:hAnsi="arial" w:cs="arial"/>
          <w:color w:val="000000"/>
          <w:sz w:val="20"/>
          <w:lang w:val="en-US" w:eastAsia="en-US" w:bidi="ar-SA"/>
        </w:rPr>
        <w:t>  Mr. Swanson's comments included: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AOC-10 Aircraft Conformance Inspections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Over the period of the Enhanced Monitoring Program cursory ramp inspections were carried out on a total of fifteen (15) of the eighteen (18) aircraft operated by the company. </w:t>
      </w:r>
      <w:r>
        <w:rPr>
          <w:rFonts w:ascii="arial" w:eastAsia="arial" w:hAnsi="arial" w:cs="arial"/>
          <w:color w:val="000000"/>
          <w:sz w:val="20"/>
          <w:u w:val="single"/>
          <w:lang w:val="en-US" w:eastAsia="en-US" w:bidi="ar-SA"/>
        </w:rPr>
        <w:t>These inspections resulted in the identification of seventy eight (78) defects or deficiencies.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u w:val="single"/>
          <w:lang w:val="en-US" w:eastAsia="en-US" w:bidi="ar-SA"/>
        </w:rPr>
        <w:t>Three (3) 24-0008 and twenty one (21) 24-0019 Letter of Notification forms were issued to ensure the company was advised of the requirements to record and rectify the defects or deficiencies prior to further flight.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u w:val="single"/>
          <w:lang w:val="en-US" w:eastAsia="en-US" w:bidi="ar-SA"/>
        </w:rPr>
        <w:t>Aircraft that had been added to the operating fleet had not been subject to an inspection and certified to ensure conformance to the approved Maintenance Schedule prior to dispatch.</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AMO-07 Maintenance Procedures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u w:val="single"/>
          <w:lang w:val="en-US" w:eastAsia="en-US" w:bidi="ar-SA"/>
        </w:rPr>
        <w:t>The standard of maintenance performed on company aircraft did not meet the minimum requirements of the MPM and CARs</w:t>
      </w:r>
      <w:r>
        <w:rPr>
          <w:rFonts w:ascii="arial" w:eastAsia="arial" w:hAnsi="arial" w:cs="arial"/>
          <w:color w:val="000000"/>
          <w:sz w:val="20"/>
          <w:lang w:val="en-US" w:eastAsia="en-US" w:bidi="ar-SA"/>
        </w:rPr>
        <w:t>. This is supported by the specific details identified on the 24-0019 forms issued against company aircraft (AOC-10) and other findings associated with this report.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AOC-01/AMO-01 Previous Transport Canada Audits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nature of the Findings of this Enhanced Monitoring Program are consistent with the Findings of the previous two Transport Canada Audits. </w:t>
      </w:r>
      <w:r>
        <w:rPr>
          <w:rFonts w:ascii="arial" w:eastAsia="arial" w:hAnsi="arial" w:cs="arial"/>
          <w:color w:val="000000"/>
          <w:sz w:val="20"/>
          <w:u w:val="single"/>
          <w:lang w:val="en-US" w:eastAsia="en-US" w:bidi="ar-SA"/>
        </w:rPr>
        <w:t>This would indicate that the company had not taken steps nor provided adequate resources to implement the corrective action plans from these audits to prevent a reoccurrence</w:t>
      </w:r>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AOC-03/AMO-03 Person Responsible for Maintenance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Issues identified on the previous two Transport Canada audits with regards to the duties of the PRM continue to be identified. </w:t>
      </w:r>
      <w:r>
        <w:rPr>
          <w:rFonts w:ascii="arial" w:eastAsia="arial" w:hAnsi="arial" w:cs="arial"/>
          <w:color w:val="000000"/>
          <w:sz w:val="20"/>
          <w:u w:val="single"/>
          <w:lang w:val="en-US" w:eastAsia="en-US" w:bidi="ar-SA"/>
        </w:rPr>
        <w:t>The most serious being the effectiveness of the Quality Assurance program, aircraft condition, and maintenance standards</w:t>
      </w:r>
      <w:r>
        <w:rPr>
          <w:rFonts w:ascii="arial" w:eastAsia="arial" w:hAnsi="arial" w:cs="arial"/>
          <w:color w:val="000000"/>
          <w:sz w:val="20"/>
          <w:lang w:val="en-US" w:eastAsia="en-US" w:bidi="ar-SA"/>
        </w:rPr>
        <w:t>. The content of this report and the associated Findings will support this assessment.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u w:val="single"/>
          <w:lang w:val="en-US" w:eastAsia="en-US" w:bidi="ar-SA"/>
        </w:rPr>
        <w:t>It has been identified that the PRM had not demonstrated adequate control in all assigned areas in accordance with the applicable standards.</w:t>
      </w:r>
    </w:p>
    <w:p>
      <w:pPr>
        <w:spacing w:before="120"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AOC-04/AMO-08 Evaluation Program/Quality Assurance System</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u w:val="single"/>
          <w:lang w:val="en-US" w:eastAsia="en-US" w:bidi="ar-SA"/>
        </w:rPr>
        <w:t>There is evidence that the audit component of a Quality Assurance system and Evaluation Program exists to support the company, however the program did not appear to be effective judging by the number of Findings and the number of Letters of Notification issued to company aircraft identified during this period of monitoring.</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[Emphasis added.]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79</w:t>
      </w:r>
      <w:r>
        <w:rPr>
          <w:rFonts w:ascii="arial" w:eastAsia="arial" w:hAnsi="arial" w:cs="arial"/>
          <w:color w:val="000000"/>
          <w:sz w:val="20"/>
          <w:lang w:val="en-US" w:eastAsia="en-US" w:bidi="ar-SA"/>
        </w:rPr>
        <w:t>  In March 2005 Mr. Gill sent Mr. Swanson a number of CAPs addressing the concerns raised in the February 4, 2005 report.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80</w:t>
      </w:r>
      <w:r>
        <w:rPr>
          <w:rFonts w:ascii="arial" w:eastAsia="arial" w:hAnsi="arial" w:cs="arial"/>
          <w:color w:val="000000"/>
          <w:sz w:val="20"/>
          <w:lang w:val="en-US" w:eastAsia="en-US" w:bidi="ar-SA"/>
        </w:rPr>
        <w:t>  In August 2005, as a result of an inspection of IEA's maintenance control system which determined IEA's CAPs had not been effective, Mr. Swanson wrote IEA advising "the enhanced monitoring program will not be closed and will remain open until a further inspection determines that all corrective action has been successfully implemented." IEA was instructed to have all previously submitted CAPs completed and to submit new CAPs for noted deficiencies on the most recent inspection by September 9, 2005. IEA complied with this requirement.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81</w:t>
      </w:r>
      <w:r>
        <w:rPr>
          <w:rFonts w:ascii="arial" w:eastAsia="arial" w:hAnsi="arial" w:cs="arial"/>
          <w:color w:val="000000"/>
          <w:sz w:val="20"/>
          <w:lang w:val="en-US" w:eastAsia="en-US" w:bidi="ar-SA"/>
        </w:rPr>
        <w:t>  TCCA released IEA from the Enhanced Monitoring Program on January 10, 2006.</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Engine Failures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82</w:t>
      </w:r>
      <w:r>
        <w:rPr>
          <w:rFonts w:ascii="arial" w:eastAsia="arial" w:hAnsi="arial" w:cs="arial"/>
          <w:color w:val="000000"/>
          <w:sz w:val="20"/>
          <w:lang w:val="en-US" w:eastAsia="en-US" w:bidi="ar-SA"/>
        </w:rPr>
        <w:t>  Over an eight day period in September and October 2005 three IEA aircraft had engine failures. Mr. Wallace, IEA's PMI from TCCA testified that a single engine failure at any time is important and that three within such a short period of time was extremely important and a trend that may indicate any number of safety issues.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83</w:t>
      </w:r>
      <w:r>
        <w:rPr>
          <w:rFonts w:ascii="arial" w:eastAsia="arial" w:hAnsi="arial" w:cs="arial"/>
          <w:color w:val="000000"/>
          <w:sz w:val="20"/>
          <w:lang w:val="en-US" w:eastAsia="en-US" w:bidi="ar-SA"/>
        </w:rPr>
        <w:t>  Mr. Nowzek testified as follows: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Engine failures are very rare in this day and age, and so when one happens, we will respond, and we need to get an explanation from the company ... There could be a number of different things as to why an engine fails. But the fact that engine failures are so rare, and then to have three in a row on three different aircraft, is quite unusual.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84</w:t>
      </w:r>
      <w:r>
        <w:rPr>
          <w:rFonts w:ascii="arial" w:eastAsia="arial" w:hAnsi="arial" w:cs="arial"/>
          <w:color w:val="000000"/>
          <w:sz w:val="20"/>
          <w:lang w:val="en-US" w:eastAsia="en-US" w:bidi="ar-SA"/>
        </w:rPr>
        <w:t xml:space="preserve">  In his report on the three engine failures, Mr. Wallace noted that all three aircraft were maintained on the "on-condition overhaul program", but noted no other similarities between them. Although Mr. Wallace expressed concern with the program he conceded in cross examination that the use of such a program was not prohibited by the </w:t>
      </w:r>
      <w:r>
        <w:rPr>
          <w:rFonts w:ascii="arial" w:eastAsia="arial" w:hAnsi="arial" w:cs="arial"/>
          <w:i/>
          <w:color w:val="000000"/>
          <w:sz w:val="20"/>
          <w:lang w:val="en-US" w:eastAsia="en-US" w:bidi="ar-SA"/>
        </w:rPr>
        <w:t>Act</w:t>
      </w:r>
      <w:r>
        <w:rPr>
          <w:rFonts w:ascii="arial" w:eastAsia="arial" w:hAnsi="arial" w:cs="arial"/>
          <w:color w:val="000000"/>
          <w:sz w:val="20"/>
          <w:lang w:val="en-US" w:eastAsia="en-US" w:bidi="ar-SA"/>
        </w:rPr>
        <w:t xml:space="preserve"> or </w:t>
      </w:r>
      <w:r>
        <w:rPr>
          <w:rFonts w:ascii="arial" w:eastAsia="arial" w:hAnsi="arial" w:cs="arial"/>
          <w:i/>
          <w:color w:val="000000"/>
          <w:sz w:val="20"/>
          <w:lang w:val="en-US" w:eastAsia="en-US" w:bidi="ar-SA"/>
        </w:rPr>
        <w:t>CARs</w:t>
      </w:r>
      <w:r>
        <w:rPr>
          <w:rFonts w:ascii="arial" w:eastAsia="arial" w:hAnsi="arial" w:cs="arial"/>
          <w:color w:val="000000"/>
          <w:sz w:val="20"/>
          <w:lang w:val="en-US" w:eastAsia="en-US" w:bidi="ar-SA"/>
        </w:rPr>
        <w:t>. His investigation of the engine failures did not give rise to any further action for regulatory non-compliance.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The Regulatory Audit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85</w:t>
      </w:r>
      <w:r>
        <w:rPr>
          <w:rFonts w:ascii="arial" w:eastAsia="arial" w:hAnsi="arial" w:cs="arial"/>
          <w:color w:val="000000"/>
          <w:sz w:val="20"/>
          <w:lang w:val="en-US" w:eastAsia="en-US" w:bidi="ar-SA"/>
        </w:rPr>
        <w:t>  In August 2005 TCCA had scheduled a "combined regulatory audit" of both operations and maintenance of IEA to occur over the 12 days between January 30, 2006 and February 10, 2006. TCCA inspectors intended to take a close look at IEA's operations.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86</w:t>
      </w:r>
      <w:r>
        <w:rPr>
          <w:rFonts w:ascii="arial" w:eastAsia="arial" w:hAnsi="arial" w:cs="arial"/>
          <w:color w:val="000000"/>
          <w:sz w:val="20"/>
          <w:lang w:val="en-US" w:eastAsia="en-US" w:bidi="ar-SA"/>
        </w:rPr>
        <w:t xml:space="preserve">  On January 6, 2006, the audit period was extended to February 24, 2006 "due to operational requirements". The regulatory audit involved a team of inspectors attending at IEA's premises to conduct a full review of its operations, including operations and maintenance manuals and records, for compliance with </w:t>
      </w:r>
      <w:r>
        <w:rPr>
          <w:rFonts w:ascii="arial" w:eastAsia="arial" w:hAnsi="arial" w:cs="arial"/>
          <w:i/>
          <w:color w:val="000000"/>
          <w:sz w:val="20"/>
          <w:lang w:val="en-US" w:eastAsia="en-US" w:bidi="ar-SA"/>
        </w:rPr>
        <w:t>CARs</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87</w:t>
      </w:r>
      <w:r>
        <w:rPr>
          <w:rFonts w:ascii="arial" w:eastAsia="arial" w:hAnsi="arial" w:cs="arial"/>
          <w:color w:val="000000"/>
          <w:sz w:val="20"/>
          <w:lang w:val="en-US" w:eastAsia="en-US" w:bidi="ar-SA"/>
        </w:rPr>
        <w:t>  On January 6, 2006 Mr. Chapman sought a delay in the audit noting "we are currently experiencing a large amount of growth due to [the assumption of much of IEA's competitor's business]. Needless to say, this growth is currently taxing our employees who are making great efforts to continue our safe and efficient flight operations".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88</w:t>
      </w:r>
      <w:r>
        <w:rPr>
          <w:rFonts w:ascii="arial" w:eastAsia="arial" w:hAnsi="arial" w:cs="arial"/>
          <w:color w:val="000000"/>
          <w:sz w:val="20"/>
          <w:lang w:val="en-US" w:eastAsia="en-US" w:bidi="ar-SA"/>
        </w:rPr>
        <w:t>  TCCA was not prepared to defer the audit.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Maintenance Overruns - The No Notice Inspection of January 11 and 12, 2006</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89</w:t>
      </w:r>
      <w:r>
        <w:rPr>
          <w:rFonts w:ascii="arial" w:eastAsia="arial" w:hAnsi="arial" w:cs="arial"/>
          <w:color w:val="000000"/>
          <w:sz w:val="20"/>
          <w:lang w:val="en-US" w:eastAsia="en-US" w:bidi="ar-SA"/>
        </w:rPr>
        <w:t>  A "no notice" or random inspection was made by Mr. Wallace, on January 11 and 12, 2006, the days directly following IEA's release from the Enhanced Monitoring Program on January 10, 2006.</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90</w:t>
      </w:r>
      <w:r>
        <w:rPr>
          <w:rFonts w:ascii="arial" w:eastAsia="arial" w:hAnsi="arial" w:cs="arial"/>
          <w:color w:val="000000"/>
          <w:sz w:val="20"/>
          <w:lang w:val="en-US" w:eastAsia="en-US" w:bidi="ar-SA"/>
        </w:rPr>
        <w:t>  Six IEA aircraft were found to be overdue for scheduled maintenance inspections. In one instance, an aircraft was noted to have recorded 255.7 hours of operation without complying with the manufacturer's wing strut inspection requirements. The other five aircraft were overdue for inspections by between 5 and 7.7 hours. In addition, the maintenance overruns were not recorded in the aircraft journey logbooks, contrary to regulatory requirements. It was Mr. Wallace's view that the overruns would have been obvious from the system IEA used to forecast required maintenance and would have been known to IEA.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91</w:t>
      </w:r>
      <w:r>
        <w:rPr>
          <w:rFonts w:ascii="arial" w:eastAsia="arial" w:hAnsi="arial" w:cs="arial"/>
          <w:color w:val="000000"/>
          <w:sz w:val="20"/>
          <w:lang w:val="en-US" w:eastAsia="en-US" w:bidi="ar-SA"/>
        </w:rPr>
        <w:t>  Mr. Wallace considered the overruns to be a serious matter, particularly as they so closely followed the Enhanced Monitoring Program. He so advised IEA's principals and informed IEA's PRM that the aircraft must be immediately grounded and that enforcement action would be considered. He testified: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 was discouraged. We had just come through an enhanced monitoring programme. We had just gone through a lot of corrective action, implementation of that corrective action, follow-up with the corrective action, done a lot of work, and I was hopeful that the audit that was scheduled for very shortly would give the company, for lack of better terms, a clean bill of health. And I was discouraged to find the level of noncompliance that I found in that visit.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92</w:t>
      </w:r>
      <w:r>
        <w:rPr>
          <w:rFonts w:ascii="arial" w:eastAsia="arial" w:hAnsi="arial" w:cs="arial"/>
          <w:color w:val="000000"/>
          <w:sz w:val="20"/>
          <w:lang w:val="en-US" w:eastAsia="en-US" w:bidi="ar-SA"/>
        </w:rPr>
        <w:t xml:space="preserve">  On January 13, 2006 Mr. Wallace issued an inspection report finding IEA was in non-conformance with several sections of the </w:t>
      </w:r>
      <w:r>
        <w:rPr>
          <w:rFonts w:ascii="arial" w:eastAsia="arial" w:hAnsi="arial" w:cs="arial"/>
          <w:i/>
          <w:color w:val="000000"/>
          <w:sz w:val="20"/>
          <w:lang w:val="en-US" w:eastAsia="en-US" w:bidi="ar-SA"/>
        </w:rPr>
        <w:t>CARs</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93</w:t>
      </w:r>
      <w:r>
        <w:rPr>
          <w:rFonts w:ascii="arial" w:eastAsia="arial" w:hAnsi="arial" w:cs="arial"/>
          <w:color w:val="000000"/>
          <w:sz w:val="20"/>
          <w:lang w:val="en-US" w:eastAsia="en-US" w:bidi="ar-SA"/>
        </w:rPr>
        <w:t>  IEA was required to undertake corrective action by January 20, 2006. From the documents on file, it is apparent IEA and the Transport Canada inspectors who conducted the spot audit were able, on January 13, 2006, to enter into both short and long term CAPs to address compliance with the finding.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94</w:t>
      </w:r>
      <w:r>
        <w:rPr>
          <w:rFonts w:ascii="arial" w:eastAsia="arial" w:hAnsi="arial" w:cs="arial"/>
          <w:color w:val="000000"/>
          <w:sz w:val="20"/>
          <w:lang w:val="en-US" w:eastAsia="en-US" w:bidi="ar-SA"/>
        </w:rPr>
        <w:t>  The short term CAP included the immediate grounding of the aircraft and an investigation to determine whether there had been compliance with special instructions issued regarding the maintenance of the aircraft; a maintenance forecast generated for each aircraft; and the Operations Manager was to accept greater responsibility for tracking the inspection of aircraft.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95</w:t>
      </w:r>
      <w:r>
        <w:rPr>
          <w:rFonts w:ascii="arial" w:eastAsia="arial" w:hAnsi="arial" w:cs="arial"/>
          <w:color w:val="000000"/>
          <w:sz w:val="20"/>
          <w:lang w:val="en-US" w:eastAsia="en-US" w:bidi="ar-SA"/>
        </w:rPr>
        <w:t>  The long term CAP provided that IEA would hire a consultant to conduct an inspection of its quality assurance program and to make suggestions for improvement and that it would appoint a quality assurance manager to oversee its inspection program.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96</w:t>
      </w:r>
      <w:r>
        <w:rPr>
          <w:rFonts w:ascii="arial" w:eastAsia="arial" w:hAnsi="arial" w:cs="arial"/>
          <w:color w:val="000000"/>
          <w:sz w:val="20"/>
          <w:lang w:val="en-US" w:eastAsia="en-US" w:bidi="ar-SA"/>
        </w:rPr>
        <w:t>  The deficiencies were immediately recorded in each aircraft's journey logs and the technical log, the inspections were complied with by IEA and a consultant was hired to conduct an inspection of IEA's quality assurance program. Mr. Chapman accepted the responsibility to review completed maintenance inspection packages for completeness and accuracy and for communicating any deficiencies to the PRM.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97</w:t>
      </w:r>
      <w:r>
        <w:rPr>
          <w:rFonts w:ascii="arial" w:eastAsia="arial" w:hAnsi="arial" w:cs="arial"/>
          <w:color w:val="000000"/>
          <w:sz w:val="20"/>
          <w:lang w:val="en-US" w:eastAsia="en-US" w:bidi="ar-SA"/>
        </w:rPr>
        <w:t>  On Saturday, January 21, 2006, a Cessna Caravan aircraft owned and operated by IEA on a regularly scheduled flight from Tofino, British Columbia to Vancouver International Airport crashed on Vancouver Island as a result of a loss of engine power. Five of the passengers survived with serious injuries; tragically the pilot and the remaining two passengers were fatally injured.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98</w:t>
      </w:r>
      <w:r>
        <w:rPr>
          <w:rFonts w:ascii="arial" w:eastAsia="arial" w:hAnsi="arial" w:cs="arial"/>
          <w:color w:val="000000"/>
          <w:sz w:val="20"/>
          <w:lang w:val="en-US" w:eastAsia="en-US" w:bidi="ar-SA"/>
        </w:rPr>
        <w:t xml:space="preserve">  The Transportation Safety Board of Canada (the "TSB") commenced an immediate investigation to determine the cause of the accident. The TSB is a separate and distinct agency from Transport Canada and is vested with the responsibility to investigate aircraft accidents in Canada: </w:t>
      </w:r>
      <w:r>
        <w:rPr>
          <w:rFonts w:ascii="arial" w:eastAsia="arial" w:hAnsi="arial" w:cs="arial"/>
          <w:i/>
          <w:color w:val="000000"/>
          <w:sz w:val="20"/>
          <w:lang w:val="en-US" w:eastAsia="en-US" w:bidi="ar-SA"/>
        </w:rPr>
        <w:t>Canadian Transportation Accident Investigation and Safety Board Act,</w:t>
      </w:r>
      <w:r>
        <w:rPr>
          <w:rFonts w:ascii="arial" w:eastAsia="arial" w:hAnsi="arial" w:cs="arial"/>
          <w:color w:val="000000"/>
          <w:sz w:val="20"/>
          <w:lang w:val="en-US" w:eastAsia="en-US" w:bidi="ar-SA"/>
        </w:rPr>
        <w:t xml:space="preserve"> </w:t>
      </w:r>
      <w:hyperlink r:id="rId14" w:history="1">
        <w:r>
          <w:rPr>
            <w:rFonts w:ascii="arial" w:eastAsia="arial" w:hAnsi="arial" w:cs="arial"/>
            <w:i/>
            <w:color w:val="0077CC"/>
            <w:sz w:val="20"/>
            <w:u w:val="single"/>
            <w:shd w:val="clear" w:color="auto" w:fill="FFFFFF"/>
            <w:lang w:val="en-US" w:eastAsia="en-US" w:bidi="ar-SA"/>
          </w:rPr>
          <w:t>S.C. 1989, c. 3</w:t>
        </w:r>
      </w:hyperlink>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99</w:t>
      </w:r>
      <w:r>
        <w:rPr>
          <w:rFonts w:ascii="arial" w:eastAsia="arial" w:hAnsi="arial" w:cs="arial"/>
          <w:color w:val="000000"/>
          <w:sz w:val="20"/>
          <w:lang w:val="en-US" w:eastAsia="en-US" w:bidi="ar-SA"/>
        </w:rPr>
        <w:t>  A year and a half later, on August 9, 2007, the TSB issued its report in which it concluded the loss of engine power was "a result of the overstress extension of a fatigue-generated crack. The fracture initiated at a metallurgical anomaly in the parent blade material and progressed, eventually resulting in blade failure due to overstress rupture". That is, the failure resulted from a metallurgical defect in the propeller blade.The finding confirmed the cause of the accident was beyond the control of IEA.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The Suspension of IEA's Air Operator Certificate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The Transport Canada Meeting of January 22, 2006</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100</w:t>
      </w:r>
      <w:r>
        <w:rPr>
          <w:rFonts w:ascii="arial" w:eastAsia="arial" w:hAnsi="arial" w:cs="arial"/>
          <w:color w:val="000000"/>
          <w:sz w:val="20"/>
          <w:lang w:val="en-US" w:eastAsia="en-US" w:bidi="ar-SA"/>
        </w:rPr>
        <w:t>  TCCA was advised of the accident shortly after it occurred on Saturday January 21, 2006. The information received at that time was that the accident had been caused by a loss of engine power, that there were three fatalities and that five passengers were injured.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101</w:t>
      </w:r>
      <w:r>
        <w:rPr>
          <w:rFonts w:ascii="arial" w:eastAsia="arial" w:hAnsi="arial" w:cs="arial"/>
          <w:color w:val="000000"/>
          <w:sz w:val="20"/>
          <w:lang w:val="en-US" w:eastAsia="en-US" w:bidi="ar-SA"/>
        </w:rPr>
        <w:t>  The evidence established that upon hearing of the accident TCCA officials were concerned there might be a connection between the accident and IEA's aviation record and were considering whether to "pull" IEA's Certificate immediately. There was considerable media attention on the cause of the accident, the carrier's aviation record, the type of airplane involved and the steps TCCA intended to take.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102</w:t>
      </w:r>
      <w:r>
        <w:rPr>
          <w:rFonts w:ascii="arial" w:eastAsia="arial" w:hAnsi="arial" w:cs="arial"/>
          <w:color w:val="000000"/>
          <w:sz w:val="20"/>
          <w:lang w:val="en-US" w:eastAsia="en-US" w:bidi="ar-SA"/>
        </w:rPr>
        <w:t>  As was the usual protocol when there was a serious incident involving an aircraft, Mr. Nowzek, as Regional Director, immediately set up a meeting of senior managers and others who were involved with the carrier. The meeting occurred at 1:30 on the afternoon of January 22. In addition to Mr. Nowzek, the other attendees at the meeting were Mr. Heryet; Mr. Joel Schoenberger, Acting Regional Manager, Maintenance and Manufacturing; Mr. Claudio Bulfone, Acting Regional Manager, Enforcement and Civil Aviation Enforcement Inspector; Mr. Swanson; Mr. Wallace; Mr. Bruce Hutchings, Regional Superintendent, Certification, Commercial and Business Aviation; Mr. Rod Nelson, the Regional Director, Communications; and Ms. Brenda Janzen, Regional Manager, Program and Administrative Services.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103</w:t>
      </w:r>
      <w:r>
        <w:rPr>
          <w:rFonts w:ascii="arial" w:eastAsia="arial" w:hAnsi="arial" w:cs="arial"/>
          <w:color w:val="000000"/>
          <w:sz w:val="20"/>
          <w:lang w:val="en-US" w:eastAsia="en-US" w:bidi="ar-SA"/>
        </w:rPr>
        <w:t>  Ms. Deborah Warren, Acting Regional Manager, System Safety and Mr. Franz Reinhardt, Acting Director General, Civil Aviation and Civil Aviation Director of Policy and Regulatory Services were involved in the meeting by teleconference. Mr. Reinhardt, at the time, was the most senior official in TCCA, reporting directly to the Deputy Minister.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104</w:t>
      </w:r>
      <w:r>
        <w:rPr>
          <w:rFonts w:ascii="arial" w:eastAsia="arial" w:hAnsi="arial" w:cs="arial"/>
          <w:color w:val="000000"/>
          <w:sz w:val="20"/>
          <w:lang w:val="en-US" w:eastAsia="en-US" w:bidi="ar-SA"/>
        </w:rPr>
        <w:t xml:space="preserve">  Mr. Nowzek led the discussion. Those present were given an update on the circumstances of the accident. IEA's operating record was reviewed. Messrs Bulfone, Wallace, Swanson and Heryet, those who had been directly involved in dealing with IEA, reviewed the company's history of compliance with </w:t>
      </w:r>
      <w:r>
        <w:rPr>
          <w:rFonts w:ascii="arial" w:eastAsia="arial" w:hAnsi="arial" w:cs="arial"/>
          <w:i/>
          <w:color w:val="000000"/>
          <w:sz w:val="20"/>
          <w:lang w:val="en-US" w:eastAsia="en-US" w:bidi="ar-SA"/>
        </w:rPr>
        <w:t>CARs</w:t>
      </w:r>
      <w:r>
        <w:rPr>
          <w:rFonts w:ascii="arial" w:eastAsia="arial" w:hAnsi="arial" w:cs="arial"/>
          <w:color w:val="000000"/>
          <w:sz w:val="20"/>
          <w:lang w:val="en-US" w:eastAsia="en-US" w:bidi="ar-SA"/>
        </w:rPr>
        <w:t>, including the Enhanced Monitoring Program and the results of the no notice inspection of January 11 and 12, 2006. Summary notes of the meeting were kept and some participants kept their own notes.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105</w:t>
      </w:r>
      <w:r>
        <w:rPr>
          <w:rFonts w:ascii="arial" w:eastAsia="arial" w:hAnsi="arial" w:cs="arial"/>
          <w:color w:val="000000"/>
          <w:sz w:val="20"/>
          <w:lang w:val="en-US" w:eastAsia="en-US" w:bidi="ar-SA"/>
        </w:rPr>
        <w:t xml:space="preserve">  It is clear to me those present were concerned the accident may be related to a breach of the </w:t>
      </w:r>
      <w:r>
        <w:rPr>
          <w:rFonts w:ascii="arial" w:eastAsia="arial" w:hAnsi="arial" w:cs="arial"/>
          <w:i/>
          <w:color w:val="000000"/>
          <w:sz w:val="20"/>
          <w:lang w:val="en-US" w:eastAsia="en-US" w:bidi="ar-SA"/>
        </w:rPr>
        <w:t>CARs.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106</w:t>
      </w:r>
      <w:r>
        <w:rPr>
          <w:rFonts w:ascii="arial" w:eastAsia="arial" w:hAnsi="arial" w:cs="arial"/>
          <w:color w:val="000000"/>
          <w:sz w:val="20"/>
          <w:lang w:val="en-US" w:eastAsia="en-US" w:bidi="ar-SA"/>
        </w:rPr>
        <w:t>  Mr. Heryet reviewed IEA's record going back to an incident in 1997/98. He noted that operations inspectors had the same general experience as maintenance inspectors: while the company had improved its record keeping as a result of increased monitoring by TCCA inspectors, there were still major items being overlooked by the company. It was his view IEA "shoots for bottom level compliance."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107</w:t>
      </w:r>
      <w:r>
        <w:rPr>
          <w:rFonts w:ascii="arial" w:eastAsia="arial" w:hAnsi="arial" w:cs="arial"/>
          <w:color w:val="000000"/>
          <w:sz w:val="20"/>
          <w:lang w:val="en-US" w:eastAsia="en-US" w:bidi="ar-SA"/>
        </w:rPr>
        <w:t>  The note taker summarized the discussion which occurred when Mr. Reinhardt joined the meeting by teleconference:</w:t>
      </w:r>
      <w:r>
        <w:rPr>
          <w:rFonts w:ascii="arial" w:eastAsia="arial" w:hAnsi="arial" w:cs="arial"/>
          <w:sz w:val="20"/>
          <w:lang w:val="en-US" w:eastAsia="en-US" w:bidi="ar-SA"/>
        </w:rPr>
        <w:cr/>
      </w:r>
    </w:p>
    <w:p>
      <w:pPr>
        <w:numPr>
          <w:numId w:val="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Many questions and options were raised regarding what course of action TC should take with Sonic Blue based on previous history with the company.</w:t>
      </w:r>
    </w:p>
    <w:p>
      <w:pPr>
        <w:numPr>
          <w:numId w:val="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Suggestions such as exploring the voluntary surrender of the company's operating certificate, or an immediate suspension with the condition for "not in the public interest" clause and conditions for re-issuance "must meet condition of issuance of OC".</w:t>
      </w:r>
    </w:p>
    <w:p>
      <w:pPr>
        <w:numPr>
          <w:numId w:val="1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Suggestions included, 711(B) and 711(C) of the A.A. for consideration.</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RDCA [Mr. Nowzek] provided a synopsis of the issues being discussed; several Managers and Inspectors also provided input from their various areas of expertise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108</w:t>
      </w:r>
      <w:r>
        <w:rPr>
          <w:rFonts w:ascii="arial" w:eastAsia="arial" w:hAnsi="arial" w:cs="arial"/>
          <w:color w:val="000000"/>
          <w:sz w:val="20"/>
          <w:lang w:val="en-US" w:eastAsia="en-US" w:bidi="ar-SA"/>
        </w:rPr>
        <w:t>  Mr. Reinhardt was viewed by those present as being the "expert" in regulatory matters and it was upon his advice those present relied in coming to a decision on how to proceed. It was his opinion, as well as all others, that a Notice of Suspension ("NOS") could not be issued under s. 7(1), as that section could only be used if an accident was imminent or immediately likely involving an aircraft currently in the air. It was also Mr. Reinhardt's view (evidently contrary to the opinion of many at the meeting) that a suspension issued under s. 7.1(1)(c) based on the aviation record of the holder could not be sustained before the TAT because he understood "aviation record" to mean a record of putative enforcement action against a certificate holder: that is, he believed it did not include findings made which had been resolved through a CAP and for which no enforcement action had been taken.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109</w:t>
      </w:r>
      <w:r>
        <w:rPr>
          <w:rFonts w:ascii="arial" w:eastAsia="arial" w:hAnsi="arial" w:cs="arial"/>
          <w:color w:val="000000"/>
          <w:sz w:val="20"/>
          <w:lang w:val="en-US" w:eastAsia="en-US" w:bidi="ar-SA"/>
        </w:rPr>
        <w:t>  Those present were polled to solicit their views on the action TCCA should take. The opinion of all present was that if IEA was not willing to voluntarily surrender its Certificate, then the Certificate should be suspended immediately by TCCA.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110</w:t>
      </w:r>
      <w:r>
        <w:rPr>
          <w:rFonts w:ascii="arial" w:eastAsia="arial" w:hAnsi="arial" w:cs="arial"/>
          <w:color w:val="000000"/>
          <w:sz w:val="20"/>
          <w:lang w:val="en-US" w:eastAsia="en-US" w:bidi="ar-SA"/>
        </w:rPr>
        <w:t>  The note taker summarized the results of the meeting:</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In summary:</w:t>
      </w:r>
    </w:p>
    <w:p>
      <w:pPr>
        <w:numPr>
          <w:numId w:val="1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RDCA [Mr. Nowzek] polled the participants for their final analysis on what action that they were prepared to take in this incident. All participants agreed that if the company was not prepared to voluntarily surrender their license a suspension of their operating certificate should be served at 24:00 hours Sunday 22nd January 2006.</w:t>
      </w:r>
    </w:p>
    <w:p>
      <w:pPr>
        <w:numPr>
          <w:numId w:val="1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 combined Audit with C&amp;BA, M &amp; M and General Aviation would be conducted.</w:t>
      </w:r>
    </w:p>
    <w:p>
      <w:pPr>
        <w:numPr>
          <w:numId w:val="1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Regional Superintendent, Certification to prepare the Suspension Notice as a precautionary measure.</w:t>
      </w:r>
    </w:p>
    <w:p>
      <w:pPr>
        <w:numPr>
          <w:numId w:val="1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Regional Manager, Program &amp; Administration to start preparing briefing note.</w:t>
      </w:r>
    </w:p>
    <w:p>
      <w:pPr>
        <w:numPr>
          <w:numId w:val="1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All other participants to prepare summaries of their findings and detection notices of Sonic Blue in preparation for suspension of their operating certificate.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Preparation of Suspension Notice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Preparation of Briefing Note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Summary of each areas past findings and detection notices.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111</w:t>
      </w:r>
      <w:r>
        <w:rPr>
          <w:rFonts w:ascii="arial" w:eastAsia="arial" w:hAnsi="arial" w:cs="arial"/>
          <w:color w:val="000000"/>
          <w:sz w:val="20"/>
          <w:lang w:val="en-US" w:eastAsia="en-US" w:bidi="ar-SA"/>
        </w:rPr>
        <w:t>  Mr. Wallace kept notes of the discussion and testified about the tension at the meeting as to how TCCA should deal with IEA given its poor aviation record, particularly on maintenance issues. Some thought the Certificate should be suspended based on the aviation record; others thought it should be based on lack of operational control. Mr. Wallace noted he was "discouraged" by the recent overruns as they had immediately followed the closure of the Enhanced Monitoring Program.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112</w:t>
      </w:r>
      <w:r>
        <w:rPr>
          <w:rFonts w:ascii="arial" w:eastAsia="arial" w:hAnsi="arial" w:cs="arial"/>
          <w:color w:val="000000"/>
          <w:sz w:val="20"/>
          <w:lang w:val="en-US" w:eastAsia="en-US" w:bidi="ar-SA"/>
        </w:rPr>
        <w:t xml:space="preserve">  Mr. Wallace is noted as advising those present that IEA had "responded quite quickly and appropriately to issues raised" by the PMI; that the company had been under an Enhanced Monitoring Program; that the PMI was working closely with IEA in resolving the technical issues that had been raised; that the problems identified during the recent no notice inspection had been identified and rectified; and that six Detection Notices were being prepared concerning the recent maintenance overruns. During his testimony, Mr. Wallace summarized his views about the company in the following terms: "the main difficulty with Sonicblue is that they shoot for the lowest possible legal standards. Therefore when something is missed, it's illegal." When Mr. Wallace received a copy of the NOS which was ultimately sent to IEA he initially expressed concern in an e-mail to Mr. Heryet that the grounds were based on s. 7.1(1)(b) of the </w:t>
      </w:r>
      <w:r>
        <w:rPr>
          <w:rFonts w:ascii="arial" w:eastAsia="arial" w:hAnsi="arial" w:cs="arial"/>
          <w:i/>
          <w:color w:val="000000"/>
          <w:sz w:val="20"/>
          <w:lang w:val="en-US" w:eastAsia="en-US" w:bidi="ar-SA"/>
        </w:rPr>
        <w:t>Act</w:t>
      </w:r>
      <w:r>
        <w:rPr>
          <w:rFonts w:ascii="arial" w:eastAsia="arial" w:hAnsi="arial" w:cs="arial"/>
          <w:color w:val="000000"/>
          <w:sz w:val="20"/>
          <w:lang w:val="en-US" w:eastAsia="en-US" w:bidi="ar-SA"/>
        </w:rPr>
        <w:t xml:space="preserve"> as he felt the issue was a maintenance issue and that "the Operations Manager doesn't enter into the equation".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113</w:t>
      </w:r>
      <w:r>
        <w:rPr>
          <w:rFonts w:ascii="arial" w:eastAsia="arial" w:hAnsi="arial" w:cs="arial"/>
          <w:color w:val="000000"/>
          <w:sz w:val="20"/>
          <w:lang w:val="en-US" w:eastAsia="en-US" w:bidi="ar-SA"/>
        </w:rPr>
        <w:t>  During his testimony, Mr. Nowzek summarized the "competing interests" considered by those present at the meeting. He testified: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Those competing interests were the interests of the company, that wanted to stay in business, and we had public safety at stake here as well. And given our lack of confidence in the company, do we allow it to operate, not knowing what else is going on in there, that we felt it better to put them on the ground until we could determine -- make a determination how deep the noncompliance conditions turned out.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114</w:t>
      </w:r>
      <w:r>
        <w:rPr>
          <w:rFonts w:ascii="arial" w:eastAsia="arial" w:hAnsi="arial" w:cs="arial"/>
          <w:color w:val="000000"/>
          <w:sz w:val="20"/>
          <w:lang w:val="en-US" w:eastAsia="en-US" w:bidi="ar-SA"/>
        </w:rPr>
        <w:t>  Mr. Heryet had several discussions with both Mr. Gill and Mr. Chapman throughout the day of January 22. He advised them both that TCCA intended to suspend IEA's Certificate and suggested the company voluntarily ground its planes and surrender its certificate. Mr. Heryet was advised IEA would not fly that day but would resume operations on Monday. Mr. Heryet told Mr. Gill this was not acceptable and that a NOS would be issued.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115</w:t>
      </w:r>
      <w:r>
        <w:rPr>
          <w:rFonts w:ascii="arial" w:eastAsia="arial" w:hAnsi="arial" w:cs="arial"/>
          <w:color w:val="000000"/>
          <w:sz w:val="20"/>
          <w:lang w:val="en-US" w:eastAsia="en-US" w:bidi="ar-SA"/>
        </w:rPr>
        <w:t xml:space="preserve">  Following the discussion at the meeting, and with advice from Mr. Reinhardt as to the appropriate grounds for suspension, the decision was made to suspend the Certificate pursuant to s. 7.1(1)(b) of the </w:t>
      </w:r>
      <w:r>
        <w:rPr>
          <w:rFonts w:ascii="arial" w:eastAsia="arial" w:hAnsi="arial" w:cs="arial"/>
          <w:i/>
          <w:color w:val="000000"/>
          <w:sz w:val="20"/>
          <w:lang w:val="en-US" w:eastAsia="en-US" w:bidi="ar-SA"/>
        </w:rPr>
        <w:t>Act</w:t>
      </w:r>
      <w:r>
        <w:rPr>
          <w:rFonts w:ascii="arial" w:eastAsia="arial" w:hAnsi="arial" w:cs="arial"/>
          <w:color w:val="000000"/>
          <w:sz w:val="20"/>
          <w:lang w:val="en-US" w:eastAsia="en-US" w:bidi="ar-SA"/>
        </w:rPr>
        <w:t xml:space="preserve"> on the grounds that IEA had ceased to meet the qualifications necessary for the issuance of the Certificate.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116</w:t>
      </w:r>
      <w:r>
        <w:rPr>
          <w:rFonts w:ascii="arial" w:eastAsia="arial" w:hAnsi="arial" w:cs="arial"/>
          <w:color w:val="000000"/>
          <w:sz w:val="20"/>
          <w:lang w:val="en-US" w:eastAsia="en-US" w:bidi="ar-SA"/>
        </w:rPr>
        <w:t>  Mr. Heryet and Mr. Hutchings were left to draft the wording of the NOS, which was to be effective 11:59 PM January 22, 2006.</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117</w:t>
      </w:r>
      <w:r>
        <w:rPr>
          <w:rFonts w:ascii="arial" w:eastAsia="arial" w:hAnsi="arial" w:cs="arial"/>
          <w:color w:val="000000"/>
          <w:sz w:val="20"/>
          <w:lang w:val="en-US" w:eastAsia="en-US" w:bidi="ar-SA"/>
        </w:rPr>
        <w:t xml:space="preserve">  As stated, the </w:t>
      </w:r>
      <w:r>
        <w:rPr>
          <w:rFonts w:ascii="arial" w:eastAsia="arial" w:hAnsi="arial" w:cs="arial"/>
          <w:i/>
          <w:color w:val="000000"/>
          <w:sz w:val="20"/>
          <w:lang w:val="en-US" w:eastAsia="en-US" w:bidi="ar-SA"/>
        </w:rPr>
        <w:t>CARs</w:t>
      </w:r>
      <w:r>
        <w:rPr>
          <w:rFonts w:ascii="arial" w:eastAsia="arial" w:hAnsi="arial" w:cs="arial"/>
          <w:color w:val="000000"/>
          <w:sz w:val="20"/>
          <w:lang w:val="en-US" w:eastAsia="en-US" w:bidi="ar-SA"/>
        </w:rPr>
        <w:t xml:space="preserve"> require an air operator to employ an Operations Manager in order to obtain and maintain a Certificate. In order to suspend IEA's Certificate under s. 7.1(1)(b) Mr. Hutchings concluded Mr. Chapman, as Operations Manager, had failed to properly exercise his responsibilities for IEA's operations, including the operations of its maintenance division. He then drafted a revocation of Mr. Chapman's authority and a NOS of IEA's Certificate.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118</w:t>
      </w:r>
      <w:r>
        <w:rPr>
          <w:rFonts w:ascii="arial" w:eastAsia="arial" w:hAnsi="arial" w:cs="arial"/>
          <w:color w:val="000000"/>
          <w:sz w:val="20"/>
          <w:lang w:val="en-US" w:eastAsia="en-US" w:bidi="ar-SA"/>
        </w:rPr>
        <w:t xml:space="preserve">  TCCA faxed the two notices to IEA on the evening of January 22, 2006. The NOS suspended IEA's Certificate on the basis it had ceased to meet the qualifications for issuance of its Certificate because it no longer employed a qualified Operations Manager as required by </w:t>
      </w:r>
      <w:r>
        <w:rPr>
          <w:rFonts w:ascii="arial" w:eastAsia="arial" w:hAnsi="arial" w:cs="arial"/>
          <w:i/>
          <w:color w:val="000000"/>
          <w:sz w:val="20"/>
          <w:lang w:val="en-US" w:eastAsia="en-US" w:bidi="ar-SA"/>
        </w:rPr>
        <w:t>CARs</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119</w:t>
      </w:r>
      <w:r>
        <w:rPr>
          <w:rFonts w:ascii="arial" w:eastAsia="arial" w:hAnsi="arial" w:cs="arial"/>
          <w:color w:val="000000"/>
          <w:sz w:val="20"/>
          <w:lang w:val="en-US" w:eastAsia="en-US" w:bidi="ar-SA"/>
        </w:rPr>
        <w:t>  The notice revoking the Operations Manager authority for Mr. Chapman reads: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Minister of Transport has decided to revoke the Operations Manager authority for Nikolas Chapman, for the following reason:</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Canadian Aviation regulation 723.07(2) (a) (ii) (A) states that the Operations Manager is responsible for; "the control of operations and operational standards of all aeroplanes operated";</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In view of recent [findings] by the Maintenance and Manufacturing personnel it has been deemed that this responsibility has not been fulfilled.</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Mr. Chapman may requalify by demonstrating to the Minister his knowledge to carry out the duties and responsibilities of this position.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120</w:t>
      </w:r>
      <w:r>
        <w:rPr>
          <w:rFonts w:ascii="arial" w:eastAsia="arial" w:hAnsi="arial" w:cs="arial"/>
          <w:color w:val="000000"/>
          <w:sz w:val="20"/>
          <w:lang w:val="en-US" w:eastAsia="en-US" w:bidi="ar-SA"/>
        </w:rPr>
        <w:t>  The notice suspending IEA's Certificate reads: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Pursuant to paragraph 7.1 (1) (b) of the Aeronautics Act, the Minister of Transport has decided to suspend Air Operator Certificate No. 8081, for the following reason:</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"The document holder ceases to meet the qualifications necessary for the issuance of a Canadian Air Operator Certificate."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This suspension will come into effect </w:t>
      </w:r>
      <w:r>
        <w:rPr>
          <w:rFonts w:ascii="arial" w:eastAsia="arial" w:hAnsi="arial" w:cs="arial"/>
          <w:b/>
          <w:color w:val="000000"/>
          <w:sz w:val="20"/>
          <w:lang w:val="en-US" w:eastAsia="en-US" w:bidi="ar-SA"/>
        </w:rPr>
        <w:t>January 22 2006 at 23:59 Pacific time.</w:t>
      </w:r>
      <w:r>
        <w:rPr>
          <w:rFonts w:ascii="arial" w:eastAsia="arial" w:hAnsi="arial" w:cs="arial"/>
          <w:color w:val="000000"/>
          <w:sz w:val="20"/>
          <w:lang w:val="en-US" w:eastAsia="en-US" w:bidi="ar-SA"/>
        </w:rPr>
        <w:t xml:space="preserve"> When you meet all of the conditions for reinstatement it is important to co-ordinate with this office requesting a formal letter rescinding the Notice of Suspension.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121</w:t>
      </w:r>
      <w:r>
        <w:rPr>
          <w:rFonts w:ascii="arial" w:eastAsia="arial" w:hAnsi="arial" w:cs="arial"/>
          <w:color w:val="000000"/>
          <w:sz w:val="20"/>
          <w:lang w:val="en-US" w:eastAsia="en-US" w:bidi="ar-SA"/>
        </w:rPr>
        <w:t xml:space="preserve">  The conditions for reinstatement required that IEA must meet all qualifications necessary for the issuance of a Certificate: meet all the requirements for operating a commercial air service, employ an Operations Manager who meets the qualifications required by the </w:t>
      </w:r>
      <w:r>
        <w:rPr>
          <w:rFonts w:ascii="arial" w:eastAsia="arial" w:hAnsi="arial" w:cs="arial"/>
          <w:i/>
          <w:color w:val="000000"/>
          <w:sz w:val="20"/>
          <w:lang w:val="en-US" w:eastAsia="en-US" w:bidi="ar-SA"/>
        </w:rPr>
        <w:t>CARs</w:t>
      </w:r>
      <w:r>
        <w:rPr>
          <w:rFonts w:ascii="arial" w:eastAsia="arial" w:hAnsi="arial" w:cs="arial"/>
          <w:color w:val="000000"/>
          <w:sz w:val="20"/>
          <w:lang w:val="en-US" w:eastAsia="en-US" w:bidi="ar-SA"/>
        </w:rPr>
        <w:t xml:space="preserve"> and complete a satisfactory audit by Transport Canada.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122</w:t>
      </w:r>
      <w:r>
        <w:rPr>
          <w:rFonts w:ascii="arial" w:eastAsia="arial" w:hAnsi="arial" w:cs="arial"/>
          <w:color w:val="000000"/>
          <w:sz w:val="20"/>
          <w:lang w:val="en-US" w:eastAsia="en-US" w:bidi="ar-SA"/>
        </w:rPr>
        <w:t>  On the morning of January 23, 2006 TCCA issued a press release entitled "Transport Canada Suspends International Express Aircharter Ltd.'s Air Operator Certificate". The release included the following statement: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Transport Canada today announced the suspension of International Express Aircharter Ltd.'s air operator certificate effective immediately. Without an air operator certificate, a company cannot provide commercial services in Canada."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123</w:t>
      </w:r>
      <w:r>
        <w:rPr>
          <w:rFonts w:ascii="arial" w:eastAsia="arial" w:hAnsi="arial" w:cs="arial"/>
          <w:color w:val="000000"/>
          <w:sz w:val="20"/>
          <w:lang w:val="en-US" w:eastAsia="en-US" w:bidi="ar-SA"/>
        </w:rPr>
        <w:t>  Both Mr. Chapman and Mr. Gill immediately protested to Mr. Heryet by both correspondence and telephone that the revocation of Mr. Chapman's appointment as Operations Manager and the suspension of IEA's Certificate were unfair. Mr. Chapman wrote that he "had done everything in my power to address concerns raised by Mr. Wallace [at the January 13, 2006 meeting concerning the maintenance overruns]. I also left with the understanding our proposed corrections were accepted."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124</w:t>
      </w:r>
      <w:r>
        <w:rPr>
          <w:rFonts w:ascii="arial" w:eastAsia="arial" w:hAnsi="arial" w:cs="arial"/>
          <w:color w:val="000000"/>
          <w:sz w:val="20"/>
          <w:lang w:val="en-US" w:eastAsia="en-US" w:bidi="ar-SA"/>
        </w:rPr>
        <w:t>  Mr. Gill was in contact by telephone with Mr. Heryet on several occasions subsequent to the suspension. I accept Mr. Gill's evidence that he was concerned that if the NOS was not immediately revoked the continuation of IEA's business was in serious jeopardy. I also accept he concluded there was little hope of a resumption of IEA's business within the next several months after he received the following letter from Mr. Nowzek dated January 26, 2006:</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Second, and further to our recent telephone conversation, I wish to reiterate the actions Transport Canada will be undertaking in the coming weeks with respect to the company's operations.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At noted to you, a Combined Audit was previously scheduled to commence January 30, 2006. This Audit will continue as planned albeit operations, maintenance and other specialties will all commence on January 30, 2006.</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on-site Audit will commence on January 30, 2006 as previously planned and is expected to take three weeks to complete. Within the following ten days after the on-site Audit is completed, a report will be issued to you, documenting the Findings of the Audit Team. The company is required to submit a Corrective Action Plan to Transport Canada for review and approval. Following that, all action items must be implemented and verified by follow up inspection before Transport Canada will consider re-issuing the AOC.</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 must also advise you, that following an inspection of your facilities on January 12, 2006, a number of Detection Notices have been filed alleging non-compliant acts and/or conditions with respect to the company's operations. These are being investigated by our Aviation Enforcement division.</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Similarly, an Aviation Occupational Safety and Health investigation will commence this week into the circumstances surrounding your recent accident and subsequent injuries and loss of life.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 wish to impress upon you, that re-issuance of the Company's Air Operator Certificate will be considered only if, in Transport Canada's determination, the company operations are in full compliance with all regulations and standards. In the interim, the Air Operator Certificate will remain in suspension.</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In closing, while Transport Canada will provide the necessary resources to complete this Audit, given the size, complexity of your operations and the on-going concerns that we have, it will take some time. If you have further questions on the above actions, I invite you [to] contact 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125</w:t>
      </w:r>
      <w:r>
        <w:rPr>
          <w:rFonts w:ascii="arial" w:eastAsia="arial" w:hAnsi="arial" w:cs="arial"/>
          <w:color w:val="000000"/>
          <w:sz w:val="20"/>
          <w:lang w:val="en-US" w:eastAsia="en-US" w:bidi="ar-SA"/>
        </w:rPr>
        <w:t>  Following receipt of the NOS IEA's business quickly closed. The company was significantly indebted with its banker, who, on January 26, 2006, made a formal demand for payment of IEA's indebtedness and by the end of that week had stopped honouring IEA's cheques, including payroll cheques. On January 29, Mr. Chapman advised TCCA it would be unable to participate in the audit planned for January 30th as it had no employees on its payroll. TCCA inspectors showed up that day and found IEA operations and maintenance facilities closed. A Receiver was appointed March 14, 2006.</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126</w:t>
      </w:r>
      <w:r>
        <w:rPr>
          <w:rFonts w:ascii="arial" w:eastAsia="arial" w:hAnsi="arial" w:cs="arial"/>
          <w:color w:val="000000"/>
          <w:sz w:val="20"/>
          <w:lang w:val="en-US" w:eastAsia="en-US" w:bidi="ar-SA"/>
        </w:rPr>
        <w:t xml:space="preserve">  TCCA's Enforcement Division proceeded to investigate the maintenance overruns discovered on January 11 and 12, 2006 and on March 17, 2006, laid five charges under the </w:t>
      </w:r>
      <w:r>
        <w:rPr>
          <w:rFonts w:ascii="arial" w:eastAsia="arial" w:hAnsi="arial" w:cs="arial"/>
          <w:i/>
          <w:color w:val="000000"/>
          <w:sz w:val="20"/>
          <w:lang w:val="en-US" w:eastAsia="en-US" w:bidi="ar-SA"/>
        </w:rPr>
        <w:t>Act</w:t>
      </w:r>
      <w:r>
        <w:rPr>
          <w:rFonts w:ascii="arial" w:eastAsia="arial" w:hAnsi="arial" w:cs="arial"/>
          <w:color w:val="000000"/>
          <w:sz w:val="20"/>
          <w:lang w:val="en-US" w:eastAsia="en-US" w:bidi="ar-SA"/>
        </w:rPr>
        <w:t xml:space="preserve"> for violations of the </w:t>
      </w:r>
      <w:r>
        <w:rPr>
          <w:rFonts w:ascii="arial" w:eastAsia="arial" w:hAnsi="arial" w:cs="arial"/>
          <w:i/>
          <w:color w:val="000000"/>
          <w:sz w:val="20"/>
          <w:lang w:val="en-US" w:eastAsia="en-US" w:bidi="ar-SA"/>
        </w:rPr>
        <w:t>CARs</w:t>
      </w:r>
      <w:r>
        <w:rPr>
          <w:rFonts w:ascii="arial" w:eastAsia="arial" w:hAnsi="arial" w:cs="arial"/>
          <w:color w:val="000000"/>
          <w:sz w:val="20"/>
          <w:lang w:val="en-US" w:eastAsia="en-US" w:bidi="ar-SA"/>
        </w:rPr>
        <w:t xml:space="preserve"> and fined IEA the maximum of $25,000 on each charge, for a total of $125,000. Mr. Claudio Rosa, the inspector with the Enforcement Division who investigated the charges and recommended the maximum fines, noted the following among a number of "Aggravating factors" in his report: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xml:space="preserve"> </w:t>
      </w:r>
      <w:r>
        <w:rPr>
          <w:rFonts w:ascii="arial" w:eastAsia="arial" w:hAnsi="arial" w:cs="arial"/>
          <w:b/>
          <w:color w:val="000000"/>
          <w:sz w:val="20"/>
          <w:u w:val="single"/>
          <w:lang w:val="en-US" w:eastAsia="en-US" w:bidi="ar-SA"/>
        </w:rPr>
        <w:t>Aggravating factors: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following aggravating factors have been considered for the sanction determination:</w:t>
      </w:r>
    </w:p>
    <w:p>
      <w:pPr>
        <w:numPr>
          <w:numId w:val="1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company has a consistent record of a number of investigations for various maintenance and operational violations. All charges in this investigation are being considered as third level sanction.</w:t>
      </w:r>
    </w:p>
    <w:p>
      <w:pPr>
        <w:numPr>
          <w:numId w:val="1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significance of the regularity and volume of maintenance overruns is a considerable risk to aviation safety, and the main reason why these penalties are being assessed at the third level of sanction.</w:t>
      </w:r>
    </w:p>
    <w:p>
      <w:pPr>
        <w:numPr>
          <w:numId w:val="1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In interviews with company personnel, there appears to be a corporate culture instilled at all levels of maintaining the flight schedule as the prime directive, even if it requires postponing scheduled maintenance. This was stated to me by both the past and present P.R.M.'s for the company by written statements.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127</w:t>
      </w:r>
      <w:r>
        <w:rPr>
          <w:rFonts w:ascii="arial" w:eastAsia="arial" w:hAnsi="arial" w:cs="arial"/>
          <w:color w:val="000000"/>
          <w:sz w:val="20"/>
          <w:lang w:val="en-US" w:eastAsia="en-US" w:bidi="ar-SA"/>
        </w:rPr>
        <w:t xml:space="preserve">  In cross-examination Mr. Rosa agreed he had not noted any mitigating factors in his report, including the fact that the overruns had been addressed by both short and long term CAPs which had been approved and accepted by TCCA, that five of the maintenance overruns involved a small number of hours, or more generally that IEA had proactively and voluntarily adopted a SMS and had entered into many CAPs with TCCA when it was in breach of the </w:t>
      </w:r>
      <w:r>
        <w:rPr>
          <w:rFonts w:ascii="arial" w:eastAsia="arial" w:hAnsi="arial" w:cs="arial"/>
          <w:i/>
          <w:color w:val="000000"/>
          <w:sz w:val="20"/>
          <w:lang w:val="en-US" w:eastAsia="en-US" w:bidi="ar-SA"/>
        </w:rPr>
        <w:t>CARs.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128</w:t>
      </w:r>
      <w:r>
        <w:rPr>
          <w:rFonts w:ascii="arial" w:eastAsia="arial" w:hAnsi="arial" w:cs="arial"/>
          <w:color w:val="000000"/>
          <w:sz w:val="20"/>
          <w:lang w:val="en-US" w:eastAsia="en-US" w:bidi="ar-SA"/>
        </w:rPr>
        <w:t xml:space="preserve">  On March 22, 2006, immediately before the commencement of the TAT hearings discussed in the following section, the Minister issued a notice of cancellation of IEA's Certificate pursuant to s. 7.1(1)(c) of the </w:t>
      </w:r>
      <w:r>
        <w:rPr>
          <w:rFonts w:ascii="arial" w:eastAsia="arial" w:hAnsi="arial" w:cs="arial"/>
          <w:i/>
          <w:color w:val="000000"/>
          <w:sz w:val="20"/>
          <w:lang w:val="en-US" w:eastAsia="en-US" w:bidi="ar-SA"/>
        </w:rPr>
        <w:t>Act</w:t>
      </w:r>
      <w:r>
        <w:rPr>
          <w:rFonts w:ascii="arial" w:eastAsia="arial" w:hAnsi="arial" w:cs="arial"/>
          <w:color w:val="000000"/>
          <w:sz w:val="20"/>
          <w:lang w:val="en-US" w:eastAsia="en-US" w:bidi="ar-SA"/>
        </w:rPr>
        <w:t xml:space="preserve"> based on "the public interest and, in particular, the aviation record" of the company. The grounds detailed in the cancellation repeated the grounds set out in the NOS and added further grounds that the company had closed its operations and the charges as well as the assessment of penalties arising from the inspections that had taken place on January 11 and 12, 2006.</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The Application for Review of the NOS to the Transportation Appeal Tribunal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129</w:t>
      </w:r>
      <w:r>
        <w:rPr>
          <w:rFonts w:ascii="arial" w:eastAsia="arial" w:hAnsi="arial" w:cs="arial"/>
          <w:color w:val="000000"/>
          <w:sz w:val="20"/>
          <w:lang w:val="en-US" w:eastAsia="en-US" w:bidi="ar-SA"/>
        </w:rPr>
        <w:t xml:space="preserve">  IEA applied pursuant to s. 7.1(3) of the </w:t>
      </w:r>
      <w:r>
        <w:rPr>
          <w:rFonts w:ascii="arial" w:eastAsia="arial" w:hAnsi="arial" w:cs="arial"/>
          <w:i/>
          <w:color w:val="000000"/>
          <w:sz w:val="20"/>
          <w:lang w:val="en-US" w:eastAsia="en-US" w:bidi="ar-SA"/>
        </w:rPr>
        <w:t>Act</w:t>
      </w:r>
      <w:r>
        <w:rPr>
          <w:rFonts w:ascii="arial" w:eastAsia="arial" w:hAnsi="arial" w:cs="arial"/>
          <w:color w:val="000000"/>
          <w:sz w:val="20"/>
          <w:lang w:val="en-US" w:eastAsia="en-US" w:bidi="ar-SA"/>
        </w:rPr>
        <w:t xml:space="preserve"> for a review of the NOS to the TAT on February 22, 2006. That section provides that the holder of an aviation document affected by a decision of the Minister may apply to the TAT for a review of that decision.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130</w:t>
      </w:r>
      <w:r>
        <w:rPr>
          <w:rFonts w:ascii="arial" w:eastAsia="arial" w:hAnsi="arial" w:cs="arial"/>
          <w:color w:val="000000"/>
          <w:sz w:val="20"/>
          <w:lang w:val="en-US" w:eastAsia="en-US" w:bidi="ar-SA"/>
        </w:rPr>
        <w:t xml:space="preserve">  The TAT was established pursuant to the </w:t>
      </w:r>
      <w:r>
        <w:rPr>
          <w:rFonts w:ascii="arial" w:eastAsia="arial" w:hAnsi="arial" w:cs="arial"/>
          <w:i/>
          <w:color w:val="000000"/>
          <w:sz w:val="20"/>
          <w:lang w:val="en-US" w:eastAsia="en-US" w:bidi="ar-SA"/>
        </w:rPr>
        <w:t>Transportation Appeal Tribunal Act of Canada</w:t>
      </w:r>
      <w:r>
        <w:rPr>
          <w:rFonts w:ascii="arial" w:eastAsia="arial" w:hAnsi="arial" w:cs="arial"/>
          <w:color w:val="000000"/>
          <w:sz w:val="20"/>
          <w:lang w:val="en-US" w:eastAsia="en-US" w:bidi="ar-SA"/>
        </w:rPr>
        <w:t xml:space="preserve">, </w:t>
      </w:r>
      <w:hyperlink r:id="rId19" w:history="1">
        <w:r>
          <w:rPr>
            <w:rFonts w:ascii="arial" w:eastAsia="arial" w:hAnsi="arial" w:cs="arial"/>
            <w:i/>
            <w:color w:val="0077CC"/>
            <w:sz w:val="20"/>
            <w:u w:val="single"/>
            <w:shd w:val="clear" w:color="auto" w:fill="FFFFFF"/>
            <w:lang w:val="en-US" w:eastAsia="en-US" w:bidi="ar-SA"/>
          </w:rPr>
          <w:t>S.C. 2001, c. 29</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TATA</w:t>
      </w:r>
      <w:r>
        <w:rPr>
          <w:rFonts w:ascii="arial" w:eastAsia="arial" w:hAnsi="arial" w:cs="arial"/>
          <w:color w:val="000000"/>
          <w:sz w:val="20"/>
          <w:lang w:val="en-US" w:eastAsia="en-US" w:bidi="ar-SA"/>
        </w:rPr>
        <w:t xml:space="preserve">") and is intended to provide for an independent review process for anyone given notice of administrative or enforcement action taken by the Minister or certain other specified persons under various federal transportation statutes, including the </w:t>
      </w:r>
      <w:r>
        <w:rPr>
          <w:rFonts w:ascii="arial" w:eastAsia="arial" w:hAnsi="arial" w:cs="arial"/>
          <w:i/>
          <w:color w:val="000000"/>
          <w:sz w:val="20"/>
          <w:lang w:val="en-US" w:eastAsia="en-US" w:bidi="ar-SA"/>
        </w:rPr>
        <w:t>Act</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131</w:t>
      </w:r>
      <w:r>
        <w:rPr>
          <w:rFonts w:ascii="arial" w:eastAsia="arial" w:hAnsi="arial" w:cs="arial"/>
          <w:color w:val="000000"/>
          <w:sz w:val="20"/>
          <w:lang w:val="en-US" w:eastAsia="en-US" w:bidi="ar-SA"/>
        </w:rPr>
        <w:t xml:space="preserve">  The members of the Tribunal have "expertise in the transportation sectors in respect of which the federal government has jurisdiction": </w:t>
      </w:r>
      <w:r>
        <w:rPr>
          <w:rFonts w:ascii="arial" w:eastAsia="arial" w:hAnsi="arial" w:cs="arial"/>
          <w:i/>
          <w:color w:val="000000"/>
          <w:sz w:val="20"/>
          <w:lang w:val="en-US" w:eastAsia="en-US" w:bidi="ar-SA"/>
        </w:rPr>
        <w:t>TATA</w:t>
      </w:r>
      <w:r>
        <w:rPr>
          <w:rFonts w:ascii="arial" w:eastAsia="arial" w:hAnsi="arial" w:cs="arial"/>
          <w:color w:val="000000"/>
          <w:sz w:val="20"/>
          <w:lang w:val="en-US" w:eastAsia="en-US" w:bidi="ar-SA"/>
        </w:rPr>
        <w:t xml:space="preserve">, s. 3. The Tribunal is a tribunal of record: </w:t>
      </w:r>
      <w:r>
        <w:rPr>
          <w:rFonts w:ascii="arial" w:eastAsia="arial" w:hAnsi="arial" w:cs="arial"/>
          <w:i/>
          <w:color w:val="000000"/>
          <w:sz w:val="20"/>
          <w:lang w:val="en-US" w:eastAsia="en-US" w:bidi="ar-SA"/>
        </w:rPr>
        <w:t>TATA</w:t>
      </w:r>
      <w:r>
        <w:rPr>
          <w:rFonts w:ascii="arial" w:eastAsia="arial" w:hAnsi="arial" w:cs="arial"/>
          <w:color w:val="000000"/>
          <w:sz w:val="20"/>
          <w:lang w:val="en-US" w:eastAsia="en-US" w:bidi="ar-SA"/>
        </w:rPr>
        <w:t>, s. 20.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132</w:t>
      </w:r>
      <w:r>
        <w:rPr>
          <w:rFonts w:ascii="arial" w:eastAsia="arial" w:hAnsi="arial" w:cs="arial"/>
          <w:color w:val="000000"/>
          <w:sz w:val="20"/>
          <w:lang w:val="en-US" w:eastAsia="en-US" w:bidi="ar-SA"/>
        </w:rPr>
        <w:t xml:space="preserve">  Under s. 7.1(7) of the </w:t>
      </w:r>
      <w:r>
        <w:rPr>
          <w:rFonts w:ascii="arial" w:eastAsia="arial" w:hAnsi="arial" w:cs="arial"/>
          <w:i/>
          <w:color w:val="000000"/>
          <w:sz w:val="20"/>
          <w:lang w:val="en-US" w:eastAsia="en-US" w:bidi="ar-SA"/>
        </w:rPr>
        <w:t>Act</w:t>
      </w:r>
      <w:r>
        <w:rPr>
          <w:rFonts w:ascii="arial" w:eastAsia="arial" w:hAnsi="arial" w:cs="arial"/>
          <w:color w:val="000000"/>
          <w:sz w:val="20"/>
          <w:lang w:val="en-US" w:eastAsia="en-US" w:bidi="ar-SA"/>
        </w:rPr>
        <w:t xml:space="preserve"> the Tribunal's powers are limited to either confirming the Minister's decision or referring the matter back to the Minister for reconsideration.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133</w:t>
      </w:r>
      <w:r>
        <w:rPr>
          <w:rFonts w:ascii="arial" w:eastAsia="arial" w:hAnsi="arial" w:cs="arial"/>
          <w:color w:val="000000"/>
          <w:sz w:val="20"/>
          <w:lang w:val="en-US" w:eastAsia="en-US" w:bidi="ar-SA"/>
        </w:rPr>
        <w:t>  A hearing before a single member of the Tribunal was held in Vancouver March 28 and 29 and April 18 and 19, 2006. Many of the witnesses who testified at that hearing were also witnesses at this trial.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134</w:t>
      </w:r>
      <w:r>
        <w:rPr>
          <w:rFonts w:ascii="arial" w:eastAsia="arial" w:hAnsi="arial" w:cs="arial"/>
          <w:color w:val="000000"/>
          <w:sz w:val="20"/>
          <w:lang w:val="en-US" w:eastAsia="en-US" w:bidi="ar-SA"/>
        </w:rPr>
        <w:t xml:space="preserve">  The Tribunal's decision was issued July 11, 2006. The Tribunal found TCCA erred in issuing the NOS under s. 7.1(1)(b) of the </w:t>
      </w:r>
      <w:r>
        <w:rPr>
          <w:rFonts w:ascii="arial" w:eastAsia="arial" w:hAnsi="arial" w:cs="arial"/>
          <w:i/>
          <w:color w:val="000000"/>
          <w:sz w:val="20"/>
          <w:lang w:val="en-US" w:eastAsia="en-US" w:bidi="ar-SA"/>
        </w:rPr>
        <w:t>Act</w:t>
      </w:r>
      <w:r>
        <w:rPr>
          <w:rFonts w:ascii="arial" w:eastAsia="arial" w:hAnsi="arial" w:cs="arial"/>
          <w:color w:val="000000"/>
          <w:sz w:val="20"/>
          <w:lang w:val="en-US" w:eastAsia="en-US" w:bidi="ar-SA"/>
        </w:rPr>
        <w:t xml:space="preserve"> on several grounds and referred the suspension back to the Minister for reconsideration. In doing so the Tribunal made a number of significant findings concerning the grounds upon which Transport Canada relied to establish "loss of operational control". The plaintiff relies on those findings in support of its claim in this case. I will attempt to summarize those findings:</w:t>
      </w:r>
      <w:r>
        <w:rPr>
          <w:rFonts w:ascii="arial" w:eastAsia="arial" w:hAnsi="arial" w:cs="arial"/>
          <w:sz w:val="20"/>
          <w:lang w:val="en-US" w:eastAsia="en-US" w:bidi="ar-SA"/>
        </w:rPr>
        <w:cr/>
      </w:r>
    </w:p>
    <w:p>
      <w:pPr>
        <w:numPr>
          <w:numId w:val="1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Ducks Unlimited Canada incident, which occurred in 2004 and resulted in 40 charges and an initial fine in excess of $79,000 and which led to the imposition of an Enhanced Monitoring Program, was not a relevant consideration to the revocation action taken against Mr. Chapman, as he was not the Operations Manager at the time of the offences.</w:t>
      </w:r>
    </w:p>
    <w:p>
      <w:pPr>
        <w:numPr>
          <w:numId w:val="2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TCCA should not have considered the ramp check incident in which an inspector noticed unsecured items on an aircraft while Mr. Chapman was conducting flight training with a junior pilot. The Tribunal noted Mr. Chapman had apologized for and was embarrassed by the incident and had offered to resign as Operations Manager. IEA prepared a CAP which had been accepted by TCCA who took no further action against either IEA or Mr. Chapman.</w:t>
      </w:r>
    </w:p>
    <w:p>
      <w:pPr>
        <w:numPr>
          <w:numId w:val="2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IEA responded appropriately by proposing CAPs for the six aircraft maintenance overruns, which Transport Canada had formally accepted. Mr. Wallace had testified the overdue inspections "were not an immediate threat to aviation safety".</w:t>
      </w:r>
    </w:p>
    <w:p>
      <w:pPr>
        <w:numPr>
          <w:numId w:val="2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Minister had not met the service requirements set out in s. 7.1(1) of the </w:t>
      </w:r>
      <w:r>
        <w:rPr>
          <w:rFonts w:ascii="arial" w:eastAsia="arial" w:hAnsi="arial" w:cs="arial"/>
          <w:i/>
          <w:color w:val="000000"/>
          <w:sz w:val="20"/>
          <w:lang w:val="en-US" w:eastAsia="en-US" w:bidi="ar-SA"/>
        </w:rPr>
        <w:t>Act</w:t>
      </w:r>
      <w:r>
        <w:rPr>
          <w:rFonts w:ascii="arial" w:eastAsia="arial" w:hAnsi="arial" w:cs="arial"/>
          <w:color w:val="000000"/>
          <w:sz w:val="20"/>
          <w:lang w:val="en-US" w:eastAsia="en-US" w:bidi="ar-SA"/>
        </w:rPr>
        <w:t xml:space="preserve"> as the NOS had not been personally served. While commenting that the Minister was "exercising significant powers and it is incumbent upon the Minister to follow the rules ...", the Tribunal concluded "the Minister's failure to meet the service requirements ... should not render the revocation or suspension invalid."</w:t>
      </w:r>
    </w:p>
    <w:p>
      <w:pPr>
        <w:numPr>
          <w:numId w:val="2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revocation letter issued to Mr. Chapman was confusing. The Minister had the opportunity to set out in greater detail in the revocation letter all the grounds it relied on but "[f]or unknown reasons ... elected not to provide these details ...".</w:t>
      </w:r>
    </w:p>
    <w:p>
      <w:pPr>
        <w:numPr>
          <w:numId w:val="2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Mr. Chapman's responsibility as Operations Manager for "operational standards" did not include responsibility for ensuring maintenance inspection intervals were not breached or the responsibility for the technical dispatch of aircraft: such responsibility fell within the purview of the PRM. Accordingly the Minister had not established that Mr. Chapman had failed to meet his responsibilities.</w:t>
      </w:r>
    </w:p>
    <w:p>
      <w:pPr>
        <w:numPr>
          <w:numId w:val="2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In the absence of any evidence of an immediate threat to aviation safety the failure to provide IEA with some prior notice of the suspension and an opportunity to respond did not comply with the principles of procedural fairness or natural justice.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Transport Canada - Reconsideration Panel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135</w:t>
      </w:r>
      <w:r>
        <w:rPr>
          <w:rFonts w:ascii="arial" w:eastAsia="arial" w:hAnsi="arial" w:cs="arial"/>
          <w:color w:val="000000"/>
          <w:sz w:val="20"/>
          <w:lang w:val="en-US" w:eastAsia="en-US" w:bidi="ar-SA"/>
        </w:rPr>
        <w:t>  As noted the TAT referred the matter back to TCCA for reconsideration.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136</w:t>
      </w:r>
      <w:r>
        <w:rPr>
          <w:rFonts w:ascii="arial" w:eastAsia="arial" w:hAnsi="arial" w:cs="arial"/>
          <w:color w:val="000000"/>
          <w:sz w:val="20"/>
          <w:lang w:val="en-US" w:eastAsia="en-US" w:bidi="ar-SA"/>
        </w:rPr>
        <w:t>  On February 11, 2008 TCCA issued the decision of the reconsideration panel. The panel consisted of a panel chair and three members. Each panel member was a senior official with TCCA, including two Regional Directors of Civil Aviation, as well as the Chief, Standards and Procedures and the Chief, Operational and Certification Standards.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137</w:t>
      </w:r>
      <w:r>
        <w:rPr>
          <w:rFonts w:ascii="arial" w:eastAsia="arial" w:hAnsi="arial" w:cs="arial"/>
          <w:color w:val="000000"/>
          <w:sz w:val="20"/>
          <w:lang w:val="en-US" w:eastAsia="en-US" w:bidi="ar-SA"/>
        </w:rPr>
        <w:t>  The reconsideration panel upheld the decision of the TAT. In summary, the panel concluded:</w:t>
      </w:r>
      <w:r>
        <w:rPr>
          <w:rFonts w:ascii="arial" w:eastAsia="arial" w:hAnsi="arial" w:cs="arial"/>
          <w:sz w:val="20"/>
          <w:lang w:val="en-US" w:eastAsia="en-US" w:bidi="ar-SA"/>
        </w:rPr>
        <w:cr/>
      </w:r>
    </w:p>
    <w:p>
      <w:pPr>
        <w:numPr>
          <w:numId w:val="2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decision to terminate Mr. Chapman's authority as Operations Manager was based on information "found long before the accident occurred" and those situations were "already being dealt with between Sonicblue and the [principal] inspectors in Transport Canada."</w:t>
      </w:r>
    </w:p>
    <w:p>
      <w:pPr>
        <w:numPr>
          <w:numId w:val="2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"Transport Canada seems to have had a misunderstanding regarding the PRM duties and responsibilities, how one becomes a PRM and who reports to whom .... Generally, the panel agreed that the manual that dictates maintenance control is not the [Company Operations Manual]. ... In other words, the [Maintenance Control Manual] would be the master manual with respect to maintenance requirements and control."</w:t>
      </w:r>
    </w:p>
    <w:p>
      <w:pPr>
        <w:numPr>
          <w:numId w:val="2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Other incidents brought forward with respect to Mr. Chapman's competence to manage this company occurred before his appointment as Operations Manager (eg. Ducks Unlimited Canada incident) or had been dealt with by Transport Canada accepting a CAP offered by IEA (eg. incident relating to securing loose cargo).</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138</w:t>
      </w:r>
      <w:r>
        <w:rPr>
          <w:rFonts w:ascii="arial" w:eastAsia="arial" w:hAnsi="arial" w:cs="arial"/>
          <w:color w:val="000000"/>
          <w:sz w:val="20"/>
          <w:lang w:val="en-US" w:eastAsia="en-US" w:bidi="ar-SA"/>
        </w:rPr>
        <w:t>  The panel concluded: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Therefore this Panel recommends that the Minister uphold the decision of the Tribunal because it is the Panel's opinion that the Minister did not establish that Mr. Chapman failed to meet his responsibilities for the "operational standards" of the aircraft on the basis of the maintenance findings of January 11, 2006 and because it cannot be established that Mr. Chapman was responsible for those findings. </w:t>
      </w:r>
      <w:r>
        <w:rPr>
          <w:rFonts w:ascii="arial" w:eastAsia="arial" w:hAnsi="arial" w:cs="arial"/>
          <w:color w:val="000000"/>
          <w:sz w:val="20"/>
          <w:u w:val="single"/>
          <w:lang w:val="en-US" w:eastAsia="en-US" w:bidi="ar-SA"/>
        </w:rPr>
        <w:t>Consequently, we recommend that the Minister's reason for suspending Sonicblue's AOC on the grounds that they did not "employ an Operations Manager who meets the qualifications required by the Canadian Aviation Standard, subparagraph 723.07(2)(a)(i)" not be supported.</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[Emphasis added.]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139</w:t>
      </w:r>
      <w:r>
        <w:rPr>
          <w:rFonts w:ascii="arial" w:eastAsia="arial" w:hAnsi="arial" w:cs="arial"/>
          <w:color w:val="000000"/>
          <w:sz w:val="20"/>
          <w:lang w:val="en-US" w:eastAsia="en-US" w:bidi="ar-SA"/>
        </w:rPr>
        <w:t>  The reconsideration panel limited its decision to a recommendation the Minister's decision to suspend IEA's Certificate not be supported and that the Minister "uphold the decision" of the TAT.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 xml:space="preserve">The Plaintiff's Claim of </w:t>
      </w:r>
      <w:r>
        <w:rPr>
          <w:rFonts w:ascii="arial" w:eastAsia="arial" w:hAnsi="arial" w:cs="arial"/>
          <w:b/>
          <w:i/>
          <w:color w:val="000000"/>
          <w:sz w:val="20"/>
          <w:u w:val="single"/>
          <w:lang w:val="en-US" w:eastAsia="en-US" w:bidi="ar-SA"/>
        </w:rPr>
        <w:t>Negligence</w:t>
      </w:r>
      <w:r>
        <w:rPr>
          <w:rFonts w:ascii="arial" w:eastAsia="arial" w:hAnsi="arial" w:cs="arial"/>
          <w:b/>
          <w:color w:val="000000"/>
          <w:sz w:val="20"/>
          <w:u w:val="single"/>
          <w:lang w:val="en-US" w:eastAsia="en-US" w:bidi="ar-SA"/>
        </w:rPr>
        <w:t xml:space="preserve"> against Defendants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140</w:t>
      </w:r>
      <w:r>
        <w:rPr>
          <w:rFonts w:ascii="arial" w:eastAsia="arial" w:hAnsi="arial" w:cs="arial"/>
          <w:color w:val="000000"/>
          <w:sz w:val="20"/>
          <w:lang w:val="en-US" w:eastAsia="en-US" w:bidi="ar-SA"/>
        </w:rPr>
        <w:t xml:space="preserve">  The plaintiff says that given that authority granted to TCCA under the </w:t>
      </w:r>
      <w:r>
        <w:rPr>
          <w:rFonts w:ascii="arial" w:eastAsia="arial" w:hAnsi="arial" w:cs="arial"/>
          <w:i/>
          <w:color w:val="000000"/>
          <w:sz w:val="20"/>
          <w:lang w:val="en-US" w:eastAsia="en-US" w:bidi="ar-SA"/>
        </w:rPr>
        <w:t>Act</w:t>
      </w:r>
      <w:r>
        <w:rPr>
          <w:rFonts w:ascii="arial" w:eastAsia="arial" w:hAnsi="arial" w:cs="arial"/>
          <w:color w:val="000000"/>
          <w:sz w:val="20"/>
          <w:lang w:val="en-US" w:eastAsia="en-US" w:bidi="ar-SA"/>
        </w:rPr>
        <w:t xml:space="preserve"> and </w:t>
      </w:r>
      <w:r>
        <w:rPr>
          <w:rFonts w:ascii="arial" w:eastAsia="arial" w:hAnsi="arial" w:cs="arial"/>
          <w:i/>
          <w:color w:val="000000"/>
          <w:sz w:val="20"/>
          <w:lang w:val="en-US" w:eastAsia="en-US" w:bidi="ar-SA"/>
        </w:rPr>
        <w:t>CARs</w:t>
      </w:r>
      <w:r>
        <w:rPr>
          <w:rFonts w:ascii="arial" w:eastAsia="arial" w:hAnsi="arial" w:cs="arial"/>
          <w:color w:val="000000"/>
          <w:sz w:val="20"/>
          <w:lang w:val="en-US" w:eastAsia="en-US" w:bidi="ar-SA"/>
        </w:rPr>
        <w:t xml:space="preserve"> and the potential harm the exercise of that authority can cause, and because of its close working relationship with IEA (through TCCA's various programs such as Flight 2005 and SMS), TCCA stood in a position of proximity to IEA and owed a duty of care to exercise its authority to suspend IEA's Certificate in a reasonably competent manner with due care and attention to all relevant circumstances and with due care and attention to the provisions of the </w:t>
      </w:r>
      <w:r>
        <w:rPr>
          <w:rFonts w:ascii="arial" w:eastAsia="arial" w:hAnsi="arial" w:cs="arial"/>
          <w:i/>
          <w:color w:val="000000"/>
          <w:sz w:val="20"/>
          <w:lang w:val="en-US" w:eastAsia="en-US" w:bidi="ar-SA"/>
        </w:rPr>
        <w:t>Act</w:t>
      </w:r>
      <w:r>
        <w:rPr>
          <w:rFonts w:ascii="arial" w:eastAsia="arial" w:hAnsi="arial" w:cs="arial"/>
          <w:color w:val="000000"/>
          <w:sz w:val="20"/>
          <w:lang w:val="en-US" w:eastAsia="en-US" w:bidi="ar-SA"/>
        </w:rPr>
        <w:t xml:space="preserve"> and the </w:t>
      </w:r>
      <w:r>
        <w:rPr>
          <w:rFonts w:ascii="arial" w:eastAsia="arial" w:hAnsi="arial" w:cs="arial"/>
          <w:i/>
          <w:color w:val="000000"/>
          <w:sz w:val="20"/>
          <w:lang w:val="en-US" w:eastAsia="en-US" w:bidi="ar-SA"/>
        </w:rPr>
        <w:t>CARs</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141</w:t>
      </w:r>
      <w:r>
        <w:rPr>
          <w:rFonts w:ascii="arial" w:eastAsia="arial" w:hAnsi="arial" w:cs="arial"/>
          <w:color w:val="000000"/>
          <w:sz w:val="20"/>
          <w:lang w:val="en-US" w:eastAsia="en-US" w:bidi="ar-SA"/>
        </w:rPr>
        <w:t xml:space="preserve">  The plaintiff argues that given the substantial powers the defendants have under the </w:t>
      </w:r>
      <w:r>
        <w:rPr>
          <w:rFonts w:ascii="arial" w:eastAsia="arial" w:hAnsi="arial" w:cs="arial"/>
          <w:i/>
          <w:color w:val="000000"/>
          <w:sz w:val="20"/>
          <w:lang w:val="en-US" w:eastAsia="en-US" w:bidi="ar-SA"/>
        </w:rPr>
        <w:t>Act</w:t>
      </w:r>
      <w:r>
        <w:rPr>
          <w:rFonts w:ascii="arial" w:eastAsia="arial" w:hAnsi="arial" w:cs="arial"/>
          <w:color w:val="000000"/>
          <w:sz w:val="20"/>
          <w:lang w:val="en-US" w:eastAsia="en-US" w:bidi="ar-SA"/>
        </w:rPr>
        <w:t xml:space="preserve"> to regulate and the potential harm they can inflict they have a duty of care to act in a reasonably competent manner with due care and attention to all relevant circumstances and to the provisions of the </w:t>
      </w:r>
      <w:r>
        <w:rPr>
          <w:rFonts w:ascii="arial" w:eastAsia="arial" w:hAnsi="arial" w:cs="arial"/>
          <w:i/>
          <w:color w:val="000000"/>
          <w:sz w:val="20"/>
          <w:lang w:val="en-US" w:eastAsia="en-US" w:bidi="ar-SA"/>
        </w:rPr>
        <w:t>Act</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142</w:t>
      </w:r>
      <w:r>
        <w:rPr>
          <w:rFonts w:ascii="arial" w:eastAsia="arial" w:hAnsi="arial" w:cs="arial"/>
          <w:color w:val="000000"/>
          <w:sz w:val="20"/>
          <w:lang w:val="en-US" w:eastAsia="en-US" w:bidi="ar-SA"/>
        </w:rPr>
        <w:t xml:space="preserve">  The plaintiff says the </w:t>
      </w:r>
      <w:r>
        <w:rPr>
          <w:rFonts w:ascii="arial" w:eastAsia="arial" w:hAnsi="arial" w:cs="arial"/>
          <w:i/>
          <w:color w:val="000000"/>
          <w:sz w:val="20"/>
          <w:lang w:val="en-US" w:eastAsia="en-US" w:bidi="ar-SA"/>
        </w:rPr>
        <w:t>Act</w:t>
      </w:r>
      <w:r>
        <w:rPr>
          <w:rFonts w:ascii="arial" w:eastAsia="arial" w:hAnsi="arial" w:cs="arial"/>
          <w:color w:val="000000"/>
          <w:sz w:val="20"/>
          <w:lang w:val="en-US" w:eastAsia="en-US" w:bidi="ar-SA"/>
        </w:rPr>
        <w:t xml:space="preserve"> prescribes the circumstances under which a Certificate can be suspended and, in essence, the defendants intentionally manipulated or circumvented the specific provisions of s. 7.1(1) by artificially creating grounds which would allow them to issue the NOS to IEA. The plaintiff says the defendants ignored their own policy and procedures, failed to properly investigate (particularly the maintenance overruns) and improperly assigned responsibility to the Operations Manager when they knew he was not responsible for them. In essence the plaintiff says the NOS was issued because of the accident of January 21, 2006 when the defendants had no knowledge of the cause of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143</w:t>
      </w:r>
      <w:r>
        <w:rPr>
          <w:rFonts w:ascii="arial" w:eastAsia="arial" w:hAnsi="arial" w:cs="arial"/>
          <w:color w:val="000000"/>
          <w:sz w:val="20"/>
          <w:lang w:val="en-US" w:eastAsia="en-US" w:bidi="ar-SA"/>
        </w:rPr>
        <w:t xml:space="preserve">  The legal analysis which must be applied in determining whether a duty of care is owed was recently summarized in </w:t>
      </w:r>
      <w:r>
        <w:rPr>
          <w:rFonts w:ascii="arial" w:eastAsia="arial" w:hAnsi="arial" w:cs="arial"/>
          <w:i/>
          <w:color w:val="000000"/>
          <w:sz w:val="20"/>
          <w:lang w:val="en-US" w:eastAsia="en-US" w:bidi="ar-SA"/>
        </w:rPr>
        <w:t>The</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Los Angeles Salad Company Inc. v. Canadian Food Inspection Agency</w:t>
      </w:r>
      <w:r>
        <w:rPr>
          <w:rFonts w:ascii="arial" w:eastAsia="arial" w:hAnsi="arial" w:cs="arial"/>
          <w:color w:val="000000"/>
          <w:sz w:val="20"/>
          <w:lang w:val="en-US" w:eastAsia="en-US" w:bidi="ar-SA"/>
        </w:rPr>
        <w:t xml:space="preserve">, </w:t>
      </w:r>
      <w:hyperlink r:id="rId20" w:history="1">
        <w:r>
          <w:rPr>
            <w:rFonts w:ascii="arial" w:eastAsia="arial" w:hAnsi="arial" w:cs="arial"/>
            <w:i/>
            <w:color w:val="0077CC"/>
            <w:sz w:val="20"/>
            <w:u w:val="single"/>
            <w:shd w:val="clear" w:color="auto" w:fill="FFFFFF"/>
            <w:lang w:val="en-US" w:eastAsia="en-US" w:bidi="ar-SA"/>
          </w:rPr>
          <w:t>2013 BCCA 34</w:t>
        </w:r>
      </w:hyperlink>
      <w:r>
        <w:rPr>
          <w:rFonts w:ascii="arial" w:eastAsia="arial" w:hAnsi="arial" w:cs="arial"/>
          <w:color w:val="000000"/>
          <w:sz w:val="20"/>
          <w:lang w:val="en-US" w:eastAsia="en-US" w:bidi="ar-SA"/>
        </w:rPr>
        <w:t xml:space="preserve"> at para. 4 [</w:t>
      </w:r>
      <w:r>
        <w:rPr>
          <w:rFonts w:ascii="arial" w:eastAsia="arial" w:hAnsi="arial" w:cs="arial"/>
          <w:i/>
          <w:color w:val="000000"/>
          <w:sz w:val="20"/>
          <w:lang w:val="en-US" w:eastAsia="en-US" w:bidi="ar-SA"/>
        </w:rPr>
        <w:t>LA Salad, CA</w:t>
      </w:r>
      <w:r>
        <w:rPr>
          <w:rFonts w:ascii="arial" w:eastAsia="arial" w:hAnsi="arial" w:cs="arial"/>
          <w:color w:val="000000"/>
          <w:sz w:val="20"/>
          <w:lang w:val="en-US" w:eastAsia="en-US" w:bidi="ar-SA"/>
        </w:rPr>
        <w:t xml:space="preserve">]. If a plaintiff cannot establish that the duty alleged falls within or is analogous to a previously recognized duty of care, an analysis must be undertaken to consider whether there is, in the relationship between the parties, reasonable foreseeability of harm to the plaintiff from the defendant's carelessness and sufficient proximity between the parties to make it just and fair to impose a </w:t>
      </w:r>
      <w:r>
        <w:rPr>
          <w:rFonts w:ascii="arial" w:eastAsia="arial" w:hAnsi="arial" w:cs="arial"/>
          <w:i/>
          <w:color w:val="000000"/>
          <w:sz w:val="20"/>
          <w:lang w:val="en-US" w:eastAsia="en-US" w:bidi="ar-SA"/>
        </w:rPr>
        <w:t>prima facie</w:t>
      </w:r>
      <w:r>
        <w:rPr>
          <w:rFonts w:ascii="arial" w:eastAsia="arial" w:hAnsi="arial" w:cs="arial"/>
          <w:color w:val="000000"/>
          <w:sz w:val="20"/>
          <w:lang w:val="en-US" w:eastAsia="en-US" w:bidi="ar-SA"/>
        </w:rPr>
        <w:t xml:space="preserve"> duty of care. If a </w:t>
      </w:r>
      <w:r>
        <w:rPr>
          <w:rFonts w:ascii="arial" w:eastAsia="arial" w:hAnsi="arial" w:cs="arial"/>
          <w:i/>
          <w:color w:val="000000"/>
          <w:sz w:val="20"/>
          <w:lang w:val="en-US" w:eastAsia="en-US" w:bidi="ar-SA"/>
        </w:rPr>
        <w:t>prima facie</w:t>
      </w:r>
      <w:r>
        <w:rPr>
          <w:rFonts w:ascii="arial" w:eastAsia="arial" w:hAnsi="arial" w:cs="arial"/>
          <w:color w:val="000000"/>
          <w:sz w:val="20"/>
          <w:lang w:val="en-US" w:eastAsia="en-US" w:bidi="ar-SA"/>
        </w:rPr>
        <w:t xml:space="preserve"> duty of care arises then I must consider whether there are residual policy considerations outside of the relationship between the parties that ought to negate or limit the </w:t>
      </w:r>
      <w:r>
        <w:rPr>
          <w:rFonts w:ascii="arial" w:eastAsia="arial" w:hAnsi="arial" w:cs="arial"/>
          <w:i/>
          <w:color w:val="000000"/>
          <w:sz w:val="20"/>
          <w:lang w:val="en-US" w:eastAsia="en-US" w:bidi="ar-SA"/>
        </w:rPr>
        <w:t>prima facie</w:t>
      </w:r>
      <w:r>
        <w:rPr>
          <w:rFonts w:ascii="arial" w:eastAsia="arial" w:hAnsi="arial" w:cs="arial"/>
          <w:color w:val="000000"/>
          <w:sz w:val="20"/>
          <w:lang w:val="en-US" w:eastAsia="en-US" w:bidi="ar-SA"/>
        </w:rPr>
        <w:t xml:space="preserve"> duty.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144</w:t>
      </w:r>
      <w:r>
        <w:rPr>
          <w:rFonts w:ascii="arial" w:eastAsia="arial" w:hAnsi="arial" w:cs="arial"/>
          <w:color w:val="000000"/>
          <w:sz w:val="20"/>
          <w:lang w:val="en-US" w:eastAsia="en-US" w:bidi="ar-SA"/>
        </w:rPr>
        <w:t xml:space="preserve">  At several stages during the trial, Plaintiff's counsel argued the evidence tendered by the defendants should be restricted to the grounds upon which it relied in the NOS for cancelling the Certificate. In essence, the plaintiff submitted the defendant should be restricted to those grounds it put forward in its defence before the TAT. I issued an interim ruling at the commencement of the trial in which I concluded the causes of action raised by the plaintiff in its Notice of Civil Claim raised issues of much broader scope than the issues raised in the appeal to TAT and that the defendant was not restricted in leading evidence in response to the plaintiff's claims of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and misfeasance by its officials in public office.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Has a Duty of Care been Previously Recognized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145</w:t>
      </w:r>
      <w:r>
        <w:rPr>
          <w:rFonts w:ascii="arial" w:eastAsia="arial" w:hAnsi="arial" w:cs="arial"/>
          <w:color w:val="000000"/>
          <w:sz w:val="20"/>
          <w:lang w:val="en-US" w:eastAsia="en-US" w:bidi="ar-SA"/>
        </w:rPr>
        <w:t xml:space="preserve">  Where the alleged duty of care fits within a recognized duty of care, there is no need for further analysis. However, where the alleged duty of care is novel, it becomes necessary to apply the framework from </w:t>
      </w:r>
      <w:r>
        <w:rPr>
          <w:rFonts w:ascii="arial" w:eastAsia="arial" w:hAnsi="arial" w:cs="arial"/>
          <w:i/>
          <w:color w:val="000000"/>
          <w:sz w:val="20"/>
          <w:lang w:val="en-US" w:eastAsia="en-US" w:bidi="ar-SA"/>
        </w:rPr>
        <w:t>Anns v. Merton London Borough Council</w:t>
      </w:r>
      <w:r>
        <w:rPr>
          <w:rFonts w:ascii="arial" w:eastAsia="arial" w:hAnsi="arial" w:cs="arial"/>
          <w:color w:val="000000"/>
          <w:sz w:val="20"/>
          <w:lang w:val="en-US" w:eastAsia="en-US" w:bidi="ar-SA"/>
        </w:rPr>
        <w:t xml:space="preserve">, [1978] A.C. 728 (H.L.), adopted by the Supreme Court of Canada in </w:t>
      </w:r>
      <w:r>
        <w:rPr>
          <w:rFonts w:ascii="arial" w:eastAsia="arial" w:hAnsi="arial" w:cs="arial"/>
          <w:i/>
          <w:color w:val="000000"/>
          <w:sz w:val="20"/>
          <w:lang w:val="en-US" w:eastAsia="en-US" w:bidi="ar-SA"/>
        </w:rPr>
        <w:t>Kamloops (City) v. Nielsen</w:t>
      </w:r>
      <w:r>
        <w:rPr>
          <w:rFonts w:ascii="arial" w:eastAsia="arial" w:hAnsi="arial" w:cs="arial"/>
          <w:color w:val="000000"/>
          <w:sz w:val="20"/>
          <w:lang w:val="en-US" w:eastAsia="en-US" w:bidi="ar-SA"/>
        </w:rPr>
        <w:t xml:space="preserve">, </w:t>
      </w:r>
      <w:hyperlink r:id="rId21" w:history="1">
        <w:r>
          <w:rPr>
            <w:rFonts w:ascii="arial" w:eastAsia="arial" w:hAnsi="arial" w:cs="arial"/>
            <w:i/>
            <w:color w:val="0077CC"/>
            <w:sz w:val="20"/>
            <w:u w:val="single"/>
            <w:shd w:val="clear" w:color="auto" w:fill="FFFFFF"/>
            <w:lang w:val="en-US" w:eastAsia="en-US" w:bidi="ar-SA"/>
          </w:rPr>
          <w:t>[1984] 2 S.C.R. 2</w:t>
        </w:r>
      </w:hyperlink>
      <w:r>
        <w:rPr>
          <w:rFonts w:ascii="arial" w:eastAsia="arial" w:hAnsi="arial" w:cs="arial"/>
          <w:color w:val="000000"/>
          <w:sz w:val="20"/>
          <w:lang w:val="en-US" w:eastAsia="en-US" w:bidi="ar-SA"/>
        </w:rPr>
        <w:t xml:space="preserve"> and further refined in </w:t>
      </w:r>
      <w:r>
        <w:rPr>
          <w:rFonts w:ascii="arial" w:eastAsia="arial" w:hAnsi="arial" w:cs="arial"/>
          <w:i/>
          <w:color w:val="000000"/>
          <w:sz w:val="20"/>
          <w:lang w:val="en-US" w:eastAsia="en-US" w:bidi="ar-SA"/>
        </w:rPr>
        <w:t>Cooper v. Hobart</w:t>
      </w:r>
      <w:r>
        <w:rPr>
          <w:rFonts w:ascii="arial" w:eastAsia="arial" w:hAnsi="arial" w:cs="arial"/>
          <w:color w:val="000000"/>
          <w:sz w:val="20"/>
          <w:lang w:val="en-US" w:eastAsia="en-US" w:bidi="ar-SA"/>
        </w:rPr>
        <w:t xml:space="preserve">, </w:t>
      </w:r>
      <w:hyperlink r:id="rId22" w:history="1">
        <w:r>
          <w:rPr>
            <w:rFonts w:ascii="arial" w:eastAsia="arial" w:hAnsi="arial" w:cs="arial"/>
            <w:i/>
            <w:color w:val="0077CC"/>
            <w:sz w:val="20"/>
            <w:u w:val="single"/>
            <w:shd w:val="clear" w:color="auto" w:fill="FFFFFF"/>
            <w:lang w:val="en-US" w:eastAsia="en-US" w:bidi="ar-SA"/>
          </w:rPr>
          <w:t>2001 SCC 79</w:t>
        </w:r>
      </w:hyperlink>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146</w:t>
      </w:r>
      <w:r>
        <w:rPr>
          <w:rFonts w:ascii="arial" w:eastAsia="arial" w:hAnsi="arial" w:cs="arial"/>
          <w:color w:val="000000"/>
          <w:sz w:val="20"/>
          <w:lang w:val="en-US" w:eastAsia="en-US" w:bidi="ar-SA"/>
        </w:rPr>
        <w:t xml:space="preserve">  In considering whether the plaintiff's claim falls within a recognized category of cases in which a duty of care is owed, the consideration must be whether there is a precedent by comparing the relationships at issue; that is, whether the relationship in the two cases is similar: </w:t>
      </w:r>
      <w:r>
        <w:rPr>
          <w:rFonts w:ascii="arial" w:eastAsia="arial" w:hAnsi="arial" w:cs="arial"/>
          <w:i/>
          <w:color w:val="000000"/>
          <w:sz w:val="20"/>
          <w:lang w:val="en-US" w:eastAsia="en-US" w:bidi="ar-SA"/>
        </w:rPr>
        <w:t>LA Salad, CA</w:t>
      </w:r>
      <w:r>
        <w:rPr>
          <w:rFonts w:ascii="arial" w:eastAsia="arial" w:hAnsi="arial" w:cs="arial"/>
          <w:color w:val="000000"/>
          <w:sz w:val="20"/>
          <w:lang w:val="en-US" w:eastAsia="en-US" w:bidi="ar-SA"/>
        </w:rPr>
        <w:t xml:space="preserve"> at para. 25.</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147</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The Los Angeles Salad Company Inc. v. Canadian Food Inspection Agency</w:t>
      </w:r>
      <w:r>
        <w:rPr>
          <w:rFonts w:ascii="arial" w:eastAsia="arial" w:hAnsi="arial" w:cs="arial"/>
          <w:color w:val="000000"/>
          <w:sz w:val="20"/>
          <w:lang w:val="en-US" w:eastAsia="en-US" w:bidi="ar-SA"/>
        </w:rPr>
        <w:t xml:space="preserve">, </w:t>
      </w:r>
      <w:hyperlink r:id="rId23" w:history="1">
        <w:r>
          <w:rPr>
            <w:rFonts w:ascii="arial" w:eastAsia="arial" w:hAnsi="arial" w:cs="arial"/>
            <w:i/>
            <w:color w:val="0077CC"/>
            <w:sz w:val="20"/>
            <w:u w:val="single"/>
            <w:shd w:val="clear" w:color="auto" w:fill="FFFFFF"/>
            <w:lang w:val="en-US" w:eastAsia="en-US" w:bidi="ar-SA"/>
          </w:rPr>
          <w:t>2011 BCSC 779</w:t>
        </w:r>
      </w:hyperlink>
      <w:r>
        <w:rPr>
          <w:rFonts w:ascii="arial" w:eastAsia="arial" w:hAnsi="arial" w:cs="arial"/>
          <w:color w:val="000000"/>
          <w:sz w:val="20"/>
          <w:lang w:val="en-US" w:eastAsia="en-US" w:bidi="ar-SA"/>
        </w:rPr>
        <w:t xml:space="preserve"> at para. 34 [</w:t>
      </w:r>
      <w:r>
        <w:rPr>
          <w:rFonts w:ascii="arial" w:eastAsia="arial" w:hAnsi="arial" w:cs="arial"/>
          <w:i/>
          <w:color w:val="000000"/>
          <w:sz w:val="20"/>
          <w:lang w:val="en-US" w:eastAsia="en-US" w:bidi="ar-SA"/>
        </w:rPr>
        <w:t>LA Salad, SC</w:t>
      </w:r>
      <w:r>
        <w:rPr>
          <w:rFonts w:ascii="arial" w:eastAsia="arial" w:hAnsi="arial" w:cs="arial"/>
          <w:color w:val="000000"/>
          <w:sz w:val="20"/>
          <w:lang w:val="en-US" w:eastAsia="en-US" w:bidi="ar-SA"/>
        </w:rPr>
        <w:t>] Mr. Justice Harris, as he then was, said: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 necessary part of the analysis is the recognition of both the class of persons and the type of interest intended to benefit from the inspection; an analysis involving both "</w:t>
      </w:r>
      <w:r>
        <w:rPr>
          <w:rFonts w:ascii="arial" w:eastAsia="arial" w:hAnsi="arial" w:cs="arial"/>
          <w:color w:val="000000"/>
          <w:sz w:val="20"/>
          <w:u w:val="single"/>
          <w:lang w:val="en-US" w:eastAsia="en-US" w:bidi="ar-SA"/>
        </w:rPr>
        <w:t>who</w:t>
      </w:r>
      <w:r>
        <w:rPr>
          <w:rFonts w:ascii="arial" w:eastAsia="arial" w:hAnsi="arial" w:cs="arial"/>
          <w:color w:val="000000"/>
          <w:sz w:val="20"/>
          <w:lang w:val="en-US" w:eastAsia="en-US" w:bidi="ar-SA"/>
        </w:rPr>
        <w:t>" and "</w:t>
      </w:r>
      <w:r>
        <w:rPr>
          <w:rFonts w:ascii="arial" w:eastAsia="arial" w:hAnsi="arial" w:cs="arial"/>
          <w:color w:val="000000"/>
          <w:sz w:val="20"/>
          <w:u w:val="single"/>
          <w:lang w:val="en-US" w:eastAsia="en-US" w:bidi="ar-SA"/>
        </w:rPr>
        <w:t>what</w:t>
      </w:r>
      <w:r>
        <w:rPr>
          <w:rFonts w:ascii="arial" w:eastAsia="arial" w:hAnsi="arial" w:cs="arial"/>
          <w:color w:val="000000"/>
          <w:sz w:val="20"/>
          <w:lang w:val="en-US" w:eastAsia="en-US" w:bidi="ar-SA"/>
        </w:rPr>
        <w:t>". Not all interests are the same. Conduct creating a risk of bodily injury is treated differently from that endangering purely economic interests.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[Emphasis added.]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148</w:t>
      </w:r>
      <w:r>
        <w:rPr>
          <w:rFonts w:ascii="arial" w:eastAsia="arial" w:hAnsi="arial" w:cs="arial"/>
          <w:color w:val="000000"/>
          <w:sz w:val="20"/>
          <w:lang w:val="en-US" w:eastAsia="en-US" w:bidi="ar-SA"/>
        </w:rPr>
        <w:t xml:space="preserve">  The plaintiff relies on </w:t>
      </w:r>
      <w:r>
        <w:rPr>
          <w:rFonts w:ascii="arial" w:eastAsia="arial" w:hAnsi="arial" w:cs="arial"/>
          <w:i/>
          <w:color w:val="000000"/>
          <w:sz w:val="20"/>
          <w:lang w:val="en-US" w:eastAsia="en-US" w:bidi="ar-SA"/>
        </w:rPr>
        <w:t>Chadwick v. Canada (Attorney General)</w:t>
      </w:r>
      <w:r>
        <w:rPr>
          <w:rFonts w:ascii="arial" w:eastAsia="arial" w:hAnsi="arial" w:cs="arial"/>
          <w:color w:val="000000"/>
          <w:sz w:val="20"/>
          <w:lang w:val="en-US" w:eastAsia="en-US" w:bidi="ar-SA"/>
        </w:rPr>
        <w:t xml:space="preserve">, </w:t>
      </w:r>
      <w:hyperlink r:id="rId24" w:history="1">
        <w:r>
          <w:rPr>
            <w:rFonts w:ascii="arial" w:eastAsia="arial" w:hAnsi="arial" w:cs="arial"/>
            <w:i/>
            <w:color w:val="0077CC"/>
            <w:sz w:val="20"/>
            <w:u w:val="single"/>
            <w:shd w:val="clear" w:color="auto" w:fill="FFFFFF"/>
            <w:lang w:val="en-US" w:eastAsia="en-US" w:bidi="ar-SA"/>
          </w:rPr>
          <w:t>2010 BCSC 1744</w:t>
        </w:r>
      </w:hyperlink>
      <w:r>
        <w:rPr>
          <w:rFonts w:ascii="arial" w:eastAsia="arial" w:hAnsi="arial" w:cs="arial"/>
          <w:color w:val="000000"/>
          <w:sz w:val="20"/>
          <w:lang w:val="en-US" w:eastAsia="en-US" w:bidi="ar-SA"/>
        </w:rPr>
        <w:t xml:space="preserve"> to argue case law has found that TCCA owes duty of care in some circumstances, but concedes that the facts of </w:t>
      </w:r>
      <w:r>
        <w:rPr>
          <w:rFonts w:ascii="arial" w:eastAsia="arial" w:hAnsi="arial" w:cs="arial"/>
          <w:i/>
          <w:color w:val="000000"/>
          <w:sz w:val="20"/>
          <w:lang w:val="en-US" w:eastAsia="en-US" w:bidi="ar-SA"/>
        </w:rPr>
        <w:t>Chadwick</w:t>
      </w:r>
      <w:r>
        <w:rPr>
          <w:rFonts w:ascii="arial" w:eastAsia="arial" w:hAnsi="arial" w:cs="arial"/>
          <w:color w:val="000000"/>
          <w:sz w:val="20"/>
          <w:lang w:val="en-US" w:eastAsia="en-US" w:bidi="ar-SA"/>
        </w:rPr>
        <w:t xml:space="preserve"> probably do not go far enough to establish an analogous case to the present circumstances and an </w:t>
      </w:r>
      <w:r>
        <w:rPr>
          <w:rFonts w:ascii="arial" w:eastAsia="arial" w:hAnsi="arial" w:cs="arial"/>
          <w:i/>
          <w:color w:val="000000"/>
          <w:sz w:val="20"/>
          <w:lang w:val="en-US" w:eastAsia="en-US" w:bidi="ar-SA"/>
        </w:rPr>
        <w:t>Anns-Cooper</w:t>
      </w:r>
      <w:r>
        <w:rPr>
          <w:rFonts w:ascii="arial" w:eastAsia="arial" w:hAnsi="arial" w:cs="arial"/>
          <w:color w:val="000000"/>
          <w:sz w:val="20"/>
          <w:lang w:val="en-US" w:eastAsia="en-US" w:bidi="ar-SA"/>
        </w:rPr>
        <w:t xml:space="preserve"> analysis will have to be done.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149</w:t>
      </w:r>
      <w:r>
        <w:rPr>
          <w:rFonts w:ascii="arial" w:eastAsia="arial" w:hAnsi="arial" w:cs="arial"/>
          <w:color w:val="000000"/>
          <w:sz w:val="20"/>
          <w:lang w:val="en-US" w:eastAsia="en-US" w:bidi="ar-SA"/>
        </w:rPr>
        <w:t xml:space="preserve">  The plaintiffs in </w:t>
      </w:r>
      <w:r>
        <w:rPr>
          <w:rFonts w:ascii="arial" w:eastAsia="arial" w:hAnsi="arial" w:cs="arial"/>
          <w:i/>
          <w:color w:val="000000"/>
          <w:sz w:val="20"/>
          <w:lang w:val="en-US" w:eastAsia="en-US" w:bidi="ar-SA"/>
        </w:rPr>
        <w:t>Chadwick</w:t>
      </w:r>
      <w:r>
        <w:rPr>
          <w:rFonts w:ascii="arial" w:eastAsia="arial" w:hAnsi="arial" w:cs="arial"/>
          <w:color w:val="000000"/>
          <w:sz w:val="20"/>
          <w:lang w:val="en-US" w:eastAsia="en-US" w:bidi="ar-SA"/>
        </w:rPr>
        <w:t xml:space="preserve"> were family members of two people who died in a helicopter crash who initiated a suit against Transport Canada for allowing a maintenance engineer to continue maintaining aircraft when it knew or ought to have known he was incompetent. Mr. Justice Myers held that amendments to a pleading were allowed because it was not plain and obvious that the pleadings, as sought to be amended, did not disclose a cause of action.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150</w:t>
      </w:r>
      <w:r>
        <w:rPr>
          <w:rFonts w:ascii="arial" w:eastAsia="arial" w:hAnsi="arial" w:cs="arial"/>
          <w:color w:val="000000"/>
          <w:sz w:val="20"/>
          <w:lang w:val="en-US" w:eastAsia="en-US" w:bidi="ar-SA"/>
        </w:rPr>
        <w:t>  </w:t>
      </w:r>
      <w:r>
        <w:rPr>
          <w:rFonts w:ascii="arial" w:eastAsia="arial" w:hAnsi="arial" w:cs="arial"/>
          <w:i/>
          <w:color w:val="000000"/>
          <w:sz w:val="20"/>
          <w:lang w:val="en-US" w:eastAsia="en-US" w:bidi="ar-SA"/>
        </w:rPr>
        <w:t>Chadwick</w:t>
      </w:r>
      <w:r>
        <w:rPr>
          <w:rFonts w:ascii="arial" w:eastAsia="arial" w:hAnsi="arial" w:cs="arial"/>
          <w:color w:val="000000"/>
          <w:sz w:val="20"/>
          <w:lang w:val="en-US" w:eastAsia="en-US" w:bidi="ar-SA"/>
        </w:rPr>
        <w:t xml:space="preserve"> was decided in the context of the law which applies to the amendment of pleadings and goes no further than a determination the pleadings </w:t>
      </w:r>
      <w:r>
        <w:rPr>
          <w:rFonts w:ascii="arial" w:eastAsia="arial" w:hAnsi="arial" w:cs="arial"/>
          <w:color w:val="000000"/>
          <w:sz w:val="20"/>
          <w:u w:val="single"/>
          <w:lang w:val="en-US" w:eastAsia="en-US" w:bidi="ar-SA"/>
        </w:rPr>
        <w:t>could</w:t>
      </w:r>
      <w:r>
        <w:rPr>
          <w:rFonts w:ascii="arial" w:eastAsia="arial" w:hAnsi="arial" w:cs="arial"/>
          <w:color w:val="000000"/>
          <w:sz w:val="20"/>
          <w:lang w:val="en-US" w:eastAsia="en-US" w:bidi="ar-SA"/>
        </w:rPr>
        <w:t xml:space="preserve"> disclose a cause of action. The case does not stand for the proposition Transport Canada owed a duty of care to the plaintiffs or that such duty of care was breached. Further, the class of persons who brought the action were members of the public whose personal safety and life could be said to be at stake and hence the relationship was significantly different to the relationship asserted in the present case. </w:t>
      </w:r>
      <w:r>
        <w:rPr>
          <w:rFonts w:ascii="arial" w:eastAsia="arial" w:hAnsi="arial" w:cs="arial"/>
          <w:i/>
          <w:color w:val="000000"/>
          <w:sz w:val="20"/>
          <w:lang w:val="en-US" w:eastAsia="en-US" w:bidi="ar-SA"/>
        </w:rPr>
        <w:t>Chadwick</w:t>
      </w:r>
      <w:r>
        <w:rPr>
          <w:rFonts w:ascii="arial" w:eastAsia="arial" w:hAnsi="arial" w:cs="arial"/>
          <w:color w:val="000000"/>
          <w:sz w:val="20"/>
          <w:lang w:val="en-US" w:eastAsia="en-US" w:bidi="ar-SA"/>
        </w:rPr>
        <w:t xml:space="preserve"> was also decided before important subsequent cases such as </w:t>
      </w:r>
      <w:r>
        <w:rPr>
          <w:rFonts w:ascii="arial" w:eastAsia="arial" w:hAnsi="arial" w:cs="arial"/>
          <w:i/>
          <w:color w:val="000000"/>
          <w:sz w:val="20"/>
          <w:lang w:val="en-US" w:eastAsia="en-US" w:bidi="ar-SA"/>
        </w:rPr>
        <w:t>R. v. Imperial Tobacco Canada Ltd.</w:t>
      </w:r>
      <w:r>
        <w:rPr>
          <w:rFonts w:ascii="arial" w:eastAsia="arial" w:hAnsi="arial" w:cs="arial"/>
          <w:color w:val="000000"/>
          <w:sz w:val="20"/>
          <w:lang w:val="en-US" w:eastAsia="en-US" w:bidi="ar-SA"/>
        </w:rPr>
        <w:t xml:space="preserve">, </w:t>
      </w:r>
      <w:hyperlink r:id="rId25" w:history="1">
        <w:r>
          <w:rPr>
            <w:rFonts w:ascii="arial" w:eastAsia="arial" w:hAnsi="arial" w:cs="arial"/>
            <w:i/>
            <w:color w:val="0077CC"/>
            <w:sz w:val="20"/>
            <w:u w:val="single"/>
            <w:shd w:val="clear" w:color="auto" w:fill="FFFFFF"/>
            <w:lang w:val="en-US" w:eastAsia="en-US" w:bidi="ar-SA"/>
          </w:rPr>
          <w:t>2011 SCC 42</w:t>
        </w:r>
      </w:hyperlink>
      <w:r>
        <w:rPr>
          <w:rFonts w:ascii="arial" w:eastAsia="arial" w:hAnsi="arial" w:cs="arial"/>
          <w:color w:val="000000"/>
          <w:sz w:val="20"/>
          <w:lang w:val="en-US" w:eastAsia="en-US" w:bidi="ar-SA"/>
        </w:rPr>
        <w:t xml:space="preserve"> and </w:t>
      </w:r>
      <w:r>
        <w:rPr>
          <w:rFonts w:ascii="arial" w:eastAsia="arial" w:hAnsi="arial" w:cs="arial"/>
          <w:i/>
          <w:color w:val="000000"/>
          <w:sz w:val="20"/>
          <w:lang w:val="en-US" w:eastAsia="en-US" w:bidi="ar-SA"/>
        </w:rPr>
        <w:t>LA Salad, CA</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151</w:t>
      </w:r>
      <w:r>
        <w:rPr>
          <w:rFonts w:ascii="arial" w:eastAsia="arial" w:hAnsi="arial" w:cs="arial"/>
          <w:color w:val="000000"/>
          <w:sz w:val="20"/>
          <w:lang w:val="en-US" w:eastAsia="en-US" w:bidi="ar-SA"/>
        </w:rPr>
        <w:t xml:space="preserve">  The plaintiff argues that courts have found sufficient proximity to impose a duty of care in the context of some regulator and regulated entity relationships, such as </w:t>
      </w:r>
      <w:r>
        <w:rPr>
          <w:rFonts w:ascii="arial" w:eastAsia="arial" w:hAnsi="arial" w:cs="arial"/>
          <w:i/>
          <w:color w:val="000000"/>
          <w:sz w:val="20"/>
          <w:lang w:val="en-US" w:eastAsia="en-US" w:bidi="ar-SA"/>
        </w:rPr>
        <w:t>Taylor v. Canada (Attorney General)</w:t>
      </w:r>
      <w:r>
        <w:rPr>
          <w:rFonts w:ascii="arial" w:eastAsia="arial" w:hAnsi="arial" w:cs="arial"/>
          <w:color w:val="000000"/>
          <w:sz w:val="20"/>
          <w:lang w:val="en-US" w:eastAsia="en-US" w:bidi="ar-SA"/>
        </w:rPr>
        <w:t xml:space="preserve">, </w:t>
      </w:r>
      <w:hyperlink r:id="rId26" w:history="1">
        <w:r>
          <w:rPr>
            <w:rFonts w:ascii="arial" w:eastAsia="arial" w:hAnsi="arial" w:cs="arial"/>
            <w:i/>
            <w:color w:val="0077CC"/>
            <w:sz w:val="20"/>
            <w:u w:val="single"/>
            <w:shd w:val="clear" w:color="auto" w:fill="FFFFFF"/>
            <w:lang w:val="en-US" w:eastAsia="en-US" w:bidi="ar-SA"/>
          </w:rPr>
          <w:t>2012 ONCA 479</w:t>
        </w:r>
      </w:hyperlink>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Taylor</w:t>
      </w:r>
      <w:r>
        <w:rPr>
          <w:rFonts w:ascii="arial" w:eastAsia="arial" w:hAnsi="arial" w:cs="arial"/>
          <w:color w:val="000000"/>
          <w:sz w:val="20"/>
          <w:lang w:val="en-US" w:eastAsia="en-US" w:bidi="ar-SA"/>
        </w:rPr>
        <w:t xml:space="preserve"> the Ontario Court of Appeal held that it was not plain and obvious on an application to strike out the pleadings and dismiss the claim that the plaintiffs, a group of individuals who suffered damages as a result of the implantation of joint implants, would be unable to demonstrate a duty of care was owed by Health Canada while regulating implants. The court did not find that Health Canada owed a duty of care. The court approached the application in the same manner as the judge in </w:t>
      </w:r>
      <w:r>
        <w:rPr>
          <w:rFonts w:ascii="arial" w:eastAsia="arial" w:hAnsi="arial" w:cs="arial"/>
          <w:i/>
          <w:color w:val="000000"/>
          <w:sz w:val="20"/>
          <w:lang w:val="en-US" w:eastAsia="en-US" w:bidi="ar-SA"/>
        </w:rPr>
        <w:t>Chadwick</w:t>
      </w:r>
      <w:r>
        <w:rPr>
          <w:rFonts w:ascii="arial" w:eastAsia="arial" w:hAnsi="arial" w:cs="arial"/>
          <w:color w:val="000000"/>
          <w:sz w:val="20"/>
          <w:lang w:val="en-US" w:eastAsia="en-US" w:bidi="ar-SA"/>
        </w:rPr>
        <w:t>, stating:</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[120] Ultimately, I come to this point. It is not clear to me that Ms. Taylor will at the end of the day succeed in making out a private law duty of care owed to her by Health Canada. However, bearing in mind that at this stage the allegations must be assumed to be true and must be read generously, and also having regard to the dynamic nature of the jurisprudence, it is not plain and obvious that the claim as pleaded is bound to fail for want of a private law duty of care. The courtroom door cannot be closed to Ms. Taylor and the other members of the class at this stage.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152</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Hill</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v. Hamilton Wentworth Regional Police Service Board</w:t>
      </w:r>
      <w:r>
        <w:rPr>
          <w:rFonts w:ascii="arial" w:eastAsia="arial" w:hAnsi="arial" w:cs="arial"/>
          <w:color w:val="000000"/>
          <w:sz w:val="20"/>
          <w:lang w:val="en-US" w:eastAsia="en-US" w:bidi="ar-SA"/>
        </w:rPr>
        <w:t xml:space="preserve">, </w:t>
      </w:r>
      <w:hyperlink r:id="rId27" w:history="1">
        <w:r>
          <w:rPr>
            <w:rFonts w:ascii="arial" w:eastAsia="arial" w:hAnsi="arial" w:cs="arial"/>
            <w:i/>
            <w:color w:val="0077CC"/>
            <w:sz w:val="20"/>
            <w:u w:val="single"/>
            <w:shd w:val="clear" w:color="auto" w:fill="FFFFFF"/>
            <w:lang w:val="en-US" w:eastAsia="en-US" w:bidi="ar-SA"/>
          </w:rPr>
          <w:t>2007 SCC 41</w:t>
        </w:r>
      </w:hyperlink>
      <w:r>
        <w:rPr>
          <w:rFonts w:ascii="arial" w:eastAsia="arial" w:hAnsi="arial" w:cs="arial"/>
          <w:color w:val="000000"/>
          <w:sz w:val="20"/>
          <w:lang w:val="en-US" w:eastAsia="en-US" w:bidi="ar-SA"/>
        </w:rPr>
        <w:t xml:space="preserve">, the majority found the relationship between a police investigator and a suspect he was investigating supported a finding of a proximate relationship giving rise to a duty of care. The plaintiff argues that the targeted nature of the relationship and the seriousness of the interests at stake which led to a finding of proximity in </w:t>
      </w:r>
      <w:r>
        <w:rPr>
          <w:rFonts w:ascii="arial" w:eastAsia="arial" w:hAnsi="arial" w:cs="arial"/>
          <w:i/>
          <w:color w:val="000000"/>
          <w:sz w:val="20"/>
          <w:lang w:val="en-US" w:eastAsia="en-US" w:bidi="ar-SA"/>
        </w:rPr>
        <w:t>Hill</w:t>
      </w:r>
      <w:r>
        <w:rPr>
          <w:rFonts w:ascii="arial" w:eastAsia="arial" w:hAnsi="arial" w:cs="arial"/>
          <w:color w:val="000000"/>
          <w:sz w:val="20"/>
          <w:lang w:val="en-US" w:eastAsia="en-US" w:bidi="ar-SA"/>
        </w:rPr>
        <w:t xml:space="preserve"> support a finding of proximity in this case. However, the majority in </w:t>
      </w:r>
      <w:r>
        <w:rPr>
          <w:rFonts w:ascii="arial" w:eastAsia="arial" w:hAnsi="arial" w:cs="arial"/>
          <w:i/>
          <w:color w:val="000000"/>
          <w:sz w:val="20"/>
          <w:lang w:val="en-US" w:eastAsia="en-US" w:bidi="ar-SA"/>
        </w:rPr>
        <w:t>Hill</w:t>
      </w:r>
      <w:r>
        <w:rPr>
          <w:rFonts w:ascii="arial" w:eastAsia="arial" w:hAnsi="arial" w:cs="arial"/>
          <w:color w:val="000000"/>
          <w:sz w:val="20"/>
          <w:lang w:val="en-US" w:eastAsia="en-US" w:bidi="ar-SA"/>
        </w:rPr>
        <w:t xml:space="preserve"> noted the judgment was concerned "only with a very particular relationship -- the relationship between a police officer and a particularized subject that he is investigating": para. 27.</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153</w:t>
      </w:r>
      <w:r>
        <w:rPr>
          <w:rFonts w:ascii="arial" w:eastAsia="arial" w:hAnsi="arial" w:cs="arial"/>
          <w:color w:val="000000"/>
          <w:sz w:val="20"/>
          <w:lang w:val="en-US" w:eastAsia="en-US" w:bidi="ar-SA"/>
        </w:rPr>
        <w:t xml:space="preserve">  In my view this is a distinct relationship that has little in common with the relationship between the plaintiff and the defendants in the case at bar. It is clear that the majority in </w:t>
      </w:r>
      <w:r>
        <w:rPr>
          <w:rFonts w:ascii="arial" w:eastAsia="arial" w:hAnsi="arial" w:cs="arial"/>
          <w:i/>
          <w:color w:val="000000"/>
          <w:sz w:val="20"/>
          <w:lang w:val="en-US" w:eastAsia="en-US" w:bidi="ar-SA"/>
        </w:rPr>
        <w:t>Hill</w:t>
      </w:r>
      <w:r>
        <w:rPr>
          <w:rFonts w:ascii="arial" w:eastAsia="arial" w:hAnsi="arial" w:cs="arial"/>
          <w:color w:val="000000"/>
          <w:sz w:val="20"/>
          <w:lang w:val="en-US" w:eastAsia="en-US" w:bidi="ar-SA"/>
        </w:rPr>
        <w:t xml:space="preserve"> placed importance on the unique nature of the police and suspect relationship and the liberty interest at stake in finding sufficient proximity:</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[33] Other factors relating to the relationship suggest sufficient proximity to support a cause of action. The relationship between the police and a suspect identified for investigation is personal, and is close and direct. We are not concerned with the universe of all potential suspects. The police had identified Hill as a particularized suspect at the relevant time and begun to investigate him. This created a close and direct relationship between the police and Hill. He was no longer merely one person in a pool of potential suspects. He had been singled out. The relationship is thus closer than in </w:t>
      </w:r>
      <w:r>
        <w:rPr>
          <w:rFonts w:ascii="arial" w:eastAsia="arial" w:hAnsi="arial" w:cs="arial"/>
          <w:i/>
          <w:color w:val="000000"/>
          <w:sz w:val="20"/>
          <w:lang w:val="en-US" w:eastAsia="en-US" w:bidi="ar-SA"/>
        </w:rPr>
        <w:t>Cooper</w:t>
      </w:r>
      <w:r>
        <w:rPr>
          <w:rFonts w:ascii="arial" w:eastAsia="arial" w:hAnsi="arial" w:cs="arial"/>
          <w:color w:val="000000"/>
          <w:sz w:val="20"/>
          <w:lang w:val="en-US" w:eastAsia="en-US" w:bidi="ar-SA"/>
        </w:rPr>
        <w:t xml:space="preserve"> and </w:t>
      </w:r>
      <w:r>
        <w:rPr>
          <w:rFonts w:ascii="arial" w:eastAsia="arial" w:hAnsi="arial" w:cs="arial"/>
          <w:i/>
          <w:color w:val="000000"/>
          <w:sz w:val="20"/>
          <w:lang w:val="en-US" w:eastAsia="en-US" w:bidi="ar-SA"/>
        </w:rPr>
        <w:t>Edwards.</w:t>
      </w:r>
      <w:r>
        <w:rPr>
          <w:rFonts w:ascii="arial" w:eastAsia="arial" w:hAnsi="arial" w:cs="arial"/>
          <w:color w:val="000000"/>
          <w:sz w:val="20"/>
          <w:lang w:val="en-US" w:eastAsia="en-US" w:bidi="ar-SA"/>
        </w:rPr>
        <w:t xml:space="preserve"> </w:t>
      </w:r>
      <w:hyperlink r:id="rId28" w:history="1">
        <w:r>
          <w:rPr>
            <w:rFonts w:ascii="arial" w:eastAsia="arial" w:hAnsi="arial" w:cs="arial"/>
            <w:i/>
            <w:color w:val="0077CC"/>
            <w:sz w:val="20"/>
            <w:u w:val="single"/>
            <w:shd w:val="clear" w:color="auto" w:fill="FFFFFF"/>
            <w:lang w:val="en-US" w:eastAsia="en-US" w:bidi="ar-SA"/>
          </w:rPr>
          <w:t>[2001] S.C.J. No. 77</w:t>
        </w:r>
      </w:hyperlink>
      <w:r>
        <w:rPr>
          <w:rFonts w:ascii="arial" w:eastAsia="arial" w:hAnsi="arial" w:cs="arial"/>
          <w:color w:val="000000"/>
          <w:sz w:val="20"/>
          <w:lang w:val="en-US" w:eastAsia="en-US" w:bidi="ar-SA"/>
        </w:rPr>
        <w:t xml:space="preserve"> In those cases, the public officials were not acting in relation to the claimant (as the police did here) but in relation to a third party (i.e. persons being regulated) who, at a further remove, interacted with the claimants.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[34] A final consideration bearing on the relationship is the interests it engages. In this case, personal representations and consequent reliance are absent. However, the targeted suspect has a critical personal interest in the conduct of the investigation. At stake are his freedom, his reputation and how he may spend a good portion of his life. These high interests support a finding of a proximate relationship giving rise to a duty of care.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154</w:t>
      </w:r>
      <w:r>
        <w:rPr>
          <w:rFonts w:ascii="arial" w:eastAsia="arial" w:hAnsi="arial" w:cs="arial"/>
          <w:color w:val="000000"/>
          <w:sz w:val="20"/>
          <w:lang w:val="en-US" w:eastAsia="en-US" w:bidi="ar-SA"/>
        </w:rPr>
        <w:t xml:space="preserve">  The defendant argues courts have consistently rejected claims by regulated entities that a regulator owes a duty to consider the economic impact of decisions when taking regulatory action and if this case does fall into a category, it is a category of immunity, relying on </w:t>
      </w:r>
      <w:r>
        <w:rPr>
          <w:rFonts w:ascii="arial" w:eastAsia="arial" w:hAnsi="arial" w:cs="arial"/>
          <w:i/>
          <w:color w:val="000000"/>
          <w:sz w:val="20"/>
          <w:lang w:val="en-US" w:eastAsia="en-US" w:bidi="ar-SA"/>
        </w:rPr>
        <w:t>Attis v. Canada (Minister of Health)</w:t>
      </w:r>
      <w:r>
        <w:rPr>
          <w:rFonts w:ascii="arial" w:eastAsia="arial" w:hAnsi="arial" w:cs="arial"/>
          <w:color w:val="000000"/>
          <w:sz w:val="20"/>
          <w:lang w:val="en-US" w:eastAsia="en-US" w:bidi="ar-SA"/>
        </w:rPr>
        <w:t xml:space="preserve">, </w:t>
      </w:r>
      <w:hyperlink r:id="rId29" w:history="1">
        <w:r>
          <w:rPr>
            <w:rFonts w:ascii="arial" w:eastAsia="arial" w:hAnsi="arial" w:cs="arial"/>
            <w:i/>
            <w:color w:val="0077CC"/>
            <w:sz w:val="20"/>
            <w:u w:val="single"/>
            <w:shd w:val="clear" w:color="auto" w:fill="FFFFFF"/>
            <w:lang w:val="en-US" w:eastAsia="en-US" w:bidi="ar-SA"/>
          </w:rPr>
          <w:t>2008 ONCA 660</w:t>
        </w:r>
      </w:hyperlink>
      <w:r>
        <w:rPr>
          <w:rFonts w:ascii="arial" w:eastAsia="arial" w:hAnsi="arial" w:cs="arial"/>
          <w:color w:val="000000"/>
          <w:sz w:val="20"/>
          <w:lang w:val="en-US" w:eastAsia="en-US" w:bidi="ar-SA"/>
        </w:rPr>
        <w:t xml:space="preserve">, leave to appeal to S.C.C. refused </w:t>
      </w:r>
      <w:hyperlink r:id="rId30" w:history="1">
        <w:r>
          <w:rPr>
            <w:rFonts w:ascii="arial" w:eastAsia="arial" w:hAnsi="arial" w:cs="arial"/>
            <w:i/>
            <w:color w:val="0077CC"/>
            <w:sz w:val="20"/>
            <w:u w:val="single"/>
            <w:shd w:val="clear" w:color="auto" w:fill="FFFFFF"/>
            <w:lang w:val="en-US" w:eastAsia="en-US" w:bidi="ar-SA"/>
          </w:rPr>
          <w:t>[2008] S.C.C.A. No. 491</w:t>
        </w:r>
      </w:hyperlink>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155</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Attis,</w:t>
      </w:r>
      <w:r>
        <w:rPr>
          <w:rFonts w:ascii="arial" w:eastAsia="arial" w:hAnsi="arial" w:cs="arial"/>
          <w:color w:val="000000"/>
          <w:sz w:val="20"/>
          <w:lang w:val="en-US" w:eastAsia="en-US" w:bidi="ar-SA"/>
        </w:rPr>
        <w:t xml:space="preserve"> the plaintiffs were implanted with silicone gel breast implants that leaked or ruptured, causing catastrophic medical consequences. They commenced a proposed class action against Health Canada, alleging that the </w:t>
      </w:r>
      <w:r>
        <w:rPr>
          <w:rFonts w:ascii="arial" w:eastAsia="arial" w:hAnsi="arial" w:cs="arial"/>
          <w:i/>
          <w:color w:val="000000"/>
          <w:sz w:val="20"/>
          <w:lang w:val="en-US" w:eastAsia="en-US" w:bidi="ar-SA"/>
        </w:rPr>
        <w:t>Food and Drugs Act</w:t>
      </w:r>
      <w:r>
        <w:rPr>
          <w:rFonts w:ascii="arial" w:eastAsia="arial" w:hAnsi="arial" w:cs="arial"/>
          <w:color w:val="000000"/>
          <w:sz w:val="20"/>
          <w:lang w:val="en-US" w:eastAsia="en-US" w:bidi="ar-SA"/>
        </w:rPr>
        <w:t xml:space="preserve">, </w:t>
      </w:r>
      <w:hyperlink r:id="rId16" w:history="1">
        <w:r>
          <w:rPr>
            <w:rFonts w:ascii="arial" w:eastAsia="arial" w:hAnsi="arial" w:cs="arial"/>
            <w:i/>
            <w:color w:val="0077CC"/>
            <w:sz w:val="20"/>
            <w:u w:val="single"/>
            <w:shd w:val="clear" w:color="auto" w:fill="FFFFFF"/>
            <w:lang w:val="en-US" w:eastAsia="en-US" w:bidi="ar-SA"/>
          </w:rPr>
          <w:t>R.S.C. 1985, c. F-27</w:t>
        </w:r>
      </w:hyperlink>
      <w:r>
        <w:rPr>
          <w:rFonts w:ascii="arial" w:eastAsia="arial" w:hAnsi="arial" w:cs="arial"/>
          <w:color w:val="000000"/>
          <w:sz w:val="20"/>
          <w:lang w:val="en-US" w:eastAsia="en-US" w:bidi="ar-SA"/>
        </w:rPr>
        <w:t xml:space="preserve"> imposed a duty on Health Canada to ensure that individual members of the Canadian public were protected from devices that might cause them harm. The action was dismissed on the basis that it was plain and obvious that the claim disclosed no cause of action because the underlying legislative and regulatory scheme did not support the plaintiffs' claim that Health Canada owed them a private law duty of care.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156</w:t>
      </w:r>
      <w:r>
        <w:rPr>
          <w:rFonts w:ascii="arial" w:eastAsia="arial" w:hAnsi="arial" w:cs="arial"/>
          <w:color w:val="000000"/>
          <w:sz w:val="20"/>
          <w:lang w:val="en-US" w:eastAsia="en-US" w:bidi="ar-SA"/>
        </w:rPr>
        <w:t>  The Ontario Court of Appeal stated at para. 51:</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[51] Accordingly, I would reject the appellants' claim that courts have previously recognized a duty of care arising from relationships of proximity analogous to the appellants' relationship with Health Canada. </w:t>
      </w:r>
      <w:r>
        <w:rPr>
          <w:rFonts w:ascii="arial" w:eastAsia="arial" w:hAnsi="arial" w:cs="arial"/>
          <w:color w:val="000000"/>
          <w:sz w:val="20"/>
          <w:u w:val="single"/>
          <w:lang w:val="en-US" w:eastAsia="en-US" w:bidi="ar-SA"/>
        </w:rPr>
        <w:t>Indeed, in my view, to the extent the claim alleges breach of a statutory duty, such a claim has already been recognized as attracting immunity.</w:t>
      </w:r>
      <w:r>
        <w:rPr>
          <w:rFonts w:ascii="arial" w:eastAsia="arial" w:hAnsi="arial" w:cs="arial"/>
          <w:color w:val="000000"/>
          <w:sz w:val="20"/>
          <w:lang w:val="en-US" w:eastAsia="en-US" w:bidi="ar-SA"/>
        </w:rPr>
        <w:t xml:space="preserve"> Nonetheless, for completeness, I will undertake the </w:t>
      </w:r>
      <w:r>
        <w:rPr>
          <w:rFonts w:ascii="arial" w:eastAsia="arial" w:hAnsi="arial" w:cs="arial"/>
          <w:i/>
          <w:color w:val="000000"/>
          <w:sz w:val="20"/>
          <w:lang w:val="en-US" w:eastAsia="en-US" w:bidi="ar-SA"/>
        </w:rPr>
        <w:t>Anns</w:t>
      </w:r>
      <w:r>
        <w:rPr>
          <w:rFonts w:ascii="arial" w:eastAsia="arial" w:hAnsi="arial" w:cs="arial"/>
          <w:color w:val="000000"/>
          <w:sz w:val="20"/>
          <w:lang w:val="en-US" w:eastAsia="en-US" w:bidi="ar-SA"/>
        </w:rPr>
        <w:t xml:space="preserve"> inquiry to determine whether a novel duty of care should be recognized in the circumstances of this case.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[Emphasis added.]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157</w:t>
      </w:r>
      <w:r>
        <w:rPr>
          <w:rFonts w:ascii="arial" w:eastAsia="arial" w:hAnsi="arial" w:cs="arial"/>
          <w:color w:val="000000"/>
          <w:sz w:val="20"/>
          <w:lang w:val="en-US" w:eastAsia="en-US" w:bidi="ar-SA"/>
        </w:rPr>
        <w:t xml:space="preserve">  The court in </w:t>
      </w:r>
      <w:r>
        <w:rPr>
          <w:rFonts w:ascii="arial" w:eastAsia="arial" w:hAnsi="arial" w:cs="arial"/>
          <w:i/>
          <w:color w:val="000000"/>
          <w:sz w:val="20"/>
          <w:lang w:val="en-US" w:eastAsia="en-US" w:bidi="ar-SA"/>
        </w:rPr>
        <w:t>Attis</w:t>
      </w:r>
      <w:r>
        <w:rPr>
          <w:rFonts w:ascii="arial" w:eastAsia="arial" w:hAnsi="arial" w:cs="arial"/>
          <w:color w:val="000000"/>
          <w:sz w:val="20"/>
          <w:lang w:val="en-US" w:eastAsia="en-US" w:bidi="ar-SA"/>
        </w:rPr>
        <w:t xml:space="preserve"> held that Health Canada's role as a regulator was "akin to an overseer or watchdog, able to employ discretionary, but not mandatory, enforcement of the legislative scheme": para. 57. </w:t>
      </w:r>
      <w:r>
        <w:rPr>
          <w:rFonts w:ascii="arial" w:eastAsia="arial" w:hAnsi="arial" w:cs="arial"/>
          <w:i/>
          <w:color w:val="000000"/>
          <w:sz w:val="20"/>
          <w:lang w:val="en-US" w:eastAsia="en-US" w:bidi="ar-SA"/>
        </w:rPr>
        <w:t>Attis,</w:t>
      </w:r>
      <w:r>
        <w:rPr>
          <w:rFonts w:ascii="arial" w:eastAsia="arial" w:hAnsi="arial" w:cs="arial"/>
          <w:color w:val="000000"/>
          <w:sz w:val="20"/>
          <w:lang w:val="en-US" w:eastAsia="en-US" w:bidi="ar-SA"/>
        </w:rPr>
        <w:t xml:space="preserve"> of course, dealt with whether the regulator owed a duty of care to a member of a class of the public who had suffered physical harm; it did not deal with a member of a regulated industry that had suffered purely economic loss.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158</w:t>
      </w:r>
      <w:r>
        <w:rPr>
          <w:rFonts w:ascii="arial" w:eastAsia="arial" w:hAnsi="arial" w:cs="arial"/>
          <w:color w:val="000000"/>
          <w:sz w:val="20"/>
          <w:lang w:val="en-US" w:eastAsia="en-US" w:bidi="ar-SA"/>
        </w:rPr>
        <w:t xml:space="preserve">  The defendant also relies on </w:t>
      </w:r>
      <w:r>
        <w:rPr>
          <w:rFonts w:ascii="arial" w:eastAsia="arial" w:hAnsi="arial" w:cs="arial"/>
          <w:i/>
          <w:color w:val="000000"/>
          <w:sz w:val="20"/>
          <w:lang w:val="en-US" w:eastAsia="en-US" w:bidi="ar-SA"/>
        </w:rPr>
        <w:t>Holland v. Saskatchewan</w:t>
      </w:r>
      <w:r>
        <w:rPr>
          <w:rFonts w:ascii="arial" w:eastAsia="arial" w:hAnsi="arial" w:cs="arial"/>
          <w:color w:val="000000"/>
          <w:sz w:val="20"/>
          <w:lang w:val="en-US" w:eastAsia="en-US" w:bidi="ar-SA"/>
        </w:rPr>
        <w:t xml:space="preserve">, </w:t>
      </w:r>
      <w:hyperlink r:id="rId31" w:history="1">
        <w:r>
          <w:rPr>
            <w:rFonts w:ascii="arial" w:eastAsia="arial" w:hAnsi="arial" w:cs="arial"/>
            <w:i/>
            <w:color w:val="0077CC"/>
            <w:sz w:val="20"/>
            <w:u w:val="single"/>
            <w:shd w:val="clear" w:color="auto" w:fill="FFFFFF"/>
            <w:lang w:val="en-US" w:eastAsia="en-US" w:bidi="ar-SA"/>
          </w:rPr>
          <w:t>2008 SCC 42</w:t>
        </w:r>
      </w:hyperlink>
      <w:r>
        <w:rPr>
          <w:rFonts w:ascii="arial" w:eastAsia="arial" w:hAnsi="arial" w:cs="arial"/>
          <w:color w:val="000000"/>
          <w:sz w:val="20"/>
          <w:lang w:val="en-US" w:eastAsia="en-US" w:bidi="ar-SA"/>
        </w:rPr>
        <w:t xml:space="preserve"> to argue that there is no cause of action for a breach of statutory duty. In </w:t>
      </w:r>
      <w:r>
        <w:rPr>
          <w:rFonts w:ascii="arial" w:eastAsia="arial" w:hAnsi="arial" w:cs="arial"/>
          <w:i/>
          <w:color w:val="000000"/>
          <w:sz w:val="20"/>
          <w:lang w:val="en-US" w:eastAsia="en-US" w:bidi="ar-SA"/>
        </w:rPr>
        <w:t>Holland</w:t>
      </w:r>
      <w:r>
        <w:rPr>
          <w:rFonts w:ascii="arial" w:eastAsia="arial" w:hAnsi="arial" w:cs="arial"/>
          <w:color w:val="000000"/>
          <w:sz w:val="20"/>
          <w:lang w:val="en-US" w:eastAsia="en-US" w:bidi="ar-SA"/>
        </w:rPr>
        <w:t xml:space="preserve"> the appellant represented a group of game farmers who refused to register in a federal program aimed at preventing chronic wasting disease in domestic cervids, because they objected to the broadly worded indemnification and release clauses in the registration form. As a result, the farmers' herd status was down-graded to the lowest level, reducing the market price of their product and diminishing their ability to sell it. On judicial review, the farmers established that these clauses had been invalidly included in the registration form and obtained a declaration that the government's action of reducing the herd certification status was unlawful. Despite that ruling, the government took no steps to reinstate the farmers' certification or compensate them for the revenue they lost. They commenced a class action against the Minister, claiming damages on three grounds, including the tort of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The Saskatchewan Court of Appeal, applying the </w:t>
      </w:r>
      <w:r>
        <w:rPr>
          <w:rFonts w:ascii="arial" w:eastAsia="arial" w:hAnsi="arial" w:cs="arial"/>
          <w:i/>
          <w:color w:val="000000"/>
          <w:sz w:val="20"/>
          <w:lang w:val="en-US" w:eastAsia="en-US" w:bidi="ar-SA"/>
        </w:rPr>
        <w:t>Anns</w:t>
      </w:r>
      <w:r>
        <w:rPr>
          <w:rFonts w:ascii="arial" w:eastAsia="arial" w:hAnsi="arial" w:cs="arial"/>
          <w:color w:val="000000"/>
          <w:sz w:val="20"/>
          <w:lang w:val="en-US" w:eastAsia="en-US" w:bidi="ar-SA"/>
        </w:rPr>
        <w:t xml:space="preserve"> analysis, held that no action lies against a public authority for negligently acting outside its lawful mandate and struck out the cause of action in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w:t>
      </w:r>
      <w:hyperlink r:id="rId32" w:history="1">
        <w:r>
          <w:rPr>
            <w:rFonts w:ascii="arial" w:eastAsia="arial" w:hAnsi="arial" w:cs="arial"/>
            <w:i/>
            <w:color w:val="0077CC"/>
            <w:sz w:val="20"/>
            <w:u w:val="single"/>
            <w:shd w:val="clear" w:color="auto" w:fill="FFFFFF"/>
            <w:lang w:val="en-US" w:eastAsia="en-US" w:bidi="ar-SA"/>
          </w:rPr>
          <w:t>2007 SKCA 18</w:t>
        </w:r>
      </w:hyperlink>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159</w:t>
      </w:r>
      <w:r>
        <w:rPr>
          <w:rFonts w:ascii="arial" w:eastAsia="arial" w:hAnsi="arial" w:cs="arial"/>
          <w:color w:val="000000"/>
          <w:sz w:val="20"/>
          <w:lang w:val="en-US" w:eastAsia="en-US" w:bidi="ar-SA"/>
        </w:rPr>
        <w:t xml:space="preserve">  The Supreme Court of Canada upheld the Saskatchewan Court of Appeal's decision in regards to the plaintiff's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claim. At paras. 8-9, McLachlin C.J.C. wrote for the court: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[8] </w:t>
      </w:r>
      <w:r>
        <w:rPr>
          <w:rFonts w:ascii="arial" w:eastAsia="arial" w:hAnsi="arial" w:cs="arial"/>
          <w:color w:val="000000"/>
          <w:sz w:val="20"/>
          <w:u w:val="single"/>
          <w:lang w:val="en-US" w:eastAsia="en-US" w:bidi="ar-SA"/>
        </w:rPr>
        <w:t>I agree with the Court of Appeal that the claim, thus characterized, discloses no cause of action recognized by law and must be struck.</w:t>
      </w:r>
      <w:r>
        <w:rPr>
          <w:rFonts w:ascii="arial" w:eastAsia="arial" w:hAnsi="arial" w:cs="arial"/>
          <w:color w:val="000000"/>
          <w:sz w:val="20"/>
          <w:lang w:val="en-US" w:eastAsia="en-US" w:bidi="ar-SA"/>
        </w:rPr>
        <w:t xml:space="preserve"> The Court of Appeal correctly concluded that the viability of the action in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falls to be determined by application of </w:t>
      </w:r>
      <w:r>
        <w:rPr>
          <w:rFonts w:ascii="arial" w:eastAsia="arial" w:hAnsi="arial" w:cs="arial"/>
          <w:i/>
          <w:color w:val="000000"/>
          <w:sz w:val="20"/>
          <w:lang w:val="en-US" w:eastAsia="en-US" w:bidi="ar-SA"/>
        </w:rPr>
        <w:t>Anns v. Merton London Borough Council</w:t>
      </w:r>
      <w:r>
        <w:rPr>
          <w:rFonts w:ascii="arial" w:eastAsia="arial" w:hAnsi="arial" w:cs="arial"/>
          <w:color w:val="000000"/>
          <w:sz w:val="20"/>
          <w:lang w:val="en-US" w:eastAsia="en-US" w:bidi="ar-SA"/>
        </w:rPr>
        <w:t xml:space="preserve">, [1978] A.C. 728 (H.L.), adopted and refined by this Court in </w:t>
      </w:r>
      <w:r>
        <w:rPr>
          <w:rFonts w:ascii="arial" w:eastAsia="arial" w:hAnsi="arial" w:cs="arial"/>
          <w:i/>
          <w:color w:val="000000"/>
          <w:sz w:val="20"/>
          <w:lang w:val="en-US" w:eastAsia="en-US" w:bidi="ar-SA"/>
        </w:rPr>
        <w:t>Cooper v. Hobart</w:t>
      </w:r>
      <w:r>
        <w:rPr>
          <w:rFonts w:ascii="arial" w:eastAsia="arial" w:hAnsi="arial" w:cs="arial"/>
          <w:color w:val="000000"/>
          <w:sz w:val="20"/>
          <w:lang w:val="en-US" w:eastAsia="en-US" w:bidi="ar-SA"/>
        </w:rPr>
        <w:t xml:space="preserve">, </w:t>
      </w:r>
      <w:hyperlink r:id="rId22" w:history="1">
        <w:r>
          <w:rPr>
            <w:rFonts w:ascii="arial" w:eastAsia="arial" w:hAnsi="arial" w:cs="arial"/>
            <w:i/>
            <w:color w:val="0077CC"/>
            <w:sz w:val="20"/>
            <w:u w:val="single"/>
            <w:shd w:val="clear" w:color="auto" w:fill="FFFFFF"/>
            <w:lang w:val="en-US" w:eastAsia="en-US" w:bidi="ar-SA"/>
          </w:rPr>
          <w:t>[2001] 3 S.C.R. 537</w:t>
        </w:r>
      </w:hyperlink>
      <w:r>
        <w:rPr>
          <w:rFonts w:ascii="arial" w:eastAsia="arial" w:hAnsi="arial" w:cs="arial"/>
          <w:color w:val="000000"/>
          <w:sz w:val="20"/>
          <w:lang w:val="en-US" w:eastAsia="en-US" w:bidi="ar-SA"/>
        </w:rPr>
        <w:t xml:space="preserve">, </w:t>
      </w:r>
      <w:hyperlink r:id="rId22" w:history="1">
        <w:r>
          <w:rPr>
            <w:rFonts w:ascii="arial" w:eastAsia="arial" w:hAnsi="arial" w:cs="arial"/>
            <w:i/>
            <w:color w:val="0077CC"/>
            <w:sz w:val="20"/>
            <w:u w:val="single"/>
            <w:shd w:val="clear" w:color="auto" w:fill="FFFFFF"/>
            <w:lang w:val="en-US" w:eastAsia="en-US" w:bidi="ar-SA"/>
          </w:rPr>
          <w:t>2001 SCC 79</w:t>
        </w:r>
      </w:hyperlink>
      <w:r>
        <w:rPr>
          <w:rFonts w:ascii="arial" w:eastAsia="arial" w:hAnsi="arial" w:cs="arial"/>
          <w:color w:val="000000"/>
          <w:sz w:val="20"/>
          <w:lang w:val="en-US" w:eastAsia="en-US" w:bidi="ar-SA"/>
        </w:rPr>
        <w:t xml:space="preserve">. The Court of Appeal concluded that to date the law has not recognized an action against a government authority for negligent breach of statutory duty by acting outside or contrary to the law. This being the case, the question was whether a new instance of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should be permitted. This question is resolved by asking whether a new kind of duty of care arises under the two-step </w:t>
      </w:r>
      <w:r>
        <w:rPr>
          <w:rFonts w:ascii="arial" w:eastAsia="arial" w:hAnsi="arial" w:cs="arial"/>
          <w:i/>
          <w:color w:val="000000"/>
          <w:sz w:val="20"/>
          <w:lang w:val="en-US" w:eastAsia="en-US" w:bidi="ar-SA"/>
        </w:rPr>
        <w:t>Anns</w:t>
      </w:r>
      <w:r>
        <w:rPr>
          <w:rFonts w:ascii="arial" w:eastAsia="arial" w:hAnsi="arial" w:cs="arial"/>
          <w:color w:val="000000"/>
          <w:sz w:val="20"/>
          <w:lang w:val="en-US" w:eastAsia="en-US" w:bidi="ar-SA"/>
        </w:rPr>
        <w:t xml:space="preserve"> inquiry. The Court of Appeal did not find it necessary to consider the first branch of </w:t>
      </w:r>
      <w:r>
        <w:rPr>
          <w:rFonts w:ascii="arial" w:eastAsia="arial" w:hAnsi="arial" w:cs="arial"/>
          <w:i/>
          <w:color w:val="000000"/>
          <w:sz w:val="20"/>
          <w:lang w:val="en-US" w:eastAsia="en-US" w:bidi="ar-SA"/>
        </w:rPr>
        <w:t>Anns</w:t>
      </w:r>
      <w:r>
        <w:rPr>
          <w:rFonts w:ascii="arial" w:eastAsia="arial" w:hAnsi="arial" w:cs="arial"/>
          <w:color w:val="000000"/>
          <w:sz w:val="20"/>
          <w:lang w:val="en-US" w:eastAsia="en-US" w:bidi="ar-SA"/>
        </w:rPr>
        <w:t>, holding that even if the requirement of proximity were established, residual policy considerations at the second step militate against recognizing such a cause of action.</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[9] ... </w:t>
      </w:r>
      <w:r>
        <w:rPr>
          <w:rFonts w:ascii="arial" w:eastAsia="arial" w:hAnsi="arial" w:cs="arial"/>
          <w:color w:val="000000"/>
          <w:sz w:val="20"/>
          <w:u w:val="single"/>
          <w:lang w:val="en-US" w:eastAsia="en-US" w:bidi="ar-SA"/>
        </w:rPr>
        <w:t xml:space="preserve">The law to date has not recognized an action for negligent breach of statutory duty. It is well established that mere breach of a statutory duty does not constitute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The Queen in Right of Canada v. Saskatchewan Wheat Pool</w:t>
      </w:r>
      <w:r>
        <w:rPr>
          <w:rFonts w:ascii="arial" w:eastAsia="arial" w:hAnsi="arial" w:cs="arial"/>
          <w:color w:val="000000"/>
          <w:sz w:val="20"/>
          <w:lang w:val="en-US" w:eastAsia="en-US" w:bidi="ar-SA"/>
        </w:rPr>
        <w:t xml:space="preserve">, </w:t>
      </w:r>
      <w:hyperlink r:id="rId33" w:history="1">
        <w:r>
          <w:rPr>
            <w:rFonts w:ascii="arial" w:eastAsia="arial" w:hAnsi="arial" w:cs="arial"/>
            <w:i/>
            <w:color w:val="0077CC"/>
            <w:sz w:val="20"/>
            <w:u w:val="single"/>
            <w:shd w:val="clear" w:color="auto" w:fill="FFFFFF"/>
            <w:lang w:val="en-US" w:eastAsia="en-US" w:bidi="ar-SA"/>
          </w:rPr>
          <w:t>[1983] 1 S.C.R. 205</w:t>
        </w:r>
      </w:hyperlink>
      <w:r>
        <w:rPr>
          <w:rFonts w:ascii="arial" w:eastAsia="arial" w:hAnsi="arial" w:cs="arial"/>
          <w:color w:val="000000"/>
          <w:sz w:val="20"/>
          <w:lang w:val="en-US" w:eastAsia="en-US" w:bidi="ar-SA"/>
        </w:rPr>
        <w:t>. The proper remedy for breach of statutory duty by a public authority, traditionally viewed, is judicial review for invalidity. The appellant pursued this remedy before Gerein C.J.Q.B. and obtained a declaration that the government's action of reducing the herd certification status was unlawful and invalid. No parallel action lies in tort.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[Emphasis added.]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160</w:t>
      </w:r>
      <w:r>
        <w:rPr>
          <w:rFonts w:ascii="arial" w:eastAsia="arial" w:hAnsi="arial" w:cs="arial"/>
          <w:color w:val="000000"/>
          <w:sz w:val="20"/>
          <w:lang w:val="en-US" w:eastAsia="en-US" w:bidi="ar-SA"/>
        </w:rPr>
        <w:t xml:space="preserve">  The defendant also relies on </w:t>
      </w:r>
      <w:r>
        <w:rPr>
          <w:rFonts w:ascii="arial" w:eastAsia="arial" w:hAnsi="arial" w:cs="arial"/>
          <w:i/>
          <w:color w:val="000000"/>
          <w:sz w:val="20"/>
          <w:lang w:val="en-US" w:eastAsia="en-US" w:bidi="ar-SA"/>
        </w:rPr>
        <w:t>Canada (Attorney General) v. TeleZone Inc.</w:t>
      </w:r>
      <w:r>
        <w:rPr>
          <w:rFonts w:ascii="arial" w:eastAsia="arial" w:hAnsi="arial" w:cs="arial"/>
          <w:color w:val="000000"/>
          <w:sz w:val="20"/>
          <w:lang w:val="en-US" w:eastAsia="en-US" w:bidi="ar-SA"/>
        </w:rPr>
        <w:t xml:space="preserve">, </w:t>
      </w:r>
      <w:hyperlink r:id="rId34" w:history="1">
        <w:r>
          <w:rPr>
            <w:rFonts w:ascii="arial" w:eastAsia="arial" w:hAnsi="arial" w:cs="arial"/>
            <w:i/>
            <w:color w:val="0077CC"/>
            <w:sz w:val="20"/>
            <w:u w:val="single"/>
            <w:shd w:val="clear" w:color="auto" w:fill="FFFFFF"/>
            <w:lang w:val="en-US" w:eastAsia="en-US" w:bidi="ar-SA"/>
          </w:rPr>
          <w:t>2010 SCC 62</w:t>
        </w:r>
      </w:hyperlink>
      <w:r>
        <w:rPr>
          <w:rFonts w:ascii="arial" w:eastAsia="arial" w:hAnsi="arial" w:cs="arial"/>
          <w:color w:val="000000"/>
          <w:sz w:val="20"/>
          <w:lang w:val="en-US" w:eastAsia="en-US" w:bidi="ar-SA"/>
        </w:rPr>
        <w:t xml:space="preserve">. In that case </w:t>
      </w:r>
      <w:r>
        <w:rPr>
          <w:rFonts w:ascii="arial" w:eastAsia="arial" w:hAnsi="arial" w:cs="arial"/>
          <w:i/>
          <w:color w:val="000000"/>
          <w:sz w:val="20"/>
          <w:lang w:val="en-US" w:eastAsia="en-US" w:bidi="ar-SA"/>
        </w:rPr>
        <w:t>TeleZone</w:t>
      </w:r>
      <w:r>
        <w:rPr>
          <w:rFonts w:ascii="arial" w:eastAsia="arial" w:hAnsi="arial" w:cs="arial"/>
          <w:color w:val="000000"/>
          <w:sz w:val="20"/>
          <w:lang w:val="en-US" w:eastAsia="en-US" w:bidi="ar-SA"/>
        </w:rPr>
        <w:t xml:space="preserve"> submitted an application for a personal communication services licence but was not selected for a licence by Industry Canada. </w:t>
      </w:r>
      <w:r>
        <w:rPr>
          <w:rFonts w:ascii="arial" w:eastAsia="arial" w:hAnsi="arial" w:cs="arial"/>
          <w:i/>
          <w:color w:val="000000"/>
          <w:sz w:val="20"/>
          <w:lang w:val="en-US" w:eastAsia="en-US" w:bidi="ar-SA"/>
        </w:rPr>
        <w:t>TeleZone</w:t>
      </w:r>
      <w:r>
        <w:rPr>
          <w:rFonts w:ascii="arial" w:eastAsia="arial" w:hAnsi="arial" w:cs="arial"/>
          <w:color w:val="000000"/>
          <w:sz w:val="20"/>
          <w:lang w:val="en-US" w:eastAsia="en-US" w:bidi="ar-SA"/>
        </w:rPr>
        <w:t xml:space="preserve"> filed an action against the Federal Crown in the Ontario Superior Court of Justice for breach of contract,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and unjust enrichment, and sought compensation for claimed losses of $250 million. It claimed that it was an express or implied term of the policy statement that Industry Canada would only issue fewer than six licences if fewer than six applications met the criteria and that they met the criteria.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161</w:t>
      </w:r>
      <w:r>
        <w:rPr>
          <w:rFonts w:ascii="arial" w:eastAsia="arial" w:hAnsi="arial" w:cs="arial"/>
          <w:color w:val="000000"/>
          <w:sz w:val="20"/>
          <w:lang w:val="en-US" w:eastAsia="en-US" w:bidi="ar-SA"/>
        </w:rPr>
        <w:t xml:space="preserve">  Mr. Justice Binnie made the following comments distinguishing judicial review for unlawful government action and damages arising from government's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[28]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is also alleged by TeleZone. Tort liability, of course, is based on fault, not invalidity. As the Court made clear many years ago in </w:t>
      </w:r>
      <w:r>
        <w:rPr>
          <w:rFonts w:ascii="arial" w:eastAsia="arial" w:hAnsi="arial" w:cs="arial"/>
          <w:i/>
          <w:color w:val="000000"/>
          <w:sz w:val="20"/>
          <w:lang w:val="en-US" w:eastAsia="en-US" w:bidi="ar-SA"/>
        </w:rPr>
        <w:t>The Queen in Right of Canada v. Saskatchewan Wheat Pool</w:t>
      </w:r>
      <w:r>
        <w:rPr>
          <w:rFonts w:ascii="arial" w:eastAsia="arial" w:hAnsi="arial" w:cs="arial"/>
          <w:color w:val="000000"/>
          <w:sz w:val="20"/>
          <w:lang w:val="en-US" w:eastAsia="en-US" w:bidi="ar-SA"/>
        </w:rPr>
        <w:t xml:space="preserve">, </w:t>
      </w:r>
      <w:hyperlink r:id="rId33" w:history="1">
        <w:r>
          <w:rPr>
            <w:rFonts w:ascii="arial" w:eastAsia="arial" w:hAnsi="arial" w:cs="arial"/>
            <w:i/>
            <w:color w:val="0077CC"/>
            <w:sz w:val="20"/>
            <w:u w:val="single"/>
            <w:shd w:val="clear" w:color="auto" w:fill="FFFFFF"/>
            <w:lang w:val="en-US" w:eastAsia="en-US" w:bidi="ar-SA"/>
          </w:rPr>
          <w:t>[1983] 1 S.C.R. 205</w:t>
        </w:r>
      </w:hyperlink>
      <w:r>
        <w:rPr>
          <w:rFonts w:ascii="arial" w:eastAsia="arial" w:hAnsi="arial" w:cs="arial"/>
          <w:color w:val="000000"/>
          <w:sz w:val="20"/>
          <w:lang w:val="en-US" w:eastAsia="en-US" w:bidi="ar-SA"/>
        </w:rPr>
        <w:t>, at pp. 222-225, breach of a statute is neither necessary nor is it sufficient to ground a private cause of action. It is not necessary because a government decision that is perfectly valid may nevertheless give rise to liability in contract (</w:t>
      </w:r>
      <w:r>
        <w:rPr>
          <w:rFonts w:ascii="arial" w:eastAsia="arial" w:hAnsi="arial" w:cs="arial"/>
          <w:i/>
          <w:color w:val="000000"/>
          <w:sz w:val="20"/>
          <w:lang w:val="en-US" w:eastAsia="en-US" w:bidi="ar-SA"/>
        </w:rPr>
        <w:t>Agricultural Research Institute of Ontario v. Campbell-High</w:t>
      </w:r>
      <w:r>
        <w:rPr>
          <w:rFonts w:ascii="arial" w:eastAsia="arial" w:hAnsi="arial" w:cs="arial"/>
          <w:color w:val="000000"/>
          <w:sz w:val="20"/>
          <w:lang w:val="en-US" w:eastAsia="en-US" w:bidi="ar-SA"/>
        </w:rPr>
        <w:t xml:space="preserve"> </w:t>
      </w:r>
      <w:hyperlink r:id="rId35" w:history="1">
        <w:r>
          <w:rPr>
            <w:rFonts w:ascii="arial" w:eastAsia="arial" w:hAnsi="arial" w:cs="arial"/>
            <w:i/>
            <w:color w:val="0077CC"/>
            <w:sz w:val="20"/>
            <w:u w:val="single"/>
            <w:shd w:val="clear" w:color="auto" w:fill="FFFFFF"/>
            <w:lang w:val="en-US" w:eastAsia="en-US" w:bidi="ar-SA"/>
          </w:rPr>
          <w:t>(2002), 58 O.R. (3d) 321</w:t>
        </w:r>
      </w:hyperlink>
      <w:r>
        <w:rPr>
          <w:rFonts w:ascii="arial" w:eastAsia="arial" w:hAnsi="arial" w:cs="arial"/>
          <w:color w:val="000000"/>
          <w:sz w:val="20"/>
          <w:lang w:val="en-US" w:eastAsia="en-US" w:bidi="ar-SA"/>
        </w:rPr>
        <w:t xml:space="preserve"> (C.A.), leave to appeal refused, [2003] 1 S.C.R. vii) or tort (</w:t>
      </w:r>
      <w:r>
        <w:rPr>
          <w:rFonts w:ascii="arial" w:eastAsia="arial" w:hAnsi="arial" w:cs="arial"/>
          <w:i/>
          <w:color w:val="000000"/>
          <w:sz w:val="20"/>
          <w:lang w:val="en-US" w:eastAsia="en-US" w:bidi="ar-SA"/>
        </w:rPr>
        <w:t>Ryan v. Victoria (City)</w:t>
      </w:r>
      <w:r>
        <w:rPr>
          <w:rFonts w:ascii="arial" w:eastAsia="arial" w:hAnsi="arial" w:cs="arial"/>
          <w:color w:val="000000"/>
          <w:sz w:val="20"/>
          <w:lang w:val="en-US" w:eastAsia="en-US" w:bidi="ar-SA"/>
        </w:rPr>
        <w:t xml:space="preserve">, </w:t>
      </w:r>
      <w:hyperlink r:id="rId36" w:history="1">
        <w:r>
          <w:rPr>
            <w:rFonts w:ascii="arial" w:eastAsia="arial" w:hAnsi="arial" w:cs="arial"/>
            <w:i/>
            <w:color w:val="0077CC"/>
            <w:sz w:val="20"/>
            <w:u w:val="single"/>
            <w:shd w:val="clear" w:color="auto" w:fill="FFFFFF"/>
            <w:lang w:val="en-US" w:eastAsia="en-US" w:bidi="ar-SA"/>
          </w:rPr>
          <w:t>[1999] 1 S.C.R. 201</w:t>
        </w:r>
      </w:hyperlink>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[29] Nor is a breach of statutory power necessarily sufficient. Many losses caused by government decision making do not give rise to any cause of action known to the law. As the Attorney General correctly points out, "[e]ven if a discretionary decision of a federal board, commission or tribunal has been declared invalid or unlawful, that in itself does not create a cause of action in tort or under the Quebec regime of civil liability" (Factum, at para. 28).</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162</w:t>
      </w:r>
      <w:r>
        <w:rPr>
          <w:rFonts w:ascii="arial" w:eastAsia="arial" w:hAnsi="arial" w:cs="arial"/>
          <w:color w:val="000000"/>
          <w:sz w:val="20"/>
          <w:lang w:val="en-US" w:eastAsia="en-US" w:bidi="ar-SA"/>
        </w:rPr>
        <w:t xml:space="preserve">  Finally, the defendants also rely on </w:t>
      </w:r>
      <w:r>
        <w:rPr>
          <w:rFonts w:ascii="arial" w:eastAsia="arial" w:hAnsi="arial" w:cs="arial"/>
          <w:i/>
          <w:color w:val="000000"/>
          <w:sz w:val="20"/>
          <w:lang w:val="en-US" w:eastAsia="en-US" w:bidi="ar-SA"/>
        </w:rPr>
        <w:t>Logan v. Dermatech</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Intradermal Distribution Inc.</w:t>
      </w:r>
      <w:r>
        <w:rPr>
          <w:rFonts w:ascii="arial" w:eastAsia="arial" w:hAnsi="arial" w:cs="arial"/>
          <w:color w:val="000000"/>
          <w:sz w:val="20"/>
          <w:lang w:val="en-US" w:eastAsia="en-US" w:bidi="ar-SA"/>
        </w:rPr>
        <w:t xml:space="preserve">, </w:t>
      </w:r>
      <w:hyperlink r:id="rId37" w:history="1">
        <w:r>
          <w:rPr>
            <w:rFonts w:ascii="arial" w:eastAsia="arial" w:hAnsi="arial" w:cs="arial"/>
            <w:i/>
            <w:color w:val="0077CC"/>
            <w:sz w:val="20"/>
            <w:u w:val="single"/>
            <w:shd w:val="clear" w:color="auto" w:fill="FFFFFF"/>
            <w:lang w:val="en-US" w:eastAsia="en-US" w:bidi="ar-SA"/>
          </w:rPr>
          <w:t>2010 BCSC 481</w:t>
        </w:r>
      </w:hyperlink>
      <w:r>
        <w:rPr>
          <w:rFonts w:ascii="arial" w:eastAsia="arial" w:hAnsi="arial" w:cs="arial"/>
          <w:color w:val="000000"/>
          <w:sz w:val="20"/>
          <w:lang w:val="en-US" w:eastAsia="en-US" w:bidi="ar-SA"/>
        </w:rPr>
        <w:t>. In that case the plaintiff sued the defendants Intradermal Distribution Inc., Vivier Pharma Inc., and Dermatech for serious side effects arising from the use of the product Dermalive. The defendants issued third party notice against Health Canada, which applied to strike out and dismiss the third party claim against them. Mr. Justice Sewell held: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[12] Health Canada has persuaded me that it is plain and obvious that the Amended Third Party Notice discloses no reasonable cause of action against it. In my view, the facts of this case are indistinguishable from the facts of the three Ontario appellate decisions of </w:t>
      </w:r>
      <w:r>
        <w:rPr>
          <w:rFonts w:ascii="arial" w:eastAsia="arial" w:hAnsi="arial" w:cs="arial"/>
          <w:i/>
          <w:color w:val="000000"/>
          <w:sz w:val="20"/>
          <w:lang w:val="en-US" w:eastAsia="en-US" w:bidi="ar-SA"/>
        </w:rPr>
        <w:t xml:space="preserve">Klein, Drady </w:t>
      </w:r>
      <w:hyperlink r:id="rId38" w:history="1">
        <w:r>
          <w:rPr>
            <w:rFonts w:ascii="arial" w:eastAsia="arial" w:hAnsi="arial" w:cs="arial"/>
            <w:i/>
            <w:color w:val="0077CC"/>
            <w:sz w:val="20"/>
            <w:u w:val="single"/>
            <w:shd w:val="clear" w:color="auto" w:fill="FFFFFF"/>
            <w:lang w:val="en-US" w:eastAsia="en-US" w:bidi="ar-SA"/>
          </w:rPr>
          <w:t>[2008] O.J. No. 3772</w:t>
        </w:r>
      </w:hyperlink>
      <w:r>
        <w:rPr>
          <w:rFonts w:ascii="arial" w:eastAsia="arial" w:hAnsi="arial" w:cs="arial"/>
          <w:i/>
          <w:color w:val="000000"/>
          <w:sz w:val="20"/>
          <w:lang w:val="en-US" w:eastAsia="en-US" w:bidi="ar-SA"/>
        </w:rPr>
        <w:t xml:space="preserve"> and Attis.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[18] </w:t>
      </w:r>
      <w:r>
        <w:rPr>
          <w:rFonts w:ascii="arial" w:eastAsia="arial" w:hAnsi="arial" w:cs="arial"/>
          <w:color w:val="000000"/>
          <w:sz w:val="20"/>
          <w:u w:val="single"/>
          <w:lang w:val="en-US" w:eastAsia="en-US" w:bidi="ar-SA"/>
        </w:rPr>
        <w:t>In my view, the authorities have established that the exercise of licensing power by Health Canada falls within a recognized category of immunity with respect to a duty of care, and that Health Canada therefore owed no duty of care with respect to its licensing of Dermalive.</w:t>
      </w:r>
      <w:r>
        <w:rPr>
          <w:rFonts w:ascii="arial" w:eastAsia="arial" w:hAnsi="arial" w:cs="arial"/>
          <w:color w:val="000000"/>
          <w:sz w:val="20"/>
          <w:lang w:val="en-US" w:eastAsia="en-US" w:bidi="ar-SA"/>
        </w:rPr>
        <w:t xml:space="preserve"> No useful purpose would be served by my repeating the analysis contained in the trilogy of Ontario cases and in particular in </w:t>
      </w:r>
      <w:r>
        <w:rPr>
          <w:rFonts w:ascii="arial" w:eastAsia="arial" w:hAnsi="arial" w:cs="arial"/>
          <w:i/>
          <w:color w:val="000000"/>
          <w:sz w:val="20"/>
          <w:lang w:val="en-US" w:eastAsia="en-US" w:bidi="ar-SA"/>
        </w:rPr>
        <w:t>Attis v. Canada</w:t>
      </w:r>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[19] In seeking to distinguish the trilogy of Ontario cases the defendants rely upon the decision of our Court of Appeal in </w:t>
      </w:r>
      <w:r>
        <w:rPr>
          <w:rFonts w:ascii="arial" w:eastAsia="arial" w:hAnsi="arial" w:cs="arial"/>
          <w:i/>
          <w:color w:val="000000"/>
          <w:sz w:val="20"/>
          <w:lang w:val="en-US" w:eastAsia="en-US" w:bidi="ar-SA"/>
        </w:rPr>
        <w:t>Knight v. Imperial Tobacco Canada Ltd.</w:t>
      </w:r>
      <w:r>
        <w:rPr>
          <w:rFonts w:ascii="arial" w:eastAsia="arial" w:hAnsi="arial" w:cs="arial"/>
          <w:color w:val="000000"/>
          <w:sz w:val="20"/>
          <w:lang w:val="en-US" w:eastAsia="en-US" w:bidi="ar-SA"/>
        </w:rPr>
        <w:t xml:space="preserve">, </w:t>
      </w:r>
      <w:hyperlink r:id="rId39" w:history="1">
        <w:r>
          <w:rPr>
            <w:rFonts w:ascii="arial" w:eastAsia="arial" w:hAnsi="arial" w:cs="arial"/>
            <w:i/>
            <w:color w:val="0077CC"/>
            <w:sz w:val="20"/>
            <w:u w:val="single"/>
            <w:shd w:val="clear" w:color="auto" w:fill="FFFFFF"/>
            <w:lang w:val="en-US" w:eastAsia="en-US" w:bidi="ar-SA"/>
          </w:rPr>
          <w:t>2009 BCCA 541</w:t>
        </w:r>
      </w:hyperlink>
      <w:r>
        <w:rPr>
          <w:rFonts w:ascii="arial" w:eastAsia="arial" w:hAnsi="arial" w:cs="arial"/>
          <w:color w:val="000000"/>
          <w:sz w:val="20"/>
          <w:lang w:val="en-US" w:eastAsia="en-US" w:bidi="ar-SA"/>
        </w:rPr>
        <w:t xml:space="preserve">. However, in my view, the claim that the Court allowed to stand in </w:t>
      </w:r>
      <w:r>
        <w:rPr>
          <w:rFonts w:ascii="arial" w:eastAsia="arial" w:hAnsi="arial" w:cs="arial"/>
          <w:i/>
          <w:color w:val="000000"/>
          <w:sz w:val="20"/>
          <w:lang w:val="en-US" w:eastAsia="en-US" w:bidi="ar-SA"/>
        </w:rPr>
        <w:t>Knight</w:t>
      </w:r>
      <w:r>
        <w:rPr>
          <w:rFonts w:ascii="arial" w:eastAsia="arial" w:hAnsi="arial" w:cs="arial"/>
          <w:color w:val="000000"/>
          <w:sz w:val="20"/>
          <w:lang w:val="en-US" w:eastAsia="en-US" w:bidi="ar-SA"/>
        </w:rPr>
        <w:t xml:space="preserve"> was based not on the activities of Health Canada as regulator but on its activities as a developer and promoter of a particular form of "light" tobacco. In paragraph 59 of Mr. Justice Tysoe's decision he distinguishes </w:t>
      </w:r>
      <w:r>
        <w:rPr>
          <w:rFonts w:ascii="arial" w:eastAsia="arial" w:hAnsi="arial" w:cs="arial"/>
          <w:i/>
          <w:color w:val="000000"/>
          <w:sz w:val="20"/>
          <w:lang w:val="en-US" w:eastAsia="en-US" w:bidi="ar-SA"/>
        </w:rPr>
        <w:t>Klein</w:t>
      </w:r>
      <w:r>
        <w:rPr>
          <w:rFonts w:ascii="arial" w:eastAsia="arial" w:hAnsi="arial" w:cs="arial"/>
          <w:color w:val="000000"/>
          <w:sz w:val="20"/>
          <w:lang w:val="en-US" w:eastAsia="en-US" w:bidi="ar-SA"/>
        </w:rPr>
        <w:t xml:space="preserve"> and </w:t>
      </w:r>
      <w:r>
        <w:rPr>
          <w:rFonts w:ascii="arial" w:eastAsia="arial" w:hAnsi="arial" w:cs="arial"/>
          <w:i/>
          <w:color w:val="000000"/>
          <w:sz w:val="20"/>
          <w:lang w:val="en-US" w:eastAsia="en-US" w:bidi="ar-SA"/>
        </w:rPr>
        <w:t>Attis</w:t>
      </w:r>
      <w:r>
        <w:rPr>
          <w:rFonts w:ascii="arial" w:eastAsia="arial" w:hAnsi="arial" w:cs="arial"/>
          <w:color w:val="000000"/>
          <w:sz w:val="20"/>
          <w:lang w:val="en-US" w:eastAsia="en-US" w:bidi="ar-SA"/>
        </w:rPr>
        <w:t xml:space="preserve"> on the basis that in those cases the governmental body was acting solely in its capacity as regulator.</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[20] </w:t>
      </w:r>
      <w:r>
        <w:rPr>
          <w:rFonts w:ascii="arial" w:eastAsia="arial" w:hAnsi="arial" w:cs="arial"/>
          <w:color w:val="000000"/>
          <w:sz w:val="20"/>
          <w:u w:val="single"/>
          <w:lang w:val="en-US" w:eastAsia="en-US" w:bidi="ar-SA"/>
        </w:rPr>
        <w:t>In this case the allegations against Health Canada relate solely to its role as regulator.</w:t>
      </w:r>
      <w:r>
        <w:rPr>
          <w:rFonts w:ascii="arial" w:eastAsia="arial" w:hAnsi="arial" w:cs="arial"/>
          <w:color w:val="000000"/>
          <w:sz w:val="20"/>
          <w:lang w:val="en-US" w:eastAsia="en-US" w:bidi="ar-SA"/>
        </w:rPr>
        <w:t xml:space="preserve"> [Emphasis added.]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163</w:t>
      </w:r>
      <w:r>
        <w:rPr>
          <w:rFonts w:ascii="arial" w:eastAsia="arial" w:hAnsi="arial" w:cs="arial"/>
          <w:color w:val="000000"/>
          <w:sz w:val="20"/>
          <w:lang w:val="en-US" w:eastAsia="en-US" w:bidi="ar-SA"/>
        </w:rPr>
        <w:t xml:space="preserve">  Using the "who" and "what" analysis referred to in </w:t>
      </w:r>
      <w:r>
        <w:rPr>
          <w:rFonts w:ascii="arial" w:eastAsia="arial" w:hAnsi="arial" w:cs="arial"/>
          <w:i/>
          <w:color w:val="000000"/>
          <w:sz w:val="20"/>
          <w:lang w:val="en-US" w:eastAsia="en-US" w:bidi="ar-SA"/>
        </w:rPr>
        <w:t>LA Salad, SC</w:t>
      </w:r>
      <w:r>
        <w:rPr>
          <w:rFonts w:ascii="arial" w:eastAsia="arial" w:hAnsi="arial" w:cs="arial"/>
          <w:color w:val="000000"/>
          <w:sz w:val="20"/>
          <w:lang w:val="en-US" w:eastAsia="en-US" w:bidi="ar-SA"/>
        </w:rPr>
        <w:t>, there is no existing case authority which establishes a duty of care in analogous circumstances which gives rise to a cause of action against Transport Canada or the personal defendants.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164</w:t>
      </w:r>
      <w:r>
        <w:rPr>
          <w:rFonts w:ascii="arial" w:eastAsia="arial" w:hAnsi="arial" w:cs="arial"/>
          <w:color w:val="000000"/>
          <w:sz w:val="20"/>
          <w:lang w:val="en-US" w:eastAsia="en-US" w:bidi="ar-SA"/>
        </w:rPr>
        <w:t xml:space="preserve">  Although it is clear there is no cause of action against the defendants for breaching the regulations or acting unlawfully as regulators, I do not accept the defendants' argument that the plaintiff's allegation falls within a recognized category of immunity. The cases that the defendants point to in which a duty of care was not found in similar fact circumstances involving economic loss were decided in the context of different statutory schemes than that presented by the </w:t>
      </w:r>
      <w:r>
        <w:rPr>
          <w:rFonts w:ascii="arial" w:eastAsia="arial" w:hAnsi="arial" w:cs="arial"/>
          <w:i/>
          <w:color w:val="000000"/>
          <w:sz w:val="20"/>
          <w:lang w:val="en-US" w:eastAsia="en-US" w:bidi="ar-SA"/>
        </w:rPr>
        <w:t>Act</w:t>
      </w:r>
      <w:r>
        <w:rPr>
          <w:rFonts w:ascii="arial" w:eastAsia="arial" w:hAnsi="arial" w:cs="arial"/>
          <w:color w:val="000000"/>
          <w:sz w:val="20"/>
          <w:lang w:val="en-US" w:eastAsia="en-US" w:bidi="ar-SA"/>
        </w:rPr>
        <w:t xml:space="preserve"> and </w:t>
      </w:r>
      <w:r>
        <w:rPr>
          <w:rFonts w:ascii="arial" w:eastAsia="arial" w:hAnsi="arial" w:cs="arial"/>
          <w:i/>
          <w:color w:val="000000"/>
          <w:sz w:val="20"/>
          <w:lang w:val="en-US" w:eastAsia="en-US" w:bidi="ar-SA"/>
        </w:rPr>
        <w:t>CARs.</w:t>
      </w:r>
      <w:r>
        <w:rPr>
          <w:rFonts w:ascii="arial" w:eastAsia="arial" w:hAnsi="arial" w:cs="arial"/>
          <w:color w:val="000000"/>
          <w:sz w:val="20"/>
          <w:lang w:val="en-US" w:eastAsia="en-US" w:bidi="ar-SA"/>
        </w:rPr>
        <w:t xml:space="preserve"> An analysis of the statutory scheme is critical in considering whether a duty of care arises. Without the benefit of an analysis already undertaken of the </w:t>
      </w:r>
      <w:r>
        <w:rPr>
          <w:rFonts w:ascii="arial" w:eastAsia="arial" w:hAnsi="arial" w:cs="arial"/>
          <w:i/>
          <w:color w:val="000000"/>
          <w:sz w:val="20"/>
          <w:lang w:val="en-US" w:eastAsia="en-US" w:bidi="ar-SA"/>
        </w:rPr>
        <w:t>Act</w:t>
      </w:r>
      <w:r>
        <w:rPr>
          <w:rFonts w:ascii="arial" w:eastAsia="arial" w:hAnsi="arial" w:cs="arial"/>
          <w:color w:val="000000"/>
          <w:sz w:val="20"/>
          <w:lang w:val="en-US" w:eastAsia="en-US" w:bidi="ar-SA"/>
        </w:rPr>
        <w:t xml:space="preserve"> and the </w:t>
      </w:r>
      <w:r>
        <w:rPr>
          <w:rFonts w:ascii="arial" w:eastAsia="arial" w:hAnsi="arial" w:cs="arial"/>
          <w:i/>
          <w:color w:val="000000"/>
          <w:sz w:val="20"/>
          <w:lang w:val="en-US" w:eastAsia="en-US" w:bidi="ar-SA"/>
        </w:rPr>
        <w:t>CARs</w:t>
      </w:r>
      <w:r>
        <w:rPr>
          <w:rFonts w:ascii="arial" w:eastAsia="arial" w:hAnsi="arial" w:cs="arial"/>
          <w:color w:val="000000"/>
          <w:sz w:val="20"/>
          <w:lang w:val="en-US" w:eastAsia="en-US" w:bidi="ar-SA"/>
        </w:rPr>
        <w:t xml:space="preserve">, I am of the view an </w:t>
      </w:r>
      <w:r>
        <w:rPr>
          <w:rFonts w:ascii="arial" w:eastAsia="arial" w:hAnsi="arial" w:cs="arial"/>
          <w:i/>
          <w:color w:val="000000"/>
          <w:sz w:val="20"/>
          <w:lang w:val="en-US" w:eastAsia="en-US" w:bidi="ar-SA"/>
        </w:rPr>
        <w:t>Anns-Cooper</w:t>
      </w:r>
      <w:r>
        <w:rPr>
          <w:rFonts w:ascii="arial" w:eastAsia="arial" w:hAnsi="arial" w:cs="arial"/>
          <w:color w:val="000000"/>
          <w:sz w:val="20"/>
          <w:lang w:val="en-US" w:eastAsia="en-US" w:bidi="ar-SA"/>
        </w:rPr>
        <w:t xml:space="preserve"> analysis must be done to assess whether a duty of care was owed by the defendants.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165</w:t>
      </w:r>
      <w:r>
        <w:rPr>
          <w:rFonts w:ascii="arial" w:eastAsia="arial" w:hAnsi="arial" w:cs="arial"/>
          <w:color w:val="000000"/>
          <w:sz w:val="20"/>
          <w:lang w:val="en-US" w:eastAsia="en-US" w:bidi="ar-SA"/>
        </w:rPr>
        <w:t xml:space="preserve">  I therefore turn to the </w:t>
      </w:r>
      <w:r>
        <w:rPr>
          <w:rFonts w:ascii="arial" w:eastAsia="arial" w:hAnsi="arial" w:cs="arial"/>
          <w:i/>
          <w:color w:val="000000"/>
          <w:sz w:val="20"/>
          <w:lang w:val="en-US" w:eastAsia="en-US" w:bidi="ar-SA"/>
        </w:rPr>
        <w:t>Anns-Cooper</w:t>
      </w:r>
      <w:r>
        <w:rPr>
          <w:rFonts w:ascii="arial" w:eastAsia="arial" w:hAnsi="arial" w:cs="arial"/>
          <w:color w:val="000000"/>
          <w:sz w:val="20"/>
          <w:lang w:val="en-US" w:eastAsia="en-US" w:bidi="ar-SA"/>
        </w:rPr>
        <w:t xml:space="preserve"> analysis in which it is necessary to consider first, whether there is, in the relationship between the parties, reasonable foreseeability of harm to the plaintiff from the defendant's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second, whether there is sufficient proximity between the parties to make it just and fair to impose a </w:t>
      </w:r>
      <w:r>
        <w:rPr>
          <w:rFonts w:ascii="arial" w:eastAsia="arial" w:hAnsi="arial" w:cs="arial"/>
          <w:i/>
          <w:color w:val="000000"/>
          <w:sz w:val="20"/>
          <w:lang w:val="en-US" w:eastAsia="en-US" w:bidi="ar-SA"/>
        </w:rPr>
        <w:t>prima facie</w:t>
      </w:r>
      <w:r>
        <w:rPr>
          <w:rFonts w:ascii="arial" w:eastAsia="arial" w:hAnsi="arial" w:cs="arial"/>
          <w:color w:val="000000"/>
          <w:sz w:val="20"/>
          <w:lang w:val="en-US" w:eastAsia="en-US" w:bidi="ar-SA"/>
        </w:rPr>
        <w:t xml:space="preserve"> duty of care and thirdly, if a </w:t>
      </w:r>
      <w:r>
        <w:rPr>
          <w:rFonts w:ascii="arial" w:eastAsia="arial" w:hAnsi="arial" w:cs="arial"/>
          <w:i/>
          <w:color w:val="000000"/>
          <w:sz w:val="20"/>
          <w:lang w:val="en-US" w:eastAsia="en-US" w:bidi="ar-SA"/>
        </w:rPr>
        <w:t>prima facie</w:t>
      </w:r>
      <w:r>
        <w:rPr>
          <w:rFonts w:ascii="arial" w:eastAsia="arial" w:hAnsi="arial" w:cs="arial"/>
          <w:color w:val="000000"/>
          <w:sz w:val="20"/>
          <w:lang w:val="en-US" w:eastAsia="en-US" w:bidi="ar-SA"/>
        </w:rPr>
        <w:t xml:space="preserve"> duty of care arises, whether there are residual policy considerations outside of the relationship of the parties that ought to negate or limit the </w:t>
      </w:r>
      <w:r>
        <w:rPr>
          <w:rFonts w:ascii="arial" w:eastAsia="arial" w:hAnsi="arial" w:cs="arial"/>
          <w:i/>
          <w:color w:val="000000"/>
          <w:sz w:val="20"/>
          <w:lang w:val="en-US" w:eastAsia="en-US" w:bidi="ar-SA"/>
        </w:rPr>
        <w:t>prima facie</w:t>
      </w:r>
      <w:r>
        <w:rPr>
          <w:rFonts w:ascii="arial" w:eastAsia="arial" w:hAnsi="arial" w:cs="arial"/>
          <w:color w:val="000000"/>
          <w:sz w:val="20"/>
          <w:lang w:val="en-US" w:eastAsia="en-US" w:bidi="ar-SA"/>
        </w:rPr>
        <w:t xml:space="preserve"> duty.</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Was There a Reasonable Foreseeability of Harm to IEA Resulting from the NOS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166</w:t>
      </w:r>
      <w:r>
        <w:rPr>
          <w:rFonts w:ascii="arial" w:eastAsia="arial" w:hAnsi="arial" w:cs="arial"/>
          <w:color w:val="000000"/>
          <w:sz w:val="20"/>
          <w:lang w:val="en-US" w:eastAsia="en-US" w:bidi="ar-SA"/>
        </w:rPr>
        <w:t xml:space="preserve">  It is the plaintiff's position that reasonable foreseeability is easily established. Given that the </w:t>
      </w:r>
      <w:r>
        <w:rPr>
          <w:rFonts w:ascii="arial" w:eastAsia="arial" w:hAnsi="arial" w:cs="arial"/>
          <w:i/>
          <w:color w:val="000000"/>
          <w:sz w:val="20"/>
          <w:lang w:val="en-US" w:eastAsia="en-US" w:bidi="ar-SA"/>
        </w:rPr>
        <w:t>CARs</w:t>
      </w:r>
      <w:r>
        <w:rPr>
          <w:rFonts w:ascii="arial" w:eastAsia="arial" w:hAnsi="arial" w:cs="arial"/>
          <w:color w:val="000000"/>
          <w:sz w:val="20"/>
          <w:lang w:val="en-US" w:eastAsia="en-US" w:bidi="ar-SA"/>
        </w:rPr>
        <w:t xml:space="preserve"> prohibit an air operator from operating aircraft without a Certificate, it was obvious that an immediate suspension of IEA's Certificate would deprive IEA of its ability to generate revenue.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167</w:t>
      </w:r>
      <w:r>
        <w:rPr>
          <w:rFonts w:ascii="arial" w:eastAsia="arial" w:hAnsi="arial" w:cs="arial"/>
          <w:color w:val="000000"/>
          <w:sz w:val="20"/>
          <w:lang w:val="en-US" w:eastAsia="en-US" w:bidi="ar-SA"/>
        </w:rPr>
        <w:t xml:space="preserve">  The plaintiff must satisfy the court that the type of harm that occurred was foreseeable to a reasonable person standing in the defendants' position: </w:t>
      </w:r>
      <w:r>
        <w:rPr>
          <w:rFonts w:ascii="arial" w:eastAsia="arial" w:hAnsi="arial" w:cs="arial"/>
          <w:i/>
          <w:color w:val="000000"/>
          <w:sz w:val="20"/>
          <w:lang w:val="en-US" w:eastAsia="en-US" w:bidi="ar-SA"/>
        </w:rPr>
        <w:t>Mustapha v. Culligan of Canada Ltd.</w:t>
      </w:r>
      <w:r>
        <w:rPr>
          <w:rFonts w:ascii="arial" w:eastAsia="arial" w:hAnsi="arial" w:cs="arial"/>
          <w:color w:val="000000"/>
          <w:sz w:val="20"/>
          <w:lang w:val="en-US" w:eastAsia="en-US" w:bidi="ar-SA"/>
        </w:rPr>
        <w:t xml:space="preserve">, </w:t>
      </w:r>
      <w:hyperlink r:id="rId40" w:history="1">
        <w:r>
          <w:rPr>
            <w:rFonts w:ascii="arial" w:eastAsia="arial" w:hAnsi="arial" w:cs="arial"/>
            <w:i/>
            <w:color w:val="0077CC"/>
            <w:sz w:val="20"/>
            <w:u w:val="single"/>
            <w:shd w:val="clear" w:color="auto" w:fill="FFFFFF"/>
            <w:lang w:val="en-US" w:eastAsia="en-US" w:bidi="ar-SA"/>
          </w:rPr>
          <w:t>2008 SCC 27</w:t>
        </w:r>
      </w:hyperlink>
      <w:r>
        <w:rPr>
          <w:rFonts w:ascii="arial" w:eastAsia="arial" w:hAnsi="arial" w:cs="arial"/>
          <w:color w:val="000000"/>
          <w:sz w:val="20"/>
          <w:lang w:val="en-US" w:eastAsia="en-US" w:bidi="ar-SA"/>
        </w:rPr>
        <w:t xml:space="preserve"> at para. 13. The plaintiff does not need to establish that the defendants saw the "'precise concatenation of events'; it is enough to fix liability if one can foresee in a general way the class or character of injury which occurred": </w:t>
      </w:r>
      <w:r>
        <w:rPr>
          <w:rFonts w:ascii="arial" w:eastAsia="arial" w:hAnsi="arial" w:cs="arial"/>
          <w:i/>
          <w:color w:val="000000"/>
          <w:sz w:val="20"/>
          <w:lang w:val="en-US" w:eastAsia="en-US" w:bidi="ar-SA"/>
        </w:rPr>
        <w:t>R. v. Côté</w:t>
      </w:r>
      <w:r>
        <w:rPr>
          <w:rFonts w:ascii="arial" w:eastAsia="arial" w:hAnsi="arial" w:cs="arial"/>
          <w:color w:val="000000"/>
          <w:sz w:val="20"/>
          <w:lang w:val="en-US" w:eastAsia="en-US" w:bidi="ar-SA"/>
        </w:rPr>
        <w:t xml:space="preserve">, </w:t>
      </w:r>
      <w:hyperlink r:id="rId41" w:history="1">
        <w:r>
          <w:rPr>
            <w:rFonts w:ascii="arial" w:eastAsia="arial" w:hAnsi="arial" w:cs="arial"/>
            <w:i/>
            <w:color w:val="0077CC"/>
            <w:sz w:val="20"/>
            <w:u w:val="single"/>
            <w:shd w:val="clear" w:color="auto" w:fill="FFFFFF"/>
            <w:lang w:val="en-US" w:eastAsia="en-US" w:bidi="ar-SA"/>
          </w:rPr>
          <w:t>[1976] 1 S.C.R. 595</w:t>
        </w:r>
      </w:hyperlink>
      <w:r>
        <w:rPr>
          <w:rFonts w:ascii="arial" w:eastAsia="arial" w:hAnsi="arial" w:cs="arial"/>
          <w:color w:val="000000"/>
          <w:sz w:val="20"/>
          <w:lang w:val="en-US" w:eastAsia="en-US" w:bidi="ar-SA"/>
        </w:rPr>
        <w:t xml:space="preserve"> at 604; see also </w:t>
      </w:r>
      <w:r>
        <w:rPr>
          <w:rFonts w:ascii="arial" w:eastAsia="arial" w:hAnsi="arial" w:cs="arial"/>
          <w:i/>
          <w:color w:val="000000"/>
          <w:sz w:val="20"/>
          <w:lang w:val="en-US" w:eastAsia="en-US" w:bidi="ar-SA"/>
        </w:rPr>
        <w:t>Imperial Tobacco</w:t>
      </w:r>
      <w:r>
        <w:rPr>
          <w:rFonts w:ascii="arial" w:eastAsia="arial" w:hAnsi="arial" w:cs="arial"/>
          <w:color w:val="000000"/>
          <w:sz w:val="20"/>
          <w:lang w:val="en-US" w:eastAsia="en-US" w:bidi="ar-SA"/>
        </w:rPr>
        <w:t xml:space="preserve"> at para. 57.</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168</w:t>
      </w:r>
      <w:r>
        <w:rPr>
          <w:rFonts w:ascii="arial" w:eastAsia="arial" w:hAnsi="arial" w:cs="arial"/>
          <w:color w:val="000000"/>
          <w:sz w:val="20"/>
          <w:lang w:val="en-US" w:eastAsia="en-US" w:bidi="ar-SA"/>
        </w:rPr>
        <w:t>  I am of the view that any reasonable person standing in the shoes of those present at the January 22, 2006 meeting would have realized that the issuance of the NOS, which was to take effect immediately, would have significant detrimental economic consequences to IEA, including the possibility of the permanent closure of its business. Both Mr. Heryet and Mr. Nowzek acknowledged during discovery and while testifying at trial that they knew the suspension of the Certificate would result in a revenue loss for IEA.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169</w:t>
      </w:r>
      <w:r>
        <w:rPr>
          <w:rFonts w:ascii="arial" w:eastAsia="arial" w:hAnsi="arial" w:cs="arial"/>
          <w:color w:val="000000"/>
          <w:sz w:val="20"/>
          <w:lang w:val="en-US" w:eastAsia="en-US" w:bidi="ar-SA"/>
        </w:rPr>
        <w:t>  The inspectors and TCCA managers present at the January 22, 2006 meeting had worked closely with IEA's owner and its managers over the years preceding the NOS and were aware of the nature of IEA's business, the growth undertaken by the company and would have been aware of the intensive capital investment necessary to carry on its business. I conclude it was reasonably foreseeable to TCCA the issuance of the NOS would have an immediate and significant economic impact on IEA.</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 xml:space="preserve">Was There Sufficient Proximity Between TCCA and IEA to Make it Just and Fair to Impose a </w:t>
      </w:r>
      <w:r>
        <w:rPr>
          <w:rFonts w:ascii="arial" w:eastAsia="arial" w:hAnsi="arial" w:cs="arial"/>
          <w:b/>
          <w:i/>
          <w:color w:val="000000"/>
          <w:sz w:val="20"/>
          <w:lang w:val="en-US" w:eastAsia="en-US" w:bidi="ar-SA"/>
        </w:rPr>
        <w:t>Prima Facie</w:t>
      </w:r>
      <w:r>
        <w:rPr>
          <w:rFonts w:ascii="arial" w:eastAsia="arial" w:hAnsi="arial" w:cs="arial"/>
          <w:b/>
          <w:color w:val="000000"/>
          <w:sz w:val="20"/>
          <w:lang w:val="en-US" w:eastAsia="en-US" w:bidi="ar-SA"/>
        </w:rPr>
        <w:t xml:space="preserve"> Duty of Care on TCCA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170</w:t>
      </w:r>
      <w:r>
        <w:rPr>
          <w:rFonts w:ascii="arial" w:eastAsia="arial" w:hAnsi="arial" w:cs="arial"/>
          <w:color w:val="000000"/>
          <w:sz w:val="20"/>
          <w:lang w:val="en-US" w:eastAsia="en-US" w:bidi="ar-SA"/>
        </w:rPr>
        <w:t xml:space="preserve">  The analysis of proximity has been described in several ways in the authorities. In </w:t>
      </w:r>
      <w:r>
        <w:rPr>
          <w:rFonts w:ascii="arial" w:eastAsia="arial" w:hAnsi="arial" w:cs="arial"/>
          <w:i/>
          <w:color w:val="000000"/>
          <w:sz w:val="20"/>
          <w:lang w:val="en-US" w:eastAsia="en-US" w:bidi="ar-SA"/>
        </w:rPr>
        <w:t>Taylor</w:t>
      </w:r>
      <w:r>
        <w:rPr>
          <w:rFonts w:ascii="arial" w:eastAsia="arial" w:hAnsi="arial" w:cs="arial"/>
          <w:color w:val="000000"/>
          <w:sz w:val="20"/>
          <w:lang w:val="en-US" w:eastAsia="en-US" w:bidi="ar-SA"/>
        </w:rPr>
        <w:t xml:space="preserve"> Doherty J.A. stated for a five member panel of the Ontario Court of Appeal:</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[66] The proximity requirement cannot be reduced to a list of factors or circumstances which, if they exist, will always create a relationship of proximity between a plaintiff and a defendant. Proximity is a concept, not a test: see </w:t>
      </w:r>
      <w:r>
        <w:rPr>
          <w:rFonts w:ascii="arial" w:eastAsia="arial" w:hAnsi="arial" w:cs="arial"/>
          <w:i/>
          <w:color w:val="000000"/>
          <w:sz w:val="20"/>
          <w:lang w:val="en-US" w:eastAsia="en-US" w:bidi="ar-SA"/>
        </w:rPr>
        <w:t>Canadian National Railway Co. v. Norsk Pacific Steamship Co.</w:t>
      </w:r>
      <w:r>
        <w:rPr>
          <w:rFonts w:ascii="arial" w:eastAsia="arial" w:hAnsi="arial" w:cs="arial"/>
          <w:color w:val="000000"/>
          <w:sz w:val="20"/>
          <w:lang w:val="en-US" w:eastAsia="en-US" w:bidi="ar-SA"/>
        </w:rPr>
        <w:t xml:space="preserve">, </w:t>
      </w:r>
      <w:hyperlink r:id="rId42" w:history="1">
        <w:r>
          <w:rPr>
            <w:rFonts w:ascii="arial" w:eastAsia="arial" w:hAnsi="arial" w:cs="arial"/>
            <w:i/>
            <w:color w:val="0077CC"/>
            <w:sz w:val="20"/>
            <w:u w:val="single"/>
            <w:shd w:val="clear" w:color="auto" w:fill="FFFFFF"/>
            <w:lang w:val="en-US" w:eastAsia="en-US" w:bidi="ar-SA"/>
          </w:rPr>
          <w:t>[1992] 1 S.C.R. 1021</w:t>
        </w:r>
      </w:hyperlink>
      <w:r>
        <w:rPr>
          <w:rFonts w:ascii="arial" w:eastAsia="arial" w:hAnsi="arial" w:cs="arial"/>
          <w:color w:val="000000"/>
          <w:sz w:val="20"/>
          <w:lang w:val="en-US" w:eastAsia="en-US" w:bidi="ar-SA"/>
        </w:rPr>
        <w:t xml:space="preserve">, at 1151. The concept of proximity describes a relationship between a plaintiff and a defendant that is sufficiently close and direct to render it fair and reasonable to require that the defendant, in the conduct of its affairs, be mindful of the plaintiff's legitimate interests: see </w:t>
      </w:r>
      <w:r>
        <w:rPr>
          <w:rFonts w:ascii="arial" w:eastAsia="arial" w:hAnsi="arial" w:cs="arial"/>
          <w:i/>
          <w:color w:val="000000"/>
          <w:sz w:val="20"/>
          <w:lang w:val="en-US" w:eastAsia="en-US" w:bidi="ar-SA"/>
        </w:rPr>
        <w:t>Cooper v. Hobart</w:t>
      </w:r>
      <w:r>
        <w:rPr>
          <w:rFonts w:ascii="arial" w:eastAsia="arial" w:hAnsi="arial" w:cs="arial"/>
          <w:color w:val="000000"/>
          <w:sz w:val="20"/>
          <w:lang w:val="en-US" w:eastAsia="en-US" w:bidi="ar-SA"/>
        </w:rPr>
        <w:t xml:space="preserve">, </w:t>
      </w:r>
      <w:hyperlink r:id="rId22" w:history="1">
        <w:r>
          <w:rPr>
            <w:rFonts w:ascii="arial" w:eastAsia="arial" w:hAnsi="arial" w:cs="arial"/>
            <w:i/>
            <w:color w:val="0077CC"/>
            <w:sz w:val="20"/>
            <w:u w:val="single"/>
            <w:shd w:val="clear" w:color="auto" w:fill="FFFFFF"/>
            <w:lang w:val="en-US" w:eastAsia="en-US" w:bidi="ar-SA"/>
          </w:rPr>
          <w:t>2001 SCC 79</w:t>
        </w:r>
      </w:hyperlink>
      <w:r>
        <w:rPr>
          <w:rFonts w:ascii="arial" w:eastAsia="arial" w:hAnsi="arial" w:cs="arial"/>
          <w:color w:val="000000"/>
          <w:sz w:val="20"/>
          <w:lang w:val="en-US" w:eastAsia="en-US" w:bidi="ar-SA"/>
        </w:rPr>
        <w:t xml:space="preserve">, </w:t>
      </w:r>
      <w:hyperlink r:id="rId22" w:history="1">
        <w:r>
          <w:rPr>
            <w:rFonts w:ascii="arial" w:eastAsia="arial" w:hAnsi="arial" w:cs="arial"/>
            <w:i/>
            <w:color w:val="0077CC"/>
            <w:sz w:val="20"/>
            <w:u w:val="single"/>
            <w:shd w:val="clear" w:color="auto" w:fill="FFFFFF"/>
            <w:lang w:val="en-US" w:eastAsia="en-US" w:bidi="ar-SA"/>
          </w:rPr>
          <w:t>[2001] 3 S.C.R. 537</w:t>
        </w:r>
      </w:hyperlink>
      <w:r>
        <w:rPr>
          <w:rFonts w:ascii="arial" w:eastAsia="arial" w:hAnsi="arial" w:cs="arial"/>
          <w:color w:val="000000"/>
          <w:sz w:val="20"/>
          <w:lang w:val="en-US" w:eastAsia="en-US" w:bidi="ar-SA"/>
        </w:rPr>
        <w:t>, at paras. 32-36.</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171</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Hill</w:t>
      </w:r>
      <w:r>
        <w:rPr>
          <w:rFonts w:ascii="arial" w:eastAsia="arial" w:hAnsi="arial" w:cs="arial"/>
          <w:color w:val="000000"/>
          <w:sz w:val="20"/>
          <w:lang w:val="en-US" w:eastAsia="en-US" w:bidi="ar-SA"/>
        </w:rPr>
        <w:t xml:space="preserve"> McLachlan C.J.C. said for the majority:</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[24] Generally speaking, the proximity analysis involves examining the relationship at issue, considering factors such as expectations, representations, reliance and property or other interests involved: </w:t>
      </w:r>
      <w:r>
        <w:rPr>
          <w:rFonts w:ascii="arial" w:eastAsia="arial" w:hAnsi="arial" w:cs="arial"/>
          <w:i/>
          <w:color w:val="000000"/>
          <w:sz w:val="20"/>
          <w:lang w:val="en-US" w:eastAsia="en-US" w:bidi="ar-SA"/>
        </w:rPr>
        <w:t>Cooper</w:t>
      </w:r>
      <w:r>
        <w:rPr>
          <w:rFonts w:ascii="arial" w:eastAsia="arial" w:hAnsi="arial" w:cs="arial"/>
          <w:color w:val="000000"/>
          <w:sz w:val="20"/>
          <w:lang w:val="en-US" w:eastAsia="en-US" w:bidi="ar-SA"/>
        </w:rPr>
        <w:t xml:space="preserve">, at para. 34. Different relationships raise different considerations. "The factors which may satisfy the requirement of proximity are diverse and depend on the circumstances of the case. One searches in vain for a single unifying characteristic": </w:t>
      </w:r>
      <w:r>
        <w:rPr>
          <w:rFonts w:ascii="arial" w:eastAsia="arial" w:hAnsi="arial" w:cs="arial"/>
          <w:i/>
          <w:color w:val="000000"/>
          <w:sz w:val="20"/>
          <w:lang w:val="en-US" w:eastAsia="en-US" w:bidi="ar-SA"/>
        </w:rPr>
        <w:t>Cooper</w:t>
      </w:r>
      <w:r>
        <w:rPr>
          <w:rFonts w:ascii="arial" w:eastAsia="arial" w:hAnsi="arial" w:cs="arial"/>
          <w:color w:val="000000"/>
          <w:sz w:val="20"/>
          <w:lang w:val="en-US" w:eastAsia="en-US" w:bidi="ar-SA"/>
        </w:rPr>
        <w:t>, at para. 35. No single rule, factor or definitive list of factors can be applied in every case ...</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172</w:t>
      </w:r>
      <w:r>
        <w:rPr>
          <w:rFonts w:ascii="arial" w:eastAsia="arial" w:hAnsi="arial" w:cs="arial"/>
          <w:color w:val="000000"/>
          <w:sz w:val="20"/>
          <w:lang w:val="en-US" w:eastAsia="en-US" w:bidi="ar-SA"/>
        </w:rPr>
        <w:t xml:space="preserve">  When the defendant is acting pursuant to a statute, a duty of care may arise first, explicitly or by implication from the relevant legislative scheme; second, from interactions between the plaintiff and the government, and where a duty of care is not negated by the statute; and third, from both interactions between the parties and the government's statutory duties: </w:t>
      </w:r>
      <w:r>
        <w:rPr>
          <w:rFonts w:ascii="arial" w:eastAsia="arial" w:hAnsi="arial" w:cs="arial"/>
          <w:i/>
          <w:color w:val="000000"/>
          <w:sz w:val="20"/>
          <w:lang w:val="en-US" w:eastAsia="en-US" w:bidi="ar-SA"/>
        </w:rPr>
        <w:t>Imperial Tobacco</w:t>
      </w:r>
      <w:r>
        <w:rPr>
          <w:rFonts w:ascii="arial" w:eastAsia="arial" w:hAnsi="arial" w:cs="arial"/>
          <w:color w:val="000000"/>
          <w:sz w:val="20"/>
          <w:lang w:val="en-US" w:eastAsia="en-US" w:bidi="ar-SA"/>
        </w:rPr>
        <w:t xml:space="preserve"> at paras. 43-46. The plaintiff submits the duty arises here under both the statute and the government's course of conduct in interacting with IEA.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173</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Taylor</w:t>
      </w:r>
      <w:r>
        <w:rPr>
          <w:rFonts w:ascii="arial" w:eastAsia="arial" w:hAnsi="arial" w:cs="arial"/>
          <w:color w:val="000000"/>
          <w:sz w:val="20"/>
          <w:lang w:val="en-US" w:eastAsia="en-US" w:bidi="ar-SA"/>
        </w:rPr>
        <w:t xml:space="preserve"> Doherty J.A. described the issue of proximity as it applies to a regulator charged with responsibilities under a legislative scheme as follows: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[78] Legislative schemes under which regulators operate almost inevitably impose public duties on those regulators. Plaintiffs have, generally speaking, had little success in demonstrating that those schemes impose a private law duty of care. To the contrary, courts have been more inclined to find that legislative schemes by implication preclude a private law duty of care to individuals affected by those schemes. Statutory schemes that provide immunity to the regulator, create remedies to injured parties other than tort remedies, or impose duties on the regulator that conflict with a private law duty of care to an individual have all been held to compel the conclusion that the legislative scheme implicitly forecloses a finding that the regulator owes a private law duty of care to an individual: see </w:t>
      </w:r>
      <w:r>
        <w:rPr>
          <w:rFonts w:ascii="arial" w:eastAsia="arial" w:hAnsi="arial" w:cs="arial"/>
          <w:i/>
          <w:color w:val="000000"/>
          <w:sz w:val="20"/>
          <w:lang w:val="en-US" w:eastAsia="en-US" w:bidi="ar-SA"/>
        </w:rPr>
        <w:t>Cooper</w:t>
      </w:r>
      <w:r>
        <w:rPr>
          <w:rFonts w:ascii="arial" w:eastAsia="arial" w:hAnsi="arial" w:cs="arial"/>
          <w:color w:val="000000"/>
          <w:sz w:val="20"/>
          <w:lang w:val="en-US" w:eastAsia="en-US" w:bidi="ar-SA"/>
        </w:rPr>
        <w:t xml:space="preserve">, at paras. 43-44; </w:t>
      </w:r>
      <w:r>
        <w:rPr>
          <w:rFonts w:ascii="arial" w:eastAsia="arial" w:hAnsi="arial" w:cs="arial"/>
          <w:i/>
          <w:color w:val="000000"/>
          <w:sz w:val="20"/>
          <w:lang w:val="en-US" w:eastAsia="en-US" w:bidi="ar-SA"/>
        </w:rPr>
        <w:t>Edwards</w:t>
      </w:r>
      <w:r>
        <w:rPr>
          <w:rFonts w:ascii="arial" w:eastAsia="arial" w:hAnsi="arial" w:cs="arial"/>
          <w:color w:val="000000"/>
          <w:sz w:val="20"/>
          <w:lang w:val="en-US" w:eastAsia="en-US" w:bidi="ar-SA"/>
        </w:rPr>
        <w:t xml:space="preserve">, at paras. 16-17; </w:t>
      </w:r>
      <w:r>
        <w:rPr>
          <w:rFonts w:ascii="arial" w:eastAsia="arial" w:hAnsi="arial" w:cs="arial"/>
          <w:i/>
          <w:color w:val="000000"/>
          <w:sz w:val="20"/>
          <w:lang w:val="en-US" w:eastAsia="en-US" w:bidi="ar-SA"/>
        </w:rPr>
        <w:t>Alberta v. Elder Advocates of Alberta Society</w:t>
      </w:r>
      <w:r>
        <w:rPr>
          <w:rFonts w:ascii="arial" w:eastAsia="arial" w:hAnsi="arial" w:cs="arial"/>
          <w:color w:val="000000"/>
          <w:sz w:val="20"/>
          <w:lang w:val="en-US" w:eastAsia="en-US" w:bidi="ar-SA"/>
        </w:rPr>
        <w:t xml:space="preserve">, </w:t>
      </w:r>
      <w:hyperlink r:id="rId43" w:history="1">
        <w:r>
          <w:rPr>
            <w:rFonts w:ascii="arial" w:eastAsia="arial" w:hAnsi="arial" w:cs="arial"/>
            <w:i/>
            <w:color w:val="0077CC"/>
            <w:sz w:val="20"/>
            <w:u w:val="single"/>
            <w:shd w:val="clear" w:color="auto" w:fill="FFFFFF"/>
            <w:lang w:val="en-US" w:eastAsia="en-US" w:bidi="ar-SA"/>
          </w:rPr>
          <w:t>2011 SCC 24</w:t>
        </w:r>
      </w:hyperlink>
      <w:r>
        <w:rPr>
          <w:rFonts w:ascii="arial" w:eastAsia="arial" w:hAnsi="arial" w:cs="arial"/>
          <w:color w:val="000000"/>
          <w:sz w:val="20"/>
          <w:lang w:val="en-US" w:eastAsia="en-US" w:bidi="ar-SA"/>
        </w:rPr>
        <w:t xml:space="preserve">, </w:t>
      </w:r>
      <w:hyperlink r:id="rId43" w:history="1">
        <w:r>
          <w:rPr>
            <w:rFonts w:ascii="arial" w:eastAsia="arial" w:hAnsi="arial" w:cs="arial"/>
            <w:i/>
            <w:color w:val="0077CC"/>
            <w:sz w:val="20"/>
            <w:u w:val="single"/>
            <w:shd w:val="clear" w:color="auto" w:fill="FFFFFF"/>
            <w:lang w:val="en-US" w:eastAsia="en-US" w:bidi="ar-SA"/>
          </w:rPr>
          <w:t>[2011] 2 S.C.R. 261</w:t>
        </w:r>
      </w:hyperlink>
      <w:r>
        <w:rPr>
          <w:rFonts w:ascii="arial" w:eastAsia="arial" w:hAnsi="arial" w:cs="arial"/>
          <w:color w:val="000000"/>
          <w:sz w:val="20"/>
          <w:lang w:val="en-US" w:eastAsia="en-US" w:bidi="ar-SA"/>
        </w:rPr>
        <w:t xml:space="preserve">, at para. 69; </w:t>
      </w:r>
      <w:r>
        <w:rPr>
          <w:rFonts w:ascii="arial" w:eastAsia="arial" w:hAnsi="arial" w:cs="arial"/>
          <w:i/>
          <w:color w:val="000000"/>
          <w:sz w:val="20"/>
          <w:lang w:val="en-US" w:eastAsia="en-US" w:bidi="ar-SA"/>
        </w:rPr>
        <w:t>Syl Apps Secure Treatment Centre v. B.D.</w:t>
      </w:r>
      <w:r>
        <w:rPr>
          <w:rFonts w:ascii="arial" w:eastAsia="arial" w:hAnsi="arial" w:cs="arial"/>
          <w:color w:val="000000"/>
          <w:sz w:val="20"/>
          <w:lang w:val="en-US" w:eastAsia="en-US" w:bidi="ar-SA"/>
        </w:rPr>
        <w:t xml:space="preserve">, </w:t>
      </w:r>
      <w:hyperlink r:id="rId44" w:history="1">
        <w:r>
          <w:rPr>
            <w:rFonts w:ascii="arial" w:eastAsia="arial" w:hAnsi="arial" w:cs="arial"/>
            <w:i/>
            <w:color w:val="0077CC"/>
            <w:sz w:val="20"/>
            <w:u w:val="single"/>
            <w:shd w:val="clear" w:color="auto" w:fill="FFFFFF"/>
            <w:lang w:val="en-US" w:eastAsia="en-US" w:bidi="ar-SA"/>
          </w:rPr>
          <w:t>2007 SCC 38</w:t>
        </w:r>
      </w:hyperlink>
      <w:r>
        <w:rPr>
          <w:rFonts w:ascii="arial" w:eastAsia="arial" w:hAnsi="arial" w:cs="arial"/>
          <w:color w:val="000000"/>
          <w:sz w:val="20"/>
          <w:lang w:val="en-US" w:eastAsia="en-US" w:bidi="ar-SA"/>
        </w:rPr>
        <w:t xml:space="preserve">, </w:t>
      </w:r>
      <w:hyperlink r:id="rId44" w:history="1">
        <w:r>
          <w:rPr>
            <w:rFonts w:ascii="arial" w:eastAsia="arial" w:hAnsi="arial" w:cs="arial"/>
            <w:i/>
            <w:color w:val="0077CC"/>
            <w:sz w:val="20"/>
            <w:u w:val="single"/>
            <w:shd w:val="clear" w:color="auto" w:fill="FFFFFF"/>
            <w:lang w:val="en-US" w:eastAsia="en-US" w:bidi="ar-SA"/>
          </w:rPr>
          <w:t>[2007] 3 S.C.R. 83</w:t>
        </w:r>
      </w:hyperlink>
      <w:r>
        <w:rPr>
          <w:rFonts w:ascii="arial" w:eastAsia="arial" w:hAnsi="arial" w:cs="arial"/>
          <w:color w:val="000000"/>
          <w:sz w:val="20"/>
          <w:lang w:val="en-US" w:eastAsia="en-US" w:bidi="ar-SA"/>
        </w:rPr>
        <w:t xml:space="preserve">, at paras. 49-50, 59-63; </w:t>
      </w:r>
      <w:r>
        <w:rPr>
          <w:rFonts w:ascii="arial" w:eastAsia="arial" w:hAnsi="arial" w:cs="arial"/>
          <w:i/>
          <w:color w:val="000000"/>
          <w:sz w:val="20"/>
          <w:lang w:val="en-US" w:eastAsia="en-US" w:bidi="ar-SA"/>
        </w:rPr>
        <w:t>Eliopoulos v. Ontario (Minister of Health and Long-Term Care)</w:t>
      </w:r>
      <w:r>
        <w:rPr>
          <w:rFonts w:ascii="arial" w:eastAsia="arial" w:hAnsi="arial" w:cs="arial"/>
          <w:color w:val="000000"/>
          <w:sz w:val="20"/>
          <w:lang w:val="en-US" w:eastAsia="en-US" w:bidi="ar-SA"/>
        </w:rPr>
        <w:t xml:space="preserve"> </w:t>
      </w:r>
      <w:hyperlink r:id="rId45" w:history="1">
        <w:r>
          <w:rPr>
            <w:rFonts w:ascii="arial" w:eastAsia="arial" w:hAnsi="arial" w:cs="arial"/>
            <w:i/>
            <w:color w:val="0077CC"/>
            <w:sz w:val="20"/>
            <w:u w:val="single"/>
            <w:shd w:val="clear" w:color="auto" w:fill="FFFFFF"/>
            <w:lang w:val="en-US" w:eastAsia="en-US" w:bidi="ar-SA"/>
          </w:rPr>
          <w:t>(2006), 82 O.R. (3d) 321</w:t>
        </w:r>
      </w:hyperlink>
      <w:r>
        <w:rPr>
          <w:rFonts w:ascii="arial" w:eastAsia="arial" w:hAnsi="arial" w:cs="arial"/>
          <w:color w:val="000000"/>
          <w:sz w:val="20"/>
          <w:lang w:val="en-US" w:eastAsia="en-US" w:bidi="ar-SA"/>
        </w:rPr>
        <w:t xml:space="preserve"> (C.A), at paras. 14-20.</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[79] Where the legislation is not determinative one way or the other, the courts explore the specific circumstances of the interactions between the regulator and the plaintiff in the context of the legislative scheme to decide whether a sufficiently "close and direct" relationship exists to justify the imposition of a </w:t>
      </w:r>
      <w:r>
        <w:rPr>
          <w:rFonts w:ascii="arial" w:eastAsia="arial" w:hAnsi="arial" w:cs="arial"/>
          <w:i/>
          <w:color w:val="000000"/>
          <w:sz w:val="20"/>
          <w:lang w:val="en-US" w:eastAsia="en-US" w:bidi="ar-SA"/>
        </w:rPr>
        <w:t>prima facie</w:t>
      </w:r>
      <w:r>
        <w:rPr>
          <w:rFonts w:ascii="arial" w:eastAsia="arial" w:hAnsi="arial" w:cs="arial"/>
          <w:color w:val="000000"/>
          <w:sz w:val="20"/>
          <w:lang w:val="en-US" w:eastAsia="en-US" w:bidi="ar-SA"/>
        </w:rPr>
        <w:t xml:space="preserve"> duty of care: see </w:t>
      </w:r>
      <w:r>
        <w:rPr>
          <w:rFonts w:ascii="arial" w:eastAsia="arial" w:hAnsi="arial" w:cs="arial"/>
          <w:i/>
          <w:color w:val="000000"/>
          <w:sz w:val="20"/>
          <w:lang w:val="en-US" w:eastAsia="en-US" w:bidi="ar-SA"/>
        </w:rPr>
        <w:t>Imperial Tobacco</w:t>
      </w:r>
      <w:r>
        <w:rPr>
          <w:rFonts w:ascii="arial" w:eastAsia="arial" w:hAnsi="arial" w:cs="arial"/>
          <w:color w:val="000000"/>
          <w:sz w:val="20"/>
          <w:lang w:val="en-US" w:eastAsia="en-US" w:bidi="ar-SA"/>
        </w:rPr>
        <w:t xml:space="preserve">, at para. 50; </w:t>
      </w:r>
      <w:r>
        <w:rPr>
          <w:rFonts w:ascii="arial" w:eastAsia="arial" w:hAnsi="arial" w:cs="arial"/>
          <w:i/>
          <w:color w:val="000000"/>
          <w:sz w:val="20"/>
          <w:lang w:val="en-US" w:eastAsia="en-US" w:bidi="ar-SA"/>
        </w:rPr>
        <w:t>Hill</w:t>
      </w:r>
      <w:r>
        <w:rPr>
          <w:rFonts w:ascii="arial" w:eastAsia="arial" w:hAnsi="arial" w:cs="arial"/>
          <w:color w:val="000000"/>
          <w:sz w:val="20"/>
          <w:lang w:val="en-US" w:eastAsia="en-US" w:bidi="ar-SA"/>
        </w:rPr>
        <w:t xml:space="preserve">, at paras. 26-45; </w:t>
      </w:r>
      <w:r>
        <w:rPr>
          <w:rFonts w:ascii="arial" w:eastAsia="arial" w:hAnsi="arial" w:cs="arial"/>
          <w:i/>
          <w:color w:val="000000"/>
          <w:sz w:val="20"/>
          <w:lang w:val="en-US" w:eastAsia="en-US" w:bidi="ar-SA"/>
        </w:rPr>
        <w:t>Fullowka v. Pinkerton's of Canada Ltd.</w:t>
      </w:r>
      <w:r>
        <w:rPr>
          <w:rFonts w:ascii="arial" w:eastAsia="arial" w:hAnsi="arial" w:cs="arial"/>
          <w:color w:val="000000"/>
          <w:sz w:val="20"/>
          <w:lang w:val="en-US" w:eastAsia="en-US" w:bidi="ar-SA"/>
        </w:rPr>
        <w:t xml:space="preserve">, </w:t>
      </w:r>
      <w:hyperlink r:id="rId46" w:history="1">
        <w:r>
          <w:rPr>
            <w:rFonts w:ascii="arial" w:eastAsia="arial" w:hAnsi="arial" w:cs="arial"/>
            <w:i/>
            <w:color w:val="0077CC"/>
            <w:sz w:val="20"/>
            <w:u w:val="single"/>
            <w:shd w:val="clear" w:color="auto" w:fill="FFFFFF"/>
            <w:lang w:val="en-US" w:eastAsia="en-US" w:bidi="ar-SA"/>
          </w:rPr>
          <w:t>2010 SCC 5</w:t>
        </w:r>
      </w:hyperlink>
      <w:r>
        <w:rPr>
          <w:rFonts w:ascii="arial" w:eastAsia="arial" w:hAnsi="arial" w:cs="arial"/>
          <w:color w:val="000000"/>
          <w:sz w:val="20"/>
          <w:lang w:val="en-US" w:eastAsia="en-US" w:bidi="ar-SA"/>
        </w:rPr>
        <w:t xml:space="preserve">, </w:t>
      </w:r>
      <w:hyperlink r:id="rId46" w:history="1">
        <w:r>
          <w:rPr>
            <w:rFonts w:ascii="arial" w:eastAsia="arial" w:hAnsi="arial" w:cs="arial"/>
            <w:i/>
            <w:color w:val="0077CC"/>
            <w:sz w:val="20"/>
            <w:u w:val="single"/>
            <w:shd w:val="clear" w:color="auto" w:fill="FFFFFF"/>
            <w:lang w:val="en-US" w:eastAsia="en-US" w:bidi="ar-SA"/>
          </w:rPr>
          <w:t>[2010] 1 S.C.R. 132</w:t>
        </w:r>
      </w:hyperlink>
      <w:r>
        <w:rPr>
          <w:rFonts w:ascii="arial" w:eastAsia="arial" w:hAnsi="arial" w:cs="arial"/>
          <w:color w:val="000000"/>
          <w:sz w:val="20"/>
          <w:lang w:val="en-US" w:eastAsia="en-US" w:bidi="ar-SA"/>
        </w:rPr>
        <w:t xml:space="preserve">, at paras. 37-55; </w:t>
      </w:r>
      <w:r>
        <w:rPr>
          <w:rFonts w:ascii="arial" w:eastAsia="arial" w:hAnsi="arial" w:cs="arial"/>
          <w:i/>
          <w:color w:val="000000"/>
          <w:sz w:val="20"/>
          <w:lang w:val="en-US" w:eastAsia="en-US" w:bidi="ar-SA"/>
        </w:rPr>
        <w:t>Heaslip</w:t>
      </w:r>
      <w:r>
        <w:rPr>
          <w:rFonts w:ascii="arial" w:eastAsia="arial" w:hAnsi="arial" w:cs="arial"/>
          <w:color w:val="000000"/>
          <w:sz w:val="20"/>
          <w:lang w:val="en-US" w:eastAsia="en-US" w:bidi="ar-SA"/>
        </w:rPr>
        <w:t>, at paras. 15-31.</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[80] </w:t>
      </w:r>
      <w:r>
        <w:rPr>
          <w:rFonts w:ascii="arial" w:eastAsia="arial" w:hAnsi="arial" w:cs="arial"/>
          <w:color w:val="000000"/>
          <w:sz w:val="20"/>
          <w:u w:val="single"/>
          <w:lang w:val="en-US" w:eastAsia="en-US" w:bidi="ar-SA"/>
        </w:rPr>
        <w:t>Findings of proximity based on the interactions between the regulator and the plaintiff are necessarily fact-specific</w:t>
      </w:r>
      <w:r>
        <w:rPr>
          <w:rFonts w:ascii="arial" w:eastAsia="arial" w:hAnsi="arial" w:cs="arial"/>
          <w:color w:val="000000"/>
          <w:sz w:val="20"/>
          <w:lang w:val="en-US" w:eastAsia="en-US" w:bidi="ar-SA"/>
        </w:rPr>
        <w:t xml:space="preserve">. The jurisprudence does, however, suggest there are two important factual features in those cases where the court has found a </w:t>
      </w:r>
      <w:r>
        <w:rPr>
          <w:rFonts w:ascii="arial" w:eastAsia="arial" w:hAnsi="arial" w:cs="arial"/>
          <w:i/>
          <w:color w:val="000000"/>
          <w:sz w:val="20"/>
          <w:lang w:val="en-US" w:eastAsia="en-US" w:bidi="ar-SA"/>
        </w:rPr>
        <w:t>prima facie</w:t>
      </w:r>
      <w:r>
        <w:rPr>
          <w:rFonts w:ascii="arial" w:eastAsia="arial" w:hAnsi="arial" w:cs="arial"/>
          <w:color w:val="000000"/>
          <w:sz w:val="20"/>
          <w:lang w:val="en-US" w:eastAsia="en-US" w:bidi="ar-SA"/>
        </w:rPr>
        <w:t xml:space="preserve"> duty of care. First, the facts demonstrate a relationship and connection between the regulator and the individual that is distinct from and more direct than the relationship between the regulator and that part of the public affected by the regulator's work. For example, in </w:t>
      </w:r>
      <w:r>
        <w:rPr>
          <w:rFonts w:ascii="arial" w:eastAsia="arial" w:hAnsi="arial" w:cs="arial"/>
          <w:i/>
          <w:color w:val="000000"/>
          <w:sz w:val="20"/>
          <w:lang w:val="en-US" w:eastAsia="en-US" w:bidi="ar-SA"/>
        </w:rPr>
        <w:t>Hill</w:t>
      </w:r>
      <w:r>
        <w:rPr>
          <w:rFonts w:ascii="arial" w:eastAsia="arial" w:hAnsi="arial" w:cs="arial"/>
          <w:color w:val="000000"/>
          <w:sz w:val="20"/>
          <w:lang w:val="en-US" w:eastAsia="en-US" w:bidi="ar-SA"/>
        </w:rPr>
        <w:t>, at para. 33, the court found that the police owed the plaintiff a duty of care in conducting their investigation because they had targeted the plaintiff in that criminal investigation. By targeting the plaintiff, the police created a relationship with the plaintiff that was much more direct than the relationship between the police and other members of the public who might also be affected by the exercise of police powers.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[88] The second feature of those cases in which the courts have found that the interactions between the plaintiff and the regulator created a </w:t>
      </w:r>
      <w:r>
        <w:rPr>
          <w:rFonts w:ascii="arial" w:eastAsia="arial" w:hAnsi="arial" w:cs="arial"/>
          <w:i/>
          <w:color w:val="000000"/>
          <w:sz w:val="20"/>
          <w:lang w:val="en-US" w:eastAsia="en-US" w:bidi="ar-SA"/>
        </w:rPr>
        <w:t>prima facie</w:t>
      </w:r>
      <w:r>
        <w:rPr>
          <w:rFonts w:ascii="arial" w:eastAsia="arial" w:hAnsi="arial" w:cs="arial"/>
          <w:color w:val="000000"/>
          <w:sz w:val="20"/>
          <w:lang w:val="en-US" w:eastAsia="en-US" w:bidi="ar-SA"/>
        </w:rPr>
        <w:t xml:space="preserve"> duty of care arises out of the nature of the duty actually imposed by the legislative scheme. While the statutory duties are found to be public duties and not, therefore, themselves the basis for any private law duty of care, those public duties have been found to be consistent with the existence of a private law duty of care owed to an individual plaintiff. Thus, in </w:t>
      </w:r>
      <w:r>
        <w:rPr>
          <w:rFonts w:ascii="arial" w:eastAsia="arial" w:hAnsi="arial" w:cs="arial"/>
          <w:i/>
          <w:color w:val="000000"/>
          <w:sz w:val="20"/>
          <w:lang w:val="en-US" w:eastAsia="en-US" w:bidi="ar-SA"/>
        </w:rPr>
        <w:t>Hill</w:t>
      </w:r>
      <w:r>
        <w:rPr>
          <w:rFonts w:ascii="arial" w:eastAsia="arial" w:hAnsi="arial" w:cs="arial"/>
          <w:color w:val="000000"/>
          <w:sz w:val="20"/>
          <w:lang w:val="en-US" w:eastAsia="en-US" w:bidi="ar-SA"/>
        </w:rPr>
        <w:t>, the Chief Justice found that the recognition of a private law duty of care to an individual suspect based on the interaction between that suspect and the police promoted the broader public interest in the effective and fair police investigation of criminal activity: see paras. 36-41.</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[Emphasis added.]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174</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LA Salad, SC</w:t>
      </w:r>
      <w:r>
        <w:rPr>
          <w:rFonts w:ascii="arial" w:eastAsia="arial" w:hAnsi="arial" w:cs="arial"/>
          <w:color w:val="000000"/>
          <w:sz w:val="20"/>
          <w:lang w:val="en-US" w:eastAsia="en-US" w:bidi="ar-SA"/>
        </w:rPr>
        <w:t xml:space="preserve"> the Canadian Food Inspection Agency ("CFIA") recalled shipments of baby carrots to retailers, causing the plaintiff, the distributor of such carrots, economic loss for which it sought damages. The plaintiff argued the CFIA was negligent in the way they conducted the investigation, tested the food products and communicated warnings to the public and regulators in the United States about the product. Mr. Justice Harris reviewed the above authorities and summarized his view of the law at para. 81, which was subsequently referred to with approval on appeal:</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[81] The following principles can be drawn from the case law:</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A regulator may owe a duty of care for actions taken outside the scope of its regulatory role;</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Where a duty is owed to the public at large, there is generally no private law duty to a member of the public; and</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Where the statute confers certain powers or duties on the regulator for the benefit of a [discrete] class the regulator may owe a duty of care to a member of the class.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175</w:t>
      </w:r>
      <w:r>
        <w:rPr>
          <w:rFonts w:ascii="arial" w:eastAsia="arial" w:hAnsi="arial" w:cs="arial"/>
          <w:color w:val="000000"/>
          <w:sz w:val="20"/>
          <w:lang w:val="en-US" w:eastAsia="en-US" w:bidi="ar-SA"/>
        </w:rPr>
        <w:t>  At paras. 111-112 Harris J. went on to state: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[111] In this case, I am satisfied that when CFIA acts to enforce compliance with the regulations prohibiting the marketing and sale of contaminated food products by identifying potentially contaminated food, investigating and testing it, and communicating with the supplier and the public about potential contamination and harm, it is fulfilling duties it owes to the public at large; it is not going beyond its regulatory role and creating a private law duty.</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[112] It would be inconsistent with the exercise of those powers if the defendants were required also to consider the effect of their conduct or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by them on the commercial interests of the plaintiffs. The following comment by Laskin J.A. in </w:t>
      </w:r>
      <w:r>
        <w:rPr>
          <w:rFonts w:ascii="arial" w:eastAsia="arial" w:hAnsi="arial" w:cs="arial"/>
          <w:i/>
          <w:color w:val="000000"/>
          <w:sz w:val="20"/>
          <w:lang w:val="en-US" w:eastAsia="en-US" w:bidi="ar-SA"/>
        </w:rPr>
        <w:t>River Valley</w:t>
      </w:r>
      <w:r>
        <w:rPr>
          <w:rFonts w:ascii="arial" w:eastAsia="arial" w:hAnsi="arial" w:cs="arial"/>
          <w:color w:val="000000"/>
          <w:sz w:val="20"/>
          <w:lang w:val="en-US" w:eastAsia="en-US" w:bidi="ar-SA"/>
        </w:rPr>
        <w:t>, albeit in the context of a different piece of legislation enforced by CFIA, is applicable to this case:</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[69] Inspectors charged with tracking the spread of infectious disease inevitably must focus their investigations on persons or sites where exposure or contamination has potentially occurred. In carrying out their investigation, inspectors appointed by CFIA have broad discretionary powers to inspect enterprises, even seize and detain and quarantine animals. In exercising these broad powers, inspectors are not obliged to be mindful of the economic interests of individual farmers. Their overriding concern is the protection and promotion of human and animal health.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176</w:t>
      </w:r>
      <w:r>
        <w:rPr>
          <w:rFonts w:ascii="arial" w:eastAsia="arial" w:hAnsi="arial" w:cs="arial"/>
          <w:color w:val="000000"/>
          <w:sz w:val="20"/>
          <w:lang w:val="en-US" w:eastAsia="en-US" w:bidi="ar-SA"/>
        </w:rPr>
        <w:t xml:space="preserve">  The relationship to be examined in the instant case is the relationship between the regulator's inspectors, charged with administering the </w:t>
      </w:r>
      <w:r>
        <w:rPr>
          <w:rFonts w:ascii="arial" w:eastAsia="arial" w:hAnsi="arial" w:cs="arial"/>
          <w:i/>
          <w:color w:val="000000"/>
          <w:sz w:val="20"/>
          <w:lang w:val="en-US" w:eastAsia="en-US" w:bidi="ar-SA"/>
        </w:rPr>
        <w:t>Act</w:t>
      </w:r>
      <w:r>
        <w:rPr>
          <w:rFonts w:ascii="arial" w:eastAsia="arial" w:hAnsi="arial" w:cs="arial"/>
          <w:color w:val="000000"/>
          <w:sz w:val="20"/>
          <w:lang w:val="en-US" w:eastAsia="en-US" w:bidi="ar-SA"/>
        </w:rPr>
        <w:t xml:space="preserve"> and </w:t>
      </w:r>
      <w:r>
        <w:rPr>
          <w:rFonts w:ascii="arial" w:eastAsia="arial" w:hAnsi="arial" w:cs="arial"/>
          <w:i/>
          <w:color w:val="000000"/>
          <w:sz w:val="20"/>
          <w:lang w:val="en-US" w:eastAsia="en-US" w:bidi="ar-SA"/>
        </w:rPr>
        <w:t>CARs</w:t>
      </w:r>
      <w:r>
        <w:rPr>
          <w:rFonts w:ascii="arial" w:eastAsia="arial" w:hAnsi="arial" w:cs="arial"/>
          <w:color w:val="000000"/>
          <w:sz w:val="20"/>
          <w:lang w:val="en-US" w:eastAsia="en-US" w:bidi="ar-SA"/>
        </w:rPr>
        <w:t xml:space="preserve">, and IEA, the entity which had control over the very risk the inspections were intended to mitigate and who was charged with complying with the </w:t>
      </w:r>
      <w:r>
        <w:rPr>
          <w:rFonts w:ascii="arial" w:eastAsia="arial" w:hAnsi="arial" w:cs="arial"/>
          <w:i/>
          <w:color w:val="000000"/>
          <w:sz w:val="20"/>
          <w:lang w:val="en-US" w:eastAsia="en-US" w:bidi="ar-SA"/>
        </w:rPr>
        <w:t>Act</w:t>
      </w:r>
      <w:r>
        <w:rPr>
          <w:rFonts w:ascii="arial" w:eastAsia="arial" w:hAnsi="arial" w:cs="arial"/>
          <w:color w:val="000000"/>
          <w:sz w:val="20"/>
          <w:lang w:val="en-US" w:eastAsia="en-US" w:bidi="ar-SA"/>
        </w:rPr>
        <w:t xml:space="preserve"> and </w:t>
      </w:r>
      <w:r>
        <w:rPr>
          <w:rFonts w:ascii="arial" w:eastAsia="arial" w:hAnsi="arial" w:cs="arial"/>
          <w:i/>
          <w:color w:val="000000"/>
          <w:sz w:val="20"/>
          <w:lang w:val="en-US" w:eastAsia="en-US" w:bidi="ar-SA"/>
        </w:rPr>
        <w:t>CARs</w:t>
      </w:r>
      <w:r>
        <w:rPr>
          <w:rFonts w:ascii="arial" w:eastAsia="arial" w:hAnsi="arial" w:cs="arial"/>
          <w:color w:val="000000"/>
          <w:sz w:val="20"/>
          <w:lang w:val="en-US" w:eastAsia="en-US" w:bidi="ar-SA"/>
        </w:rPr>
        <w:t>. The relationship was not between the regulator and a passenger or user of the air carrier's services or a member of the public.</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177</w:t>
      </w:r>
      <w:r>
        <w:rPr>
          <w:rFonts w:ascii="arial" w:eastAsia="arial" w:hAnsi="arial" w:cs="arial"/>
          <w:color w:val="000000"/>
          <w:sz w:val="20"/>
          <w:lang w:val="en-US" w:eastAsia="en-US" w:bidi="ar-SA"/>
        </w:rPr>
        <w:t xml:space="preserve">  The starting point for this part of the </w:t>
      </w:r>
      <w:r>
        <w:rPr>
          <w:rFonts w:ascii="arial" w:eastAsia="arial" w:hAnsi="arial" w:cs="arial"/>
          <w:i/>
          <w:color w:val="000000"/>
          <w:sz w:val="20"/>
          <w:lang w:val="en-US" w:eastAsia="en-US" w:bidi="ar-SA"/>
        </w:rPr>
        <w:t>Anns-Cooper</w:t>
      </w:r>
      <w:r>
        <w:rPr>
          <w:rFonts w:ascii="arial" w:eastAsia="arial" w:hAnsi="arial" w:cs="arial"/>
          <w:color w:val="000000"/>
          <w:sz w:val="20"/>
          <w:lang w:val="en-US" w:eastAsia="en-US" w:bidi="ar-SA"/>
        </w:rPr>
        <w:t xml:space="preserve"> analysis then must be the terms of the governing statute and regulations under which the regulator is delegated its powers. I have earlier set out the statutory and regulatory system which Transport Canada governed and IEA operated under in some detail. There are two significant factors to note about the </w:t>
      </w:r>
      <w:r>
        <w:rPr>
          <w:rFonts w:ascii="arial" w:eastAsia="arial" w:hAnsi="arial" w:cs="arial"/>
          <w:i/>
          <w:color w:val="000000"/>
          <w:sz w:val="20"/>
          <w:lang w:val="en-US" w:eastAsia="en-US" w:bidi="ar-SA"/>
        </w:rPr>
        <w:t>Act</w:t>
      </w:r>
      <w:r>
        <w:rPr>
          <w:rFonts w:ascii="arial" w:eastAsia="arial" w:hAnsi="arial" w:cs="arial"/>
          <w:color w:val="000000"/>
          <w:sz w:val="20"/>
          <w:lang w:val="en-US" w:eastAsia="en-US" w:bidi="ar-SA"/>
        </w:rPr>
        <w:t xml:space="preserve"> and the </w:t>
      </w:r>
      <w:r>
        <w:rPr>
          <w:rFonts w:ascii="arial" w:eastAsia="arial" w:hAnsi="arial" w:cs="arial"/>
          <w:i/>
          <w:color w:val="000000"/>
          <w:sz w:val="20"/>
          <w:lang w:val="en-US" w:eastAsia="en-US" w:bidi="ar-SA"/>
        </w:rPr>
        <w:t>CARs.</w:t>
      </w:r>
      <w:r>
        <w:rPr>
          <w:rFonts w:ascii="arial" w:eastAsia="arial" w:hAnsi="arial" w:cs="arial"/>
          <w:color w:val="000000"/>
          <w:sz w:val="20"/>
          <w:lang w:val="en-US" w:eastAsia="en-US" w:bidi="ar-SA"/>
        </w:rPr>
        <w:t xml:space="preserve"> The first is the broad and all-encompassing powers granted to TCCA pursuant to the </w:t>
      </w:r>
      <w:r>
        <w:rPr>
          <w:rFonts w:ascii="arial" w:eastAsia="arial" w:hAnsi="arial" w:cs="arial"/>
          <w:i/>
          <w:color w:val="000000"/>
          <w:sz w:val="20"/>
          <w:lang w:val="en-US" w:eastAsia="en-US" w:bidi="ar-SA"/>
        </w:rPr>
        <w:t>Act</w:t>
      </w:r>
      <w:r>
        <w:rPr>
          <w:rFonts w:ascii="arial" w:eastAsia="arial" w:hAnsi="arial" w:cs="arial"/>
          <w:color w:val="000000"/>
          <w:sz w:val="20"/>
          <w:lang w:val="en-US" w:eastAsia="en-US" w:bidi="ar-SA"/>
        </w:rPr>
        <w:t>. The second is the remedy available to the holder of a Certificate such as IEA when that Certificate is suspended or cancelled.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178</w:t>
      </w:r>
      <w:r>
        <w:rPr>
          <w:rFonts w:ascii="arial" w:eastAsia="arial" w:hAnsi="arial" w:cs="arial"/>
          <w:color w:val="000000"/>
          <w:sz w:val="20"/>
          <w:lang w:val="en-US" w:eastAsia="en-US" w:bidi="ar-SA"/>
        </w:rPr>
        <w:t>  In my view it is of significance that while the powers given to TCCA as regulator are broad, the avenue provided by Parliament to a person aggrieved by a decision of the regulator are narrow. Section 7.1(2.1) provides that a suspension or cancellation of a Certificate comes into effect "on the date of receipt of the notice" (unless otherwise stated). Section 7.1(4) provides that an application to review a decision to suspend or cancel "does not operate as a stay" of the suspension or cancellation. Further and significantly, the TAT only has the power under s. 7.1(7) to confirm the decision or refer it back to the Minister for reconsideration. Section 7.1(8) provides that the suspension or cancellation remains in effect until the Minister's reconsideration is concluded, although the TAT may grant a stay if it considers such stay would not constitute a threat to aviation safety. That application did not occur in the present case, likely because it would have been academic given IEA's bankruptcy.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179</w:t>
      </w:r>
      <w:r>
        <w:rPr>
          <w:rFonts w:ascii="arial" w:eastAsia="arial" w:hAnsi="arial" w:cs="arial"/>
          <w:color w:val="000000"/>
          <w:sz w:val="20"/>
          <w:lang w:val="en-US" w:eastAsia="en-US" w:bidi="ar-SA"/>
        </w:rPr>
        <w:t xml:space="preserve">  There is then no provision in the </w:t>
      </w:r>
      <w:r>
        <w:rPr>
          <w:rFonts w:ascii="arial" w:eastAsia="arial" w:hAnsi="arial" w:cs="arial"/>
          <w:i/>
          <w:color w:val="000000"/>
          <w:sz w:val="20"/>
          <w:lang w:val="en-US" w:eastAsia="en-US" w:bidi="ar-SA"/>
        </w:rPr>
        <w:t>Act</w:t>
      </w:r>
      <w:r>
        <w:rPr>
          <w:rFonts w:ascii="arial" w:eastAsia="arial" w:hAnsi="arial" w:cs="arial"/>
          <w:color w:val="000000"/>
          <w:sz w:val="20"/>
          <w:lang w:val="en-US" w:eastAsia="en-US" w:bidi="ar-SA"/>
        </w:rPr>
        <w:t xml:space="preserve"> which allows a full-fledged right of appeal from the initial decision to suspend or cancel. Neither the TAT nor the reconsideration panel has the power to reverse the Minister's decision. The </w:t>
      </w:r>
      <w:r>
        <w:rPr>
          <w:rFonts w:ascii="arial" w:eastAsia="arial" w:hAnsi="arial" w:cs="arial"/>
          <w:i/>
          <w:color w:val="000000"/>
          <w:sz w:val="20"/>
          <w:lang w:val="en-US" w:eastAsia="en-US" w:bidi="ar-SA"/>
        </w:rPr>
        <w:t>Act</w:t>
      </w:r>
      <w:r>
        <w:rPr>
          <w:rFonts w:ascii="arial" w:eastAsia="arial" w:hAnsi="arial" w:cs="arial"/>
          <w:color w:val="000000"/>
          <w:sz w:val="20"/>
          <w:lang w:val="en-US" w:eastAsia="en-US" w:bidi="ar-SA"/>
        </w:rPr>
        <w:t xml:space="preserve"> simply provides a mechanism whereby the suspension or cancellation is referred back to the Minister for further reconsideration.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180</w:t>
      </w:r>
      <w:r>
        <w:rPr>
          <w:rFonts w:ascii="arial" w:eastAsia="arial" w:hAnsi="arial" w:cs="arial"/>
          <w:color w:val="000000"/>
          <w:sz w:val="20"/>
          <w:lang w:val="en-US" w:eastAsia="en-US" w:bidi="ar-SA"/>
        </w:rPr>
        <w:t xml:space="preserve">  The fact there is no immunity clause and no statutory compensation scheme in the </w:t>
      </w:r>
      <w:r>
        <w:rPr>
          <w:rFonts w:ascii="arial" w:eastAsia="arial" w:hAnsi="arial" w:cs="arial"/>
          <w:i/>
          <w:color w:val="000000"/>
          <w:sz w:val="20"/>
          <w:lang w:val="en-US" w:eastAsia="en-US" w:bidi="ar-SA"/>
        </w:rPr>
        <w:t>Act</w:t>
      </w:r>
      <w:r>
        <w:rPr>
          <w:rFonts w:ascii="arial" w:eastAsia="arial" w:hAnsi="arial" w:cs="arial"/>
          <w:color w:val="000000"/>
          <w:sz w:val="20"/>
          <w:lang w:val="en-US" w:eastAsia="en-US" w:bidi="ar-SA"/>
        </w:rPr>
        <w:t xml:space="preserve"> does not lead to an inference that a duty of care is owed by the government to those governed by the provisions of the </w:t>
      </w:r>
      <w:r>
        <w:rPr>
          <w:rFonts w:ascii="arial" w:eastAsia="arial" w:hAnsi="arial" w:cs="arial"/>
          <w:i/>
          <w:color w:val="000000"/>
          <w:sz w:val="20"/>
          <w:lang w:val="en-US" w:eastAsia="en-US" w:bidi="ar-SA"/>
        </w:rPr>
        <w:t>Act</w:t>
      </w:r>
      <w:r>
        <w:rPr>
          <w:rFonts w:ascii="arial" w:eastAsia="arial" w:hAnsi="arial" w:cs="arial"/>
          <w:color w:val="000000"/>
          <w:sz w:val="20"/>
          <w:lang w:val="en-US" w:eastAsia="en-US" w:bidi="ar-SA"/>
        </w:rPr>
        <w:t xml:space="preserve">. As Harris J. stated in </w:t>
      </w:r>
      <w:r>
        <w:rPr>
          <w:rFonts w:ascii="arial" w:eastAsia="arial" w:hAnsi="arial" w:cs="arial"/>
          <w:i/>
          <w:color w:val="000000"/>
          <w:sz w:val="20"/>
          <w:lang w:val="en-US" w:eastAsia="en-US" w:bidi="ar-SA"/>
        </w:rPr>
        <w:t>LA Salad, SC</w:t>
      </w:r>
      <w:r>
        <w:rPr>
          <w:rFonts w:ascii="arial" w:eastAsia="arial" w:hAnsi="arial" w:cs="arial"/>
          <w:color w:val="000000"/>
          <w:sz w:val="20"/>
          <w:lang w:val="en-US" w:eastAsia="en-US" w:bidi="ar-SA"/>
        </w:rPr>
        <w: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[91] I do not accept the argument that the absence of an immunity clause in the statute is indicative of a statutory intention that a private duty of care exists. If it is plain and obvious, as here, that the existence of a duty of care is inconsistent with the intention of the legislation, an immunity clause is unnecessary. Indeed, an immunity clause may only be necessary where without it a statute might be read as giving rise to a duty of care.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[92] Equally, the presence or absence of a compensation scheme is not necessarily indicative of whether a duty care exists. The existence of a compensation scheme might, in the overall legislative context, suggest that there is an intention to assume liability for consumer welfare: see, for example, </w:t>
      </w:r>
      <w:r>
        <w:rPr>
          <w:rFonts w:ascii="arial" w:eastAsia="arial" w:hAnsi="arial" w:cs="arial"/>
          <w:i/>
          <w:color w:val="000000"/>
          <w:sz w:val="20"/>
          <w:lang w:val="en-US" w:eastAsia="en-US" w:bidi="ar-SA"/>
        </w:rPr>
        <w:t>Attis</w:t>
      </w:r>
      <w:r>
        <w:rPr>
          <w:rFonts w:ascii="arial" w:eastAsia="arial" w:hAnsi="arial" w:cs="arial"/>
          <w:color w:val="000000"/>
          <w:sz w:val="20"/>
          <w:lang w:val="en-US" w:eastAsia="en-US" w:bidi="ar-SA"/>
        </w:rPr>
        <w:t xml:space="preserve"> at paragraph 58. Equally, it may suggest that no duty of care arises because the scheme exhausts the possibility of compensation. If it is apparent from the scheme that no duty of care can arise, a compensation scheme replicating tort liability would frustrate the legislative intent. Finally, if no duty could arise, one would not expect there to be a compensation scheme also in the legislative scheme. This is the case here.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181</w:t>
      </w:r>
      <w:r>
        <w:rPr>
          <w:rFonts w:ascii="arial" w:eastAsia="arial" w:hAnsi="arial" w:cs="arial"/>
          <w:color w:val="000000"/>
          <w:sz w:val="20"/>
          <w:lang w:val="en-US" w:eastAsia="en-US" w:bidi="ar-SA"/>
        </w:rPr>
        <w:t xml:space="preserve">  The </w:t>
      </w:r>
      <w:r>
        <w:rPr>
          <w:rFonts w:ascii="arial" w:eastAsia="arial" w:hAnsi="arial" w:cs="arial"/>
          <w:i/>
          <w:color w:val="000000"/>
          <w:sz w:val="20"/>
          <w:lang w:val="en-US" w:eastAsia="en-US" w:bidi="ar-SA"/>
        </w:rPr>
        <w:t>Act</w:t>
      </w:r>
      <w:r>
        <w:rPr>
          <w:rFonts w:ascii="arial" w:eastAsia="arial" w:hAnsi="arial" w:cs="arial"/>
          <w:color w:val="000000"/>
          <w:sz w:val="20"/>
          <w:lang w:val="en-US" w:eastAsia="en-US" w:bidi="ar-SA"/>
        </w:rPr>
        <w:t xml:space="preserve"> sets out the grounds upon which a Certificate may be suspended or cancelled. TCCA was ultimately found by the TAT to have incorrectly proceeded under s. 7.1(1)(b) of the </w:t>
      </w:r>
      <w:r>
        <w:rPr>
          <w:rFonts w:ascii="arial" w:eastAsia="arial" w:hAnsi="arial" w:cs="arial"/>
          <w:i/>
          <w:color w:val="000000"/>
          <w:sz w:val="20"/>
          <w:lang w:val="en-US" w:eastAsia="en-US" w:bidi="ar-SA"/>
        </w:rPr>
        <w:t>Act</w:t>
      </w:r>
      <w:r>
        <w:rPr>
          <w:rFonts w:ascii="arial" w:eastAsia="arial" w:hAnsi="arial" w:cs="arial"/>
          <w:color w:val="000000"/>
          <w:sz w:val="20"/>
          <w:lang w:val="en-US" w:eastAsia="en-US" w:bidi="ar-SA"/>
        </w:rPr>
        <w:t>. I accept those present at the meeting of January 22, 2006 had some doubt about proceeding under 7.1(1)(b) as opposed to suspension on another ground, but they elected to follow the advice of Mr. Reinhardt as to how to proceed. The fact remains the TCCA officials at the meeting concluded IEA's Certificate should be suspended immediately in the public interest based on the company's aviation record. This decision may very well have been an improper exercise of authority, but IEA received its remedy for this breach through the tribunal established to provide such remedies. That does not result in a conclusion that IEA was owed a private law duty of care by TCCA.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182</w:t>
      </w:r>
      <w:r>
        <w:rPr>
          <w:rFonts w:ascii="arial" w:eastAsia="arial" w:hAnsi="arial" w:cs="arial"/>
          <w:color w:val="000000"/>
          <w:sz w:val="20"/>
          <w:lang w:val="en-US" w:eastAsia="en-US" w:bidi="ar-SA"/>
        </w:rPr>
        <w:t xml:space="preserve">  In my view the fundamental purpose of the </w:t>
      </w:r>
      <w:r>
        <w:rPr>
          <w:rFonts w:ascii="arial" w:eastAsia="arial" w:hAnsi="arial" w:cs="arial"/>
          <w:i/>
          <w:color w:val="000000"/>
          <w:sz w:val="20"/>
          <w:lang w:val="en-US" w:eastAsia="en-US" w:bidi="ar-SA"/>
        </w:rPr>
        <w:t>Act</w:t>
      </w:r>
      <w:r>
        <w:rPr>
          <w:rFonts w:ascii="arial" w:eastAsia="arial" w:hAnsi="arial" w:cs="arial"/>
          <w:color w:val="000000"/>
          <w:sz w:val="20"/>
          <w:lang w:val="en-US" w:eastAsia="en-US" w:bidi="ar-SA"/>
        </w:rPr>
        <w:t xml:space="preserve"> is to ensure air travel in Canada is conducted safely. The interest sought to be protected is the safety of the flying public and employees engaged in the industry. TCCA's mandate is broad, and necessarily so, to enable it to achieve this purpose. The breadth of TCCA's mandate, including the extent to which a stakeholder's economic interests must give way to the broader public interest is demonstrated by the extensive Enhanced Monitoring Program engaged in by TCCA inspectors. Such a statutory intention cannot give rise to a duty of care to be mindful of an aviation company's economic status. As Chapnik J. stated in </w:t>
      </w:r>
      <w:r>
        <w:rPr>
          <w:rFonts w:ascii="arial" w:eastAsia="arial" w:hAnsi="arial" w:cs="arial"/>
          <w:i/>
          <w:color w:val="000000"/>
          <w:sz w:val="20"/>
          <w:lang w:val="en-US" w:eastAsia="en-US" w:bidi="ar-SA"/>
        </w:rPr>
        <w:t>Klein v. American Medical Systems, Inc.</w:t>
      </w:r>
      <w:r>
        <w:rPr>
          <w:rFonts w:ascii="arial" w:eastAsia="arial" w:hAnsi="arial" w:cs="arial"/>
          <w:color w:val="000000"/>
          <w:sz w:val="20"/>
          <w:lang w:val="en-US" w:eastAsia="en-US" w:bidi="ar-SA"/>
        </w:rPr>
        <w:t>, 2006 CanLII 42799 at para. 25 (Ont. S.C.J.D.C.), "[t]here can be no private law duty of care where the purpose of the legislative scheme is to facilitate a public authority to act in its discretion in the public interest."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183</w:t>
      </w:r>
      <w:r>
        <w:rPr>
          <w:rFonts w:ascii="arial" w:eastAsia="arial" w:hAnsi="arial" w:cs="arial"/>
          <w:color w:val="000000"/>
          <w:sz w:val="20"/>
          <w:lang w:val="en-US" w:eastAsia="en-US" w:bidi="ar-SA"/>
        </w:rPr>
        <w:t>  TCCA's responsibilities to protect public safety are not entirely domestic in origin. Rather, its obligations arise from Canada's obligations as a contracting state of the International Civil Aviation Organization to oversee safe and efficient aviation activity within Canada's jurisdiction.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184</w:t>
      </w:r>
      <w:r>
        <w:rPr>
          <w:rFonts w:ascii="arial" w:eastAsia="arial" w:hAnsi="arial" w:cs="arial"/>
          <w:color w:val="000000"/>
          <w:sz w:val="20"/>
          <w:lang w:val="en-US" w:eastAsia="en-US" w:bidi="ar-SA"/>
        </w:rPr>
        <w:t xml:space="preserve">  Although the Minister is charged with "promoting aeronautics" in s. 4.2 of the </w:t>
      </w:r>
      <w:r>
        <w:rPr>
          <w:rFonts w:ascii="arial" w:eastAsia="arial" w:hAnsi="arial" w:cs="arial"/>
          <w:i/>
          <w:color w:val="000000"/>
          <w:sz w:val="20"/>
          <w:lang w:val="en-US" w:eastAsia="en-US" w:bidi="ar-SA"/>
        </w:rPr>
        <w:t>Act</w:t>
      </w:r>
      <w:r>
        <w:rPr>
          <w:rFonts w:ascii="arial" w:eastAsia="arial" w:hAnsi="arial" w:cs="arial"/>
          <w:color w:val="000000"/>
          <w:sz w:val="20"/>
          <w:lang w:val="en-US" w:eastAsia="en-US" w:bidi="ar-SA"/>
        </w:rPr>
        <w:t xml:space="preserve"> and has developed a number of programs to facilitate its interaction with industry members, I do not agree with the plaintiff's argument that the </w:t>
      </w:r>
      <w:r>
        <w:rPr>
          <w:rFonts w:ascii="arial" w:eastAsia="arial" w:hAnsi="arial" w:cs="arial"/>
          <w:i/>
          <w:color w:val="000000"/>
          <w:sz w:val="20"/>
          <w:lang w:val="en-US" w:eastAsia="en-US" w:bidi="ar-SA"/>
        </w:rPr>
        <w:t>Act</w:t>
      </w:r>
      <w:r>
        <w:rPr>
          <w:rFonts w:ascii="arial" w:eastAsia="arial" w:hAnsi="arial" w:cs="arial"/>
          <w:color w:val="000000"/>
          <w:sz w:val="20"/>
          <w:lang w:val="en-US" w:eastAsia="en-US" w:bidi="ar-SA"/>
        </w:rPr>
        <w:t xml:space="preserve"> evinces legislative objectives which result in or have the effect of protecting the financial interests of individual aviation companies. Tasking the Minister with the responsibility to promote and facilitate the aeronautics industry in Canada does not indicate a legislative intent to impose a duty of care to promote any particular actor within that industry. Mr. Justice Harris rejected a similar argument in </w:t>
      </w:r>
      <w:r>
        <w:rPr>
          <w:rFonts w:ascii="arial" w:eastAsia="arial" w:hAnsi="arial" w:cs="arial"/>
          <w:i/>
          <w:color w:val="000000"/>
          <w:sz w:val="20"/>
          <w:lang w:val="en-US" w:eastAsia="en-US" w:bidi="ar-SA"/>
        </w:rPr>
        <w:t>LA Salad, SC</w:t>
      </w:r>
      <w:r>
        <w:rPr>
          <w:rFonts w:ascii="arial" w:eastAsia="arial" w:hAnsi="arial" w:cs="arial"/>
          <w:color w:val="000000"/>
          <w:sz w:val="20"/>
          <w:lang w:val="en-US" w:eastAsia="en-US" w:bidi="ar-SA"/>
        </w:rPr>
        <w: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[97] Moreover, the purpose of promoting trade and commerce does not itself suggest any obligation to take into account the interests of particular actors in international or interprovincial trade as opposed to creating market conditions that facilitate trade and commerce in the same way the Registrar of Mortgage Brokers in </w:t>
      </w:r>
      <w:r>
        <w:rPr>
          <w:rFonts w:ascii="arial" w:eastAsia="arial" w:hAnsi="arial" w:cs="arial"/>
          <w:i/>
          <w:color w:val="000000"/>
          <w:sz w:val="20"/>
          <w:lang w:val="en-US" w:eastAsia="en-US" w:bidi="ar-SA"/>
        </w:rPr>
        <w:t>Cooper</w:t>
      </w:r>
      <w:r>
        <w:rPr>
          <w:rFonts w:ascii="arial" w:eastAsia="arial" w:hAnsi="arial" w:cs="arial"/>
          <w:color w:val="000000"/>
          <w:sz w:val="20"/>
          <w:lang w:val="en-US" w:eastAsia="en-US" w:bidi="ar-SA"/>
        </w:rPr>
        <w:t xml:space="preserve"> was promoting efficient investment markets in the general public interest.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185</w:t>
      </w:r>
      <w:r>
        <w:rPr>
          <w:rFonts w:ascii="arial" w:eastAsia="arial" w:hAnsi="arial" w:cs="arial"/>
          <w:color w:val="000000"/>
          <w:sz w:val="20"/>
          <w:lang w:val="en-US" w:eastAsia="en-US" w:bidi="ar-SA"/>
        </w:rPr>
        <w:t xml:space="preserve">  I next turn to consider whether the government has, through its conduct, entered into a special relationship with the plaintiff sufficient to establish proximity: </w:t>
      </w:r>
      <w:r>
        <w:rPr>
          <w:rFonts w:ascii="arial" w:eastAsia="arial" w:hAnsi="arial" w:cs="arial"/>
          <w:i/>
          <w:color w:val="000000"/>
          <w:sz w:val="20"/>
          <w:lang w:val="en-US" w:eastAsia="en-US" w:bidi="ar-SA"/>
        </w:rPr>
        <w:t>Imperial Tobacco</w:t>
      </w:r>
      <w:r>
        <w:rPr>
          <w:rFonts w:ascii="arial" w:eastAsia="arial" w:hAnsi="arial" w:cs="arial"/>
          <w:color w:val="000000"/>
          <w:sz w:val="20"/>
          <w:lang w:val="en-US" w:eastAsia="en-US" w:bidi="ar-SA"/>
        </w:rPr>
        <w:t xml:space="preserve"> at para. 45. The plaintiff argues that the interaction between IEA and the defendants over a 14 year time period established a close and direct relationship characterized by expectations, representations and reliance.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186</w:t>
      </w:r>
      <w:r>
        <w:rPr>
          <w:rFonts w:ascii="arial" w:eastAsia="arial" w:hAnsi="arial" w:cs="arial"/>
          <w:color w:val="000000"/>
          <w:sz w:val="20"/>
          <w:lang w:val="en-US" w:eastAsia="en-US" w:bidi="ar-SA"/>
        </w:rPr>
        <w:t>  The plaintiff relies on Transport Canada's Flight 2005, the SMS initiated under Civil Aviation Directive #39, the Enhanced Monitoring Program, the IMS and the various CAPs entered into as demonstrating a relationship of proximity established by a course of conduct between IEA and TCCA. The plaintiff points out that Transport Canada recognized air operators like IEA as stakeholders in the aviation industry through several of these policy documents, such as the IMS. The plaintiff claims the defendants did not follow their own policies and procedures set out in these documents and that TCCA did no proper investigation prior to issuing the NOS.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187</w:t>
      </w:r>
      <w:r>
        <w:rPr>
          <w:rFonts w:ascii="arial" w:eastAsia="arial" w:hAnsi="arial" w:cs="arial"/>
          <w:color w:val="000000"/>
          <w:sz w:val="20"/>
          <w:lang w:val="en-US" w:eastAsia="en-US" w:bidi="ar-SA"/>
        </w:rPr>
        <w:t xml:space="preserve">  In my view, these programs and policies were all aimed at providing mechanisms which would more easily permit Transport Canada to enforce adherence to its regulations. The fact a company holding a Certificate had entered into a CAP did not forestall enforcement action being taken by Transport Canada and fines imposed for infractions. As noted earlier, the SMS explicitly stated that this initiative did not preclude enforcement action being taken by Transport Canada. I adopt the reasoning in </w:t>
      </w:r>
      <w:r>
        <w:rPr>
          <w:rFonts w:ascii="arial" w:eastAsia="arial" w:hAnsi="arial" w:cs="arial"/>
          <w:i/>
          <w:color w:val="000000"/>
          <w:sz w:val="20"/>
          <w:lang w:val="en-US" w:eastAsia="en-US" w:bidi="ar-SA"/>
        </w:rPr>
        <w:t>Attis</w:t>
      </w:r>
      <w:r>
        <w:rPr>
          <w:rFonts w:ascii="arial" w:eastAsia="arial" w:hAnsi="arial" w:cs="arial"/>
          <w:color w:val="000000"/>
          <w:sz w:val="20"/>
          <w:lang w:val="en-US" w:eastAsia="en-US" w:bidi="ar-SA"/>
        </w:rPr>
        <w:t xml:space="preserve"> at para. 57:</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[57] The regulations in force during the time frame defined by the appellants simply particularized and provided mechanisms to enforce compliance with the legislation's objective. A reading of the legislative history of the regulations discloses that there was no obligation on Health Canada to undertake safety and efficacy testing, or to engage any other compliance or enforcement mechanism. The regulations simply authorized Health Canada to enforce the various aspects of the compliance requirements if it chose to do so. Thus, Health Canada was akin to an overseer or watchdog, able to employ discretionary, but not mandatory, enforcement of the legislative scheme. Having the means to enforce compliance does not translate into an obligation to do so: see </w:t>
      </w:r>
      <w:r>
        <w:rPr>
          <w:rFonts w:ascii="arial" w:eastAsia="arial" w:hAnsi="arial" w:cs="arial"/>
          <w:i/>
          <w:color w:val="000000"/>
          <w:sz w:val="20"/>
          <w:lang w:val="en-US" w:eastAsia="en-US" w:bidi="ar-SA"/>
        </w:rPr>
        <w:t>Street v. Ontario Racing Commission</w:t>
      </w:r>
      <w:r>
        <w:rPr>
          <w:rFonts w:ascii="arial" w:eastAsia="arial" w:hAnsi="arial" w:cs="arial"/>
          <w:color w:val="000000"/>
          <w:sz w:val="20"/>
          <w:lang w:val="en-US" w:eastAsia="en-US" w:bidi="ar-SA"/>
        </w:rPr>
        <w:t xml:space="preserve">, </w:t>
      </w:r>
      <w:hyperlink r:id="rId47" w:history="1">
        <w:r>
          <w:rPr>
            <w:rFonts w:ascii="arial" w:eastAsia="arial" w:hAnsi="arial" w:cs="arial"/>
            <w:i/>
            <w:color w:val="0077CC"/>
            <w:sz w:val="20"/>
            <w:u w:val="single"/>
            <w:shd w:val="clear" w:color="auto" w:fill="FFFFFF"/>
            <w:lang w:val="en-US" w:eastAsia="en-US" w:bidi="ar-SA"/>
          </w:rPr>
          <w:t>(2008), 88 O.R. (3d) 563</w:t>
        </w:r>
      </w:hyperlink>
      <w:r>
        <w:rPr>
          <w:rFonts w:ascii="arial" w:eastAsia="arial" w:hAnsi="arial" w:cs="arial"/>
          <w:color w:val="000000"/>
          <w:sz w:val="20"/>
          <w:lang w:val="en-US" w:eastAsia="en-US" w:bidi="ar-SA"/>
        </w:rPr>
        <w:t xml:space="preserve"> at para. 18 (C.A.). Like the </w:t>
      </w:r>
      <w:r>
        <w:rPr>
          <w:rFonts w:ascii="arial" w:eastAsia="arial" w:hAnsi="arial" w:cs="arial"/>
          <w:i/>
          <w:color w:val="000000"/>
          <w:sz w:val="20"/>
          <w:lang w:val="en-US" w:eastAsia="en-US" w:bidi="ar-SA"/>
        </w:rPr>
        <w:t>FDA</w:t>
      </w:r>
      <w:r>
        <w:rPr>
          <w:rFonts w:ascii="arial" w:eastAsia="arial" w:hAnsi="arial" w:cs="arial"/>
          <w:color w:val="000000"/>
          <w:sz w:val="20"/>
          <w:lang w:val="en-US" w:eastAsia="en-US" w:bidi="ar-SA"/>
        </w:rPr>
        <w:t>, the regulations mandate that the medical devices industry is responsible for product safety, a responsibility that has become increasingly rigorous over time. The government, like the consumer, depends on the manufacturer to ensure product safety.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188</w:t>
      </w:r>
      <w:r>
        <w:rPr>
          <w:rFonts w:ascii="arial" w:eastAsia="arial" w:hAnsi="arial" w:cs="arial"/>
          <w:color w:val="000000"/>
          <w:sz w:val="20"/>
          <w:lang w:val="en-US" w:eastAsia="en-US" w:bidi="ar-SA"/>
        </w:rPr>
        <w:t xml:space="preserve">  The fact that IEA was the subject of inspections and even the Enhanced Monitoring Program does not mean that a proximate relationship was established. As Harris J. explained in </w:t>
      </w:r>
      <w:r>
        <w:rPr>
          <w:rFonts w:ascii="arial" w:eastAsia="arial" w:hAnsi="arial" w:cs="arial"/>
          <w:i/>
          <w:color w:val="000000"/>
          <w:sz w:val="20"/>
          <w:lang w:val="en-US" w:eastAsia="en-US" w:bidi="ar-SA"/>
        </w:rPr>
        <w:t>LA Salad, SC</w:t>
      </w:r>
      <w:r>
        <w:rPr>
          <w:rFonts w:ascii="arial" w:eastAsia="arial" w:hAnsi="arial" w:cs="arial"/>
          <w:color w:val="000000"/>
          <w:sz w:val="20"/>
          <w:lang w:val="en-US" w:eastAsia="en-US" w:bidi="ar-SA"/>
        </w:rPr>
        <w:t xml:space="preserve"> targeting an entity during the course of enforcing a regulatory system does not necessarily demonstrate proximity:</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[106] It is inherent in the nature of regulation that a regulator will come into contact with entities or products that are regulated and will have information about the product and who has produced or supplied it. If the general policy of the law is to immunize regulators acting as regulators to protect or promote the public interest from lawsuits, it would follow that the kind of activity that would bring the regulator into contact with regulated entities or their products in the exercise of their regulatory duties could not create proximity where it did not otherwise exist.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[107] I agree with the following statement from the Ontario Court of Appeal in </w:t>
      </w:r>
      <w:r>
        <w:rPr>
          <w:rFonts w:ascii="arial" w:eastAsia="arial" w:hAnsi="arial" w:cs="arial"/>
          <w:i/>
          <w:color w:val="000000"/>
          <w:sz w:val="20"/>
          <w:lang w:val="en-US" w:eastAsia="en-US" w:bidi="ar-SA"/>
        </w:rPr>
        <w:t>River Valley</w:t>
      </w:r>
      <w:r>
        <w:rPr>
          <w:rFonts w:ascii="arial" w:eastAsia="arial" w:hAnsi="arial" w:cs="arial"/>
          <w:color w:val="000000"/>
          <w:sz w:val="20"/>
          <w:lang w:val="en-US" w:eastAsia="en-US" w:bidi="ar-SA"/>
        </w:rPr>
        <w:t xml:space="preserve"> in which Laskin J.A. said:</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 xml:space="preserve">[59] I accept that when a government agency targets an enterprise for investigation that might suggest some relationship between the two. But proximity under the </w:t>
      </w:r>
      <w:r>
        <w:rPr>
          <w:rFonts w:ascii="arial" w:eastAsia="arial" w:hAnsi="arial" w:cs="arial"/>
          <w:i/>
          <w:color w:val="000000"/>
          <w:sz w:val="20"/>
          <w:lang w:val="en-US" w:eastAsia="en-US" w:bidi="ar-SA"/>
        </w:rPr>
        <w:t>Anns</w:t>
      </w:r>
      <w:r>
        <w:rPr>
          <w:rFonts w:ascii="arial" w:eastAsia="arial" w:hAnsi="arial" w:cs="arial"/>
          <w:color w:val="000000"/>
          <w:sz w:val="20"/>
          <w:lang w:val="en-US" w:eastAsia="en-US" w:bidi="ar-SA"/>
        </w:rPr>
        <w:t xml:space="preserve"> test requires something more: it requires a sufficiently close and direct relationship making the imposition of a private duty of care fair and just. Mere targeting in the context of a statutory regime under which a government agency is responsible for preventing and controlling the spread of disease in the interest of animal and public health is not enough to establish proximity.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189</w:t>
      </w:r>
      <w:r>
        <w:rPr>
          <w:rFonts w:ascii="arial" w:eastAsia="arial" w:hAnsi="arial" w:cs="arial"/>
          <w:color w:val="000000"/>
          <w:sz w:val="20"/>
          <w:lang w:val="en-US" w:eastAsia="en-US" w:bidi="ar-SA"/>
        </w:rPr>
        <w:t xml:space="preserve">  All aspects of the aeronautics industry are highly regulated and, as occurred in this case during the enhanced monitoring period between August 2004 and January 2006, can be subject to close scrutiny by the regulatory authority. Transport Canada did not step outside of its role as regulator. I am of the view that the interactions between IEA and the defendants that took place while Transport Canada carried out the regulatory system it was charged with did not create a close and direct relationship which would give rise to a </w:t>
      </w:r>
      <w:r>
        <w:rPr>
          <w:rFonts w:ascii="arial" w:eastAsia="arial" w:hAnsi="arial" w:cs="arial"/>
          <w:i/>
          <w:color w:val="000000"/>
          <w:sz w:val="20"/>
          <w:lang w:val="en-US" w:eastAsia="en-US" w:bidi="ar-SA"/>
        </w:rPr>
        <w:t>prima facie</w:t>
      </w:r>
      <w:r>
        <w:rPr>
          <w:rFonts w:ascii="arial" w:eastAsia="arial" w:hAnsi="arial" w:cs="arial"/>
          <w:color w:val="000000"/>
          <w:sz w:val="20"/>
          <w:lang w:val="en-US" w:eastAsia="en-US" w:bidi="ar-SA"/>
        </w:rPr>
        <w:t xml:space="preserve"> duty of care.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 xml:space="preserve">Would Policy Considerations Negate a </w:t>
      </w:r>
      <w:r>
        <w:rPr>
          <w:rFonts w:ascii="arial" w:eastAsia="arial" w:hAnsi="arial" w:cs="arial"/>
          <w:b/>
          <w:i/>
          <w:color w:val="000000"/>
          <w:sz w:val="20"/>
          <w:lang w:val="en-US" w:eastAsia="en-US" w:bidi="ar-SA"/>
        </w:rPr>
        <w:t>Prima Facie</w:t>
      </w:r>
      <w:r>
        <w:rPr>
          <w:rFonts w:ascii="arial" w:eastAsia="arial" w:hAnsi="arial" w:cs="arial"/>
          <w:b/>
          <w:color w:val="000000"/>
          <w:sz w:val="20"/>
          <w:lang w:val="en-US" w:eastAsia="en-US" w:bidi="ar-SA"/>
        </w:rPr>
        <w:t xml:space="preserve"> Duty of Care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190</w:t>
      </w:r>
      <w:r>
        <w:rPr>
          <w:rFonts w:ascii="arial" w:eastAsia="arial" w:hAnsi="arial" w:cs="arial"/>
          <w:color w:val="000000"/>
          <w:sz w:val="20"/>
          <w:lang w:val="en-US" w:eastAsia="en-US" w:bidi="ar-SA"/>
        </w:rPr>
        <w:t xml:space="preserve">  Even if I had found sufficient proximity between IEA and TCCA I am of the view the imposition of a duty of care on TCCA would have a chilling effect on the duties they are required to perform under the </w:t>
      </w:r>
      <w:r>
        <w:rPr>
          <w:rFonts w:ascii="arial" w:eastAsia="arial" w:hAnsi="arial" w:cs="arial"/>
          <w:i/>
          <w:color w:val="000000"/>
          <w:sz w:val="20"/>
          <w:lang w:val="en-US" w:eastAsia="en-US" w:bidi="ar-SA"/>
        </w:rPr>
        <w:t>Act</w:t>
      </w:r>
      <w:r>
        <w:rPr>
          <w:rFonts w:ascii="arial" w:eastAsia="arial" w:hAnsi="arial" w:cs="arial"/>
          <w:color w:val="000000"/>
          <w:sz w:val="20"/>
          <w:lang w:val="en-US" w:eastAsia="en-US" w:bidi="ar-SA"/>
        </w:rPr>
        <w:t xml:space="preserve"> and regulations. A </w:t>
      </w:r>
      <w:r>
        <w:rPr>
          <w:rFonts w:ascii="arial" w:eastAsia="arial" w:hAnsi="arial" w:cs="arial"/>
          <w:i/>
          <w:color w:val="000000"/>
          <w:sz w:val="20"/>
          <w:lang w:val="en-US" w:eastAsia="en-US" w:bidi="ar-SA"/>
        </w:rPr>
        <w:t>prima facie</w:t>
      </w:r>
      <w:r>
        <w:rPr>
          <w:rFonts w:ascii="arial" w:eastAsia="arial" w:hAnsi="arial" w:cs="arial"/>
          <w:color w:val="000000"/>
          <w:sz w:val="20"/>
          <w:lang w:val="en-US" w:eastAsia="en-US" w:bidi="ar-SA"/>
        </w:rPr>
        <w:t xml:space="preserve"> duty would therefore be negatived by policy considerations.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191</w:t>
      </w:r>
      <w:r>
        <w:rPr>
          <w:rFonts w:ascii="arial" w:eastAsia="arial" w:hAnsi="arial" w:cs="arial"/>
          <w:color w:val="000000"/>
          <w:sz w:val="20"/>
          <w:lang w:val="en-US" w:eastAsia="en-US" w:bidi="ar-SA"/>
        </w:rPr>
        <w:t xml:space="preserve">  As stated by McLachlan C.J.C. in </w:t>
      </w:r>
      <w:r>
        <w:rPr>
          <w:rFonts w:ascii="arial" w:eastAsia="arial" w:hAnsi="arial" w:cs="arial"/>
          <w:i/>
          <w:color w:val="000000"/>
          <w:sz w:val="20"/>
          <w:lang w:val="en-US" w:eastAsia="en-US" w:bidi="ar-SA"/>
        </w:rPr>
        <w:t>Holland</w:t>
      </w:r>
      <w:r>
        <w:rPr>
          <w:rFonts w:ascii="arial" w:eastAsia="arial" w:hAnsi="arial" w:cs="arial"/>
          <w:color w:val="000000"/>
          <w:sz w:val="20"/>
          <w:lang w:val="en-US" w:eastAsia="en-US" w:bidi="ar-SA"/>
        </w:rPr>
        <w:t xml:space="preserve"> at para. 10:</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[10] The next question was whether a hitherto unrecognized relationship of potential liability in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should be recognized under the </w:t>
      </w:r>
      <w:r>
        <w:rPr>
          <w:rFonts w:ascii="arial" w:eastAsia="arial" w:hAnsi="arial" w:cs="arial"/>
          <w:i/>
          <w:color w:val="000000"/>
          <w:sz w:val="20"/>
          <w:lang w:val="en-US" w:eastAsia="en-US" w:bidi="ar-SA"/>
        </w:rPr>
        <w:t>Anns</w:t>
      </w:r>
      <w:r>
        <w:rPr>
          <w:rFonts w:ascii="arial" w:eastAsia="arial" w:hAnsi="arial" w:cs="arial"/>
          <w:color w:val="000000"/>
          <w:sz w:val="20"/>
          <w:lang w:val="en-US" w:eastAsia="en-US" w:bidi="ar-SA"/>
        </w:rPr>
        <w:t xml:space="preserve"> test. Assuming, without deciding, that the legislative and regulatory matrix established proximity between the Class and the government at the first step, policy considerations would negate recognition of liability, as the Court of Appeal detailed. These include the chilling effect and specter of indeterminate liability. As Richards J.A. stated at para. 43 of the Court of Appeal's decision:</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 xml:space="preserve">... the respondent's theory of liability would fundamentally shift the way in which the public and private spheres historically have carried the consequences or burden of governmental action which is shown to be </w:t>
      </w:r>
      <w:r>
        <w:rPr>
          <w:rFonts w:ascii="arial" w:eastAsia="arial" w:hAnsi="arial" w:cs="arial"/>
          <w:i/>
          <w:color w:val="000000"/>
          <w:sz w:val="20"/>
          <w:lang w:val="en-US" w:eastAsia="en-US" w:bidi="ar-SA"/>
        </w:rPr>
        <w:t>ultra vires</w:t>
      </w:r>
      <w:r>
        <w:rPr>
          <w:rFonts w:ascii="arial" w:eastAsia="arial" w:hAnsi="arial" w:cs="arial"/>
          <w:color w:val="000000"/>
          <w:sz w:val="20"/>
          <w:lang w:val="en-US" w:eastAsia="en-US" w:bidi="ar-SA"/>
        </w:rPr>
        <w:t>. I see no policy reason which would warrant such a dramatic revision in the shape of the law and, as indicated above, see much which cuts tellingly against shaping the law in the manner sought by the respondent.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[11] I therefore agree with the Court of Appeal that the appellant's claim for negligently acting outside the law, or breach of statutory duty, cannot succeed and that the paragraphs of the statement of claim asserting this cause of action were rightly struck.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192</w:t>
      </w:r>
      <w:r>
        <w:rPr>
          <w:rFonts w:ascii="arial" w:eastAsia="arial" w:hAnsi="arial" w:cs="arial"/>
          <w:color w:val="000000"/>
          <w:sz w:val="20"/>
          <w:lang w:val="en-US" w:eastAsia="en-US" w:bidi="ar-SA"/>
        </w:rPr>
        <w:t xml:space="preserve">  The case at bar bears a striking similarity to the issues involved in </w:t>
      </w:r>
      <w:r>
        <w:rPr>
          <w:rFonts w:ascii="arial" w:eastAsia="arial" w:hAnsi="arial" w:cs="arial"/>
          <w:i/>
          <w:color w:val="000000"/>
          <w:sz w:val="20"/>
          <w:lang w:val="en-US" w:eastAsia="en-US" w:bidi="ar-SA"/>
        </w:rPr>
        <w:t>LA Salad, CA</w:t>
      </w:r>
      <w:r>
        <w:rPr>
          <w:rFonts w:ascii="arial" w:eastAsia="arial" w:hAnsi="arial" w:cs="arial"/>
          <w:color w:val="000000"/>
          <w:sz w:val="20"/>
          <w:lang w:val="en-US" w:eastAsia="en-US" w:bidi="ar-SA"/>
        </w:rPr>
        <w:t xml:space="preserve"> where at para. 55 Mr. Justice Smith said: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[55] ... In my view, the clear purpose of the relevant legislative scheme is to protect the health of Canadians by preventing the sale of contaminated food in Canada. To recognize a private law duty of care to food sellers would conflict with that purpose. It would put food inspectors in the untenable position of having to balance the paramount interests of the public with private interests of food sellers and would thereby have a chilling effect on the proper performance of their duties. Thus, the statutory scheme excludes the possibility of sufficient factual proximity to make it just and reasonable to impose a </w:t>
      </w:r>
      <w:r>
        <w:rPr>
          <w:rFonts w:ascii="arial" w:eastAsia="arial" w:hAnsi="arial" w:cs="arial"/>
          <w:i/>
          <w:color w:val="000000"/>
          <w:sz w:val="20"/>
          <w:lang w:val="en-US" w:eastAsia="en-US" w:bidi="ar-SA"/>
        </w:rPr>
        <w:t>prima facie</w:t>
      </w:r>
      <w:r>
        <w:rPr>
          <w:rFonts w:ascii="arial" w:eastAsia="arial" w:hAnsi="arial" w:cs="arial"/>
          <w:color w:val="000000"/>
          <w:sz w:val="20"/>
          <w:lang w:val="en-US" w:eastAsia="en-US" w:bidi="ar-SA"/>
        </w:rPr>
        <w:t xml:space="preserve"> duty of care in the circumstances of this case: see </w:t>
      </w:r>
      <w:r>
        <w:rPr>
          <w:rFonts w:ascii="arial" w:eastAsia="arial" w:hAnsi="arial" w:cs="arial"/>
          <w:i/>
          <w:color w:val="000000"/>
          <w:sz w:val="20"/>
          <w:lang w:val="en-US" w:eastAsia="en-US" w:bidi="ar-SA"/>
        </w:rPr>
        <w:t>Imperial Tobacco</w:t>
      </w:r>
      <w:r>
        <w:rPr>
          <w:rFonts w:ascii="arial" w:eastAsia="arial" w:hAnsi="arial" w:cs="arial"/>
          <w:color w:val="000000"/>
          <w:sz w:val="20"/>
          <w:lang w:val="en-US" w:eastAsia="en-US" w:bidi="ar-SA"/>
        </w:rPr>
        <w:t xml:space="preserve"> (S.C.C.) at para. 47. ...</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193</w:t>
      </w:r>
      <w:r>
        <w:rPr>
          <w:rFonts w:ascii="arial" w:eastAsia="arial" w:hAnsi="arial" w:cs="arial"/>
          <w:color w:val="000000"/>
          <w:sz w:val="20"/>
          <w:lang w:val="en-US" w:eastAsia="en-US" w:bidi="ar-SA"/>
        </w:rPr>
        <w:t xml:space="preserve">  The plaintiff maintains that to impose a duty of care on the defendants in this case would not subject Transport Canada to indeterminate liability as only Certificate holders who have had their Certificate negligently suspended or cancelled would be owed a duty of care. This type of argument has been rejected by many courts. For instance, in </w:t>
      </w:r>
      <w:r>
        <w:rPr>
          <w:rFonts w:ascii="arial" w:eastAsia="arial" w:hAnsi="arial" w:cs="arial"/>
          <w:i/>
          <w:color w:val="000000"/>
          <w:sz w:val="20"/>
          <w:lang w:val="en-US" w:eastAsia="en-US" w:bidi="ar-SA"/>
        </w:rPr>
        <w:t>Knight v. Imperial Tobacco Canada Limited</w:t>
      </w:r>
      <w:r>
        <w:rPr>
          <w:rFonts w:ascii="arial" w:eastAsia="arial" w:hAnsi="arial" w:cs="arial"/>
          <w:color w:val="000000"/>
          <w:sz w:val="20"/>
          <w:lang w:val="en-US" w:eastAsia="en-US" w:bidi="ar-SA"/>
        </w:rPr>
        <w:t xml:space="preserve">, </w:t>
      </w:r>
      <w:hyperlink r:id="rId39" w:history="1">
        <w:r>
          <w:rPr>
            <w:rFonts w:ascii="arial" w:eastAsia="arial" w:hAnsi="arial" w:cs="arial"/>
            <w:i/>
            <w:color w:val="0077CC"/>
            <w:sz w:val="20"/>
            <w:u w:val="single"/>
            <w:shd w:val="clear" w:color="auto" w:fill="FFFFFF"/>
            <w:lang w:val="en-US" w:eastAsia="en-US" w:bidi="ar-SA"/>
          </w:rPr>
          <w:t>2009 BCCA 541</w:t>
        </w:r>
      </w:hyperlink>
      <w:r>
        <w:rPr>
          <w:rFonts w:ascii="arial" w:eastAsia="arial" w:hAnsi="arial" w:cs="arial"/>
          <w:color w:val="000000"/>
          <w:sz w:val="20"/>
          <w:lang w:val="en-US" w:eastAsia="en-US" w:bidi="ar-SA"/>
        </w:rPr>
        <w:t xml:space="preserve"> Tysoe J.A. stated: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[82] ... the concern regarding indeterminate liability is not limited to those persons in the same position as the claimant who may also put forward a claim for economic loss. The concern is that there may be innumerable other persons who suffer economic loss as a result of the injury to the third party in question (here, the class members) or damage to or loss of property of the third party. For example, employers of key employees who became incapacitated as a result of smoking light and mild cigarettes could claim for lost profits. Suppliers of the employer may suffer a financial loss. Persons having contracts with smokers of light and mild cigarettes could claim for economic loss occasioned by the incapacity of the smokers. Family members of a smoker of light and mild cigarettes could suffer financial loss.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194</w:t>
      </w:r>
      <w:r>
        <w:rPr>
          <w:rFonts w:ascii="arial" w:eastAsia="arial" w:hAnsi="arial" w:cs="arial"/>
          <w:color w:val="000000"/>
          <w:sz w:val="20"/>
          <w:lang w:val="en-US" w:eastAsia="en-US" w:bidi="ar-SA"/>
        </w:rPr>
        <w:t xml:space="preserve">  Similarly, in </w:t>
      </w:r>
      <w:r>
        <w:rPr>
          <w:rFonts w:ascii="arial" w:eastAsia="arial" w:hAnsi="arial" w:cs="arial"/>
          <w:i/>
          <w:color w:val="000000"/>
          <w:sz w:val="20"/>
          <w:lang w:val="en-US" w:eastAsia="en-US" w:bidi="ar-SA"/>
        </w:rPr>
        <w:t>LA Salad, SC</w:t>
      </w:r>
      <w:r>
        <w:rPr>
          <w:rFonts w:ascii="arial" w:eastAsia="arial" w:hAnsi="arial" w:cs="arial"/>
          <w:color w:val="000000"/>
          <w:sz w:val="20"/>
          <w:lang w:val="en-US" w:eastAsia="en-US" w:bidi="ar-SA"/>
        </w:rPr>
        <w:t xml:space="preserve"> Harris J. said: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[124] ... If a duty of care to protect the economic interests of a supplier of food existed, then it is difficult to see on what principled basis a duty would not be owed to a multitude of other persons whom it would be reasonably foreseeable would suffer economic loss by negligent inspection. Claims could be advanced by retailers, wholesalers, suppliers, food processors, distributors, farmers and employees of each of the above. This appears to be exactly the kind of problem that has led to a </w:t>
      </w:r>
      <w:r>
        <w:rPr>
          <w:rFonts w:ascii="arial" w:eastAsia="arial" w:hAnsi="arial" w:cs="arial"/>
          <w:i/>
          <w:color w:val="000000"/>
          <w:sz w:val="20"/>
          <w:lang w:val="en-US" w:eastAsia="en-US" w:bidi="ar-SA"/>
        </w:rPr>
        <w:t>prima facie</w:t>
      </w:r>
      <w:r>
        <w:rPr>
          <w:rFonts w:ascii="arial" w:eastAsia="arial" w:hAnsi="arial" w:cs="arial"/>
          <w:color w:val="000000"/>
          <w:sz w:val="20"/>
          <w:lang w:val="en-US" w:eastAsia="en-US" w:bidi="ar-SA"/>
        </w:rPr>
        <w:t xml:space="preserve"> duty of care being negatived in other circumstances.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195</w:t>
      </w:r>
      <w:r>
        <w:rPr>
          <w:rFonts w:ascii="arial" w:eastAsia="arial" w:hAnsi="arial" w:cs="arial"/>
          <w:color w:val="000000"/>
          <w:sz w:val="20"/>
          <w:lang w:val="en-US" w:eastAsia="en-US" w:bidi="ar-SA"/>
        </w:rPr>
        <w:t>  In the case at bar, I see no principled reason why a recognized duty of care to the plaintiff would not also be extended to Certificate holders generally, rather than just those who had their Certificate suspended or cancelled, as well as others, such as licensed pilots and other aviation businesses that are under licence, like AMOs and FTUs. This indeterminate liability may lead to conflicting duties and a chilling effect on government intervention in an industry in which public safety is paramount. As the defendant points out, while the plaintiff is suing Transport Canada for an over-zealous regulatory response, those injured and killed in the January 21, 2006 plane crash also sued Transport Canada, claiming that the regulatory response to IEA was inadequate.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196</w:t>
      </w:r>
      <w:r>
        <w:rPr>
          <w:rFonts w:ascii="arial" w:eastAsia="arial" w:hAnsi="arial" w:cs="arial"/>
          <w:color w:val="000000"/>
          <w:sz w:val="20"/>
          <w:lang w:val="en-US" w:eastAsia="en-US" w:bidi="ar-SA"/>
        </w:rPr>
        <w:t xml:space="preserve">  In my view, the imposition of liability for economic loss to Certificate holders would have a chilling effect on the ability of TCCA and its inspectors in the exercise of their responsibilities and powers under the </w:t>
      </w:r>
      <w:r>
        <w:rPr>
          <w:rFonts w:ascii="arial" w:eastAsia="arial" w:hAnsi="arial" w:cs="arial"/>
          <w:i/>
          <w:color w:val="000000"/>
          <w:sz w:val="20"/>
          <w:lang w:val="en-US" w:eastAsia="en-US" w:bidi="ar-SA"/>
        </w:rPr>
        <w:t>Act</w:t>
      </w:r>
      <w:r>
        <w:rPr>
          <w:rFonts w:ascii="arial" w:eastAsia="arial" w:hAnsi="arial" w:cs="arial"/>
          <w:color w:val="000000"/>
          <w:sz w:val="20"/>
          <w:lang w:val="en-US" w:eastAsia="en-US" w:bidi="ar-SA"/>
        </w:rPr>
        <w:t xml:space="preserve"> in the interests of public safety. This is particularly true when considering the discretion TCCA inspectors must exercise in any given circumstance, including, among other things, whether to proceed with enforcement action against aviation companies who are found to be in breach of the regulations or whether to work with that company to try and effect change through a CAP.</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197</w:t>
      </w:r>
      <w:r>
        <w:rPr>
          <w:rFonts w:ascii="arial" w:eastAsia="arial" w:hAnsi="arial" w:cs="arial"/>
          <w:color w:val="000000"/>
          <w:sz w:val="20"/>
          <w:lang w:val="en-US" w:eastAsia="en-US" w:bidi="ar-SA"/>
        </w:rPr>
        <w:t xml:space="preserve">  Accordingly I dismiss the plaintiff's action in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Misfeasance in Public Office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198</w:t>
      </w:r>
      <w:r>
        <w:rPr>
          <w:rFonts w:ascii="arial" w:eastAsia="arial" w:hAnsi="arial" w:cs="arial"/>
          <w:color w:val="000000"/>
          <w:sz w:val="20"/>
          <w:lang w:val="en-US" w:eastAsia="en-US" w:bidi="ar-SA"/>
        </w:rPr>
        <w:t>  The plaintiff seeks damages for the tort of misfeasance in public office.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199</w:t>
      </w:r>
      <w:r>
        <w:rPr>
          <w:rFonts w:ascii="arial" w:eastAsia="arial" w:hAnsi="arial" w:cs="arial"/>
          <w:color w:val="000000"/>
          <w:sz w:val="20"/>
          <w:lang w:val="en-US" w:eastAsia="en-US" w:bidi="ar-SA"/>
        </w:rPr>
        <w:t xml:space="preserve">  The elements of the tort were set out in </w:t>
      </w:r>
      <w:r>
        <w:rPr>
          <w:rFonts w:ascii="arial" w:eastAsia="arial" w:hAnsi="arial" w:cs="arial"/>
          <w:i/>
          <w:color w:val="000000"/>
          <w:sz w:val="20"/>
          <w:lang w:val="en-US" w:eastAsia="en-US" w:bidi="ar-SA"/>
        </w:rPr>
        <w:t>Odhavji Estate v. Woodhouse</w:t>
      </w:r>
      <w:r>
        <w:rPr>
          <w:rFonts w:ascii="arial" w:eastAsia="arial" w:hAnsi="arial" w:cs="arial"/>
          <w:color w:val="000000"/>
          <w:sz w:val="20"/>
          <w:lang w:val="en-US" w:eastAsia="en-US" w:bidi="ar-SA"/>
        </w:rPr>
        <w:t xml:space="preserve">, </w:t>
      </w:r>
      <w:hyperlink r:id="rId48" w:history="1">
        <w:r>
          <w:rPr>
            <w:rFonts w:ascii="arial" w:eastAsia="arial" w:hAnsi="arial" w:cs="arial"/>
            <w:i/>
            <w:color w:val="0077CC"/>
            <w:sz w:val="20"/>
            <w:u w:val="single"/>
            <w:shd w:val="clear" w:color="auto" w:fill="FFFFFF"/>
            <w:lang w:val="en-US" w:eastAsia="en-US" w:bidi="ar-SA"/>
          </w:rPr>
          <w:t>2003 SCC 69</w:t>
        </w:r>
      </w:hyperlink>
      <w:r>
        <w:rPr>
          <w:rFonts w:ascii="arial" w:eastAsia="arial" w:hAnsi="arial" w:cs="arial"/>
          <w:color w:val="000000"/>
          <w:sz w:val="20"/>
          <w:lang w:val="en-US" w:eastAsia="en-US" w:bidi="ar-SA"/>
        </w:rPr>
        <w:t>. The tort can arise in one of two ways: when a public officer engages in "conduct that is specifically intended to injure a person or class of persons" or when a public officer "acts with knowledge both that she or he has no power to do the act complained of and that the act is likely to injure the plaintiff": para. 22.</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200</w:t>
      </w:r>
      <w:r>
        <w:rPr>
          <w:rFonts w:ascii="arial" w:eastAsia="arial" w:hAnsi="arial" w:cs="arial"/>
          <w:color w:val="000000"/>
          <w:sz w:val="20"/>
          <w:lang w:val="en-US" w:eastAsia="en-US" w:bidi="ar-SA"/>
        </w:rPr>
        <w:t xml:space="preserve">  The mental element necessary to establish the tort was discussed in </w:t>
      </w:r>
      <w:r>
        <w:rPr>
          <w:rFonts w:ascii="arial" w:eastAsia="arial" w:hAnsi="arial" w:cs="arial"/>
          <w:i/>
          <w:color w:val="000000"/>
          <w:sz w:val="20"/>
          <w:lang w:val="en-US" w:eastAsia="en-US" w:bidi="ar-SA"/>
        </w:rPr>
        <w:t>Three Rivers</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District Council v. Bank of England, (No. 3)</w:t>
      </w:r>
      <w:r>
        <w:rPr>
          <w:rFonts w:ascii="arial" w:eastAsia="arial" w:hAnsi="arial" w:cs="arial"/>
          <w:color w:val="000000"/>
          <w:sz w:val="20"/>
          <w:lang w:val="en-US" w:eastAsia="en-US" w:bidi="ar-SA"/>
        </w:rPr>
        <w:t>, [2000] 3 All E.R. 1 at p. 44:</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official concerned must be shown not to have had an honest belief that he was acting lawfully; this is sometimes referred to as not having acted in good faith ... Another way of putting it is that he must be shown either to have known that he was acting unlawfully or to have willfully disregarded the risk that his act was unlawful. This requirement is therefore one which applies to the state of mind of the official concerning the lawfulness of his act and covers both a conscious and a subjectively reckless state of mind, either of which could be described as bad faith or dishonest.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201</w:t>
      </w:r>
      <w:r>
        <w:rPr>
          <w:rFonts w:ascii="arial" w:eastAsia="arial" w:hAnsi="arial" w:cs="arial"/>
          <w:color w:val="000000"/>
          <w:sz w:val="20"/>
          <w:lang w:val="en-US" w:eastAsia="en-US" w:bidi="ar-SA"/>
        </w:rPr>
        <w:t xml:space="preserve">  The test is a difficult one for a plaintiff to establish. As was recently discussed by the Ontario Court of Appeal in </w:t>
      </w:r>
      <w:r>
        <w:rPr>
          <w:rFonts w:ascii="arial" w:eastAsia="arial" w:hAnsi="arial" w:cs="arial"/>
          <w:i/>
          <w:color w:val="000000"/>
          <w:sz w:val="20"/>
          <w:lang w:val="en-US" w:eastAsia="en-US" w:bidi="ar-SA"/>
        </w:rPr>
        <w:t>Pikangikum First Nation v. Nault</w:t>
      </w:r>
      <w:r>
        <w:rPr>
          <w:rFonts w:ascii="arial" w:eastAsia="arial" w:hAnsi="arial" w:cs="arial"/>
          <w:color w:val="000000"/>
          <w:sz w:val="20"/>
          <w:lang w:val="en-US" w:eastAsia="en-US" w:bidi="ar-SA"/>
        </w:rPr>
        <w:t xml:space="preserve">, </w:t>
      </w:r>
      <w:hyperlink r:id="rId49" w:history="1">
        <w:r>
          <w:rPr>
            <w:rFonts w:ascii="arial" w:eastAsia="arial" w:hAnsi="arial" w:cs="arial"/>
            <w:i/>
            <w:color w:val="0077CC"/>
            <w:sz w:val="20"/>
            <w:u w:val="single"/>
            <w:shd w:val="clear" w:color="auto" w:fill="FFFFFF"/>
            <w:lang w:val="en-US" w:eastAsia="en-US" w:bidi="ar-SA"/>
          </w:rPr>
          <w:t>2012 ONCA 705</w:t>
        </w:r>
      </w:hyperlink>
      <w:r>
        <w:rPr>
          <w:rFonts w:ascii="arial" w:eastAsia="arial" w:hAnsi="arial" w:cs="arial"/>
          <w:color w:val="000000"/>
          <w:sz w:val="20"/>
          <w:lang w:val="en-US" w:eastAsia="en-US" w:bidi="ar-SA"/>
        </w:rPr>
        <w:t xml:space="preserve"> at para. 77, leave to appeal refused, </w:t>
      </w:r>
      <w:hyperlink r:id="rId50" w:history="1">
        <w:r>
          <w:rPr>
            <w:rFonts w:ascii="arial" w:eastAsia="arial" w:hAnsi="arial" w:cs="arial"/>
            <w:i/>
            <w:color w:val="0077CC"/>
            <w:sz w:val="20"/>
            <w:u w:val="single"/>
            <w:shd w:val="clear" w:color="auto" w:fill="FFFFFF"/>
            <w:lang w:val="en-US" w:eastAsia="en-US" w:bidi="ar-SA"/>
          </w:rPr>
          <w:t>[2013] S.C.C.A. No. 10</w:t>
        </w:r>
      </w:hyperlink>
      <w:r>
        <w:rPr>
          <w:rFonts w:ascii="arial" w:eastAsia="arial" w:hAnsi="arial" w:cs="arial"/>
          <w:color w:val="000000"/>
          <w:sz w:val="20"/>
          <w:lang w:val="en-US" w:eastAsia="en-US" w:bidi="ar-SA"/>
        </w:rPr>
        <w: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77</w:t>
      </w:r>
      <w:r>
        <w:rPr>
          <w:rFonts w:ascii="arial" w:eastAsia="arial" w:hAnsi="arial" w:cs="arial"/>
          <w:color w:val="000000"/>
          <w:sz w:val="20"/>
          <w:lang w:val="en-US" w:eastAsia="en-US" w:bidi="ar-SA"/>
        </w:rPr>
        <w:t xml:space="preserve"> The tort of misfeasance is difficult to establish. The plaintiff must prove more than mere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mismanagement or poor judgment. To succeed, a plaintiff must demonstrate that the defendant knowingly acted illegally and in bad faith chose a course of action specifically to injure the plaintiff.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202</w:t>
      </w:r>
      <w:r>
        <w:rPr>
          <w:rFonts w:ascii="arial" w:eastAsia="arial" w:hAnsi="arial" w:cs="arial"/>
          <w:color w:val="000000"/>
          <w:sz w:val="20"/>
          <w:lang w:val="en-US" w:eastAsia="en-US" w:bidi="ar-SA"/>
        </w:rPr>
        <w:t>  The facts of this case must be considered in context. On January 22, 2006 the Pacific region of TCCA was dealing with an emergent incident in which there were several fatalities. A crash of any aircraft draws public attention, but this one, involving a scheduled flight over mountainous terrain in the winter, particularly so. Amongst other issues, the press wanted to know the circumstances of the cause of the accident and the aviation record of the carrier. TCCA did not know the cause other than the aircraft had experienced a "loss of power" but it did have knowledge of the aviation record of the carrier. Mr. Nowzek followed TCCA procedure for such an incident. He called a meeting on January 22, 2006 and solicited the views of many of the supervisors who had involvement with IEA over the years and by following the consensus opinion of those present at the meeting and the advice of Mr. Reinhardt as to the grounds for the suspension of the Certificate. IEA's maintenance record had been under recent review, which apparently had not resolved its maintenance problems.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203</w:t>
      </w:r>
      <w:r>
        <w:rPr>
          <w:rFonts w:ascii="arial" w:eastAsia="arial" w:hAnsi="arial" w:cs="arial"/>
          <w:color w:val="000000"/>
          <w:sz w:val="20"/>
          <w:lang w:val="en-US" w:eastAsia="en-US" w:bidi="ar-SA"/>
        </w:rPr>
        <w:t>  While the decision may be criticized, as it was by the TAT, I find the defendants TCAA, Nowzek and Heryet did not act in a malicious, arbitrary, high handed or oppressive manner, but rather were motivated by their sense of what was in the public interest at the time. I find they did not knowingly act illegally or in bad faith chose a course of action specifically to injure IEA.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204</w:t>
      </w:r>
      <w:r>
        <w:rPr>
          <w:rFonts w:ascii="arial" w:eastAsia="arial" w:hAnsi="arial" w:cs="arial"/>
          <w:color w:val="000000"/>
          <w:sz w:val="20"/>
          <w:lang w:val="en-US" w:eastAsia="en-US" w:bidi="ar-SA"/>
        </w:rPr>
        <w:t>  Both parties called actuarial evidence to address the quantum of damages suffered by IEA on the assumption the plaintiff was successful on either ground of claim. In addition the defendant called evidence in support of its argument the plaintiff did not take reasonable steps to mitigate its losses.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205</w:t>
      </w:r>
      <w:r>
        <w:rPr>
          <w:rFonts w:ascii="arial" w:eastAsia="arial" w:hAnsi="arial" w:cs="arial"/>
          <w:color w:val="000000"/>
          <w:sz w:val="20"/>
          <w:lang w:val="en-US" w:eastAsia="en-US" w:bidi="ar-SA"/>
        </w:rPr>
        <w:t>  In view of my conclusion the plaintiff has not been successful in either of its claims against the defendants, it is not necessary to consider the issue of 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Costs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206</w:t>
      </w:r>
      <w:r>
        <w:rPr>
          <w:rFonts w:ascii="arial" w:eastAsia="arial" w:hAnsi="arial" w:cs="arial"/>
          <w:color w:val="000000"/>
          <w:sz w:val="20"/>
          <w:lang w:val="en-US" w:eastAsia="en-US" w:bidi="ar-SA"/>
        </w:rPr>
        <w:t>  The parties are liberty to speak to the issue of costs.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B.M. GREYELL J.</w:t>
      </w:r>
      <w:r>
        <w:rPr>
          <w:rFonts w:ascii="arial" w:eastAsia="arial" w:hAnsi="arial" w:cs="arial"/>
          <w:sz w:val="20"/>
          <w:lang w:val="en-US" w:eastAsia="en-US" w:bidi="ar-SA"/>
        </w:rPr>
        <w:cr/>
      </w:r>
    </w:p>
    <w:p>
      <w:pPr>
        <w:rPr>
          <w:rFonts w:ascii="arial" w:eastAsia="arial" w:hAnsi="arial" w:cs="arial"/>
          <w:sz w:val="20"/>
          <w:lang w:val="en-US" w:eastAsia="en-US" w:bidi="ar-SA"/>
        </w:rPr>
      </w:pPr>
    </w:p>
    <w:p>
      <w:pPr>
        <w:ind w:left="200"/>
        <w:rPr>
          <w:rFonts w:ascii="arial" w:eastAsia="arial" w:hAnsi="arial" w:cs="arial"/>
          <w:sz w:val="20"/>
          <w:lang w:val="en-US" w:eastAsia="en-US" w:bidi="ar-SA"/>
        </w:rPr>
        <w:sectPr>
          <w:type w:val="continuous"/>
          <w:pgMar w:top="840" w:right="1000" w:bottom="840" w:left="1000" w:header="400" w:footer="400"/>
          <w:pgNumType w:fmt="decimal"/>
          <w:cols w:space="720"/>
        </w:sectPr>
      </w:pPr>
      <w:r>
        <w:rPr>
          <w:rFonts w:ascii="arial" w:eastAsia="arial" w:hAnsi="arial" w:cs="arial"/>
          <w:sz w:val="20"/>
          <w:lang w:val="en-US" w:eastAsia="en-US" w:bidi="ar-SA"/>
        </w:rPr>
        <w:br/>
      </w:r>
      <w:r>
        <w:pict>
          <v:line id="_x0000_s1029" style="position:absolute;z-index:251860992" from="0,10pt" to="512pt,10pt" strokecolor="black" strokeweight="1pt">
            <v:stroke linestyle="single"/>
          </v:line>
        </w:pict>
      </w:r>
      <w:r>
        <w:rPr>
          <w:b/>
          <w:color w:val="767676"/>
          <w:sz w:val="16"/>
          <w:lang w:val="en-US" w:eastAsia="en-US" w:bidi="ar-SA"/>
        </w:rPr>
        <w:t>End of Document</w:t>
      </w:r>
    </w:p>
    <w:p>
      <w:pPr>
        <w:rPr>
          <w:rFonts w:ascii="arial" w:eastAsia="arial" w:hAnsi="arial" w:cs="arial"/>
          <w:sz w:val="20"/>
          <w:lang w:val="en-US" w:eastAsia="en-US" w:bidi="ar-SA"/>
        </w:rPr>
        <w:sectPr>
          <w:headerReference w:type="even" r:id="rId51"/>
          <w:headerReference w:type="default" r:id="rId52"/>
          <w:footerReference w:type="even" r:id="rId53"/>
          <w:footerReference w:type="default" r:id="rId54"/>
          <w:headerReference w:type="first" r:id="rId55"/>
          <w:footerReference w:type="first" r:id="rId56"/>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eastAsia="arial" w:hAnsi="Arial" w:cs="Arial"/>
          <w:b/>
          <w:bCs/>
          <w:kern w:val="32"/>
          <w:sz w:val="32"/>
          <w:szCs w:val="32"/>
          <w:lang w:val="en-US" w:eastAsia="en-US" w:bidi="ar-SA"/>
        </w:rPr>
      </w:pPr>
      <w:hyperlink r:id="rId57" w:history="1">
        <w:r>
          <w:rPr>
            <w:rFonts w:ascii="arial" w:eastAsia="arial" w:hAnsi="arial" w:cs="arial"/>
            <w:b/>
            <w:bCs/>
            <w:i/>
            <w:color w:val="0077CC"/>
            <w:kern w:val="32"/>
            <w:sz w:val="28"/>
            <w:szCs w:val="32"/>
            <w:u w:val="single"/>
            <w:shd w:val="clear" w:color="auto" w:fill="FFFFFF"/>
            <w:lang w:val="en-US" w:eastAsia="en-US" w:bidi="ar-SA"/>
          </w:rPr>
          <w:t>Hall v. Pinette, [2004] B.C.J. No. 2225</w:t>
        </w:r>
      </w:hyperlink>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Judgments</w:t>
      </w:r>
    </w:p>
    <w:p>
      <w:pPr>
        <w:rPr>
          <w:rFonts w:ascii="arial" w:eastAsia="arial" w:hAnsi="arial" w:cs="arial"/>
          <w:sz w:val="20"/>
          <w:lang w:val="en-US" w:eastAsia="en-US" w:bidi="ar-SA"/>
        </w:rPr>
      </w:pP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Vernon, British Columbia</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Barrow J.</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Heard: September 22, 2004.</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Judgment: October 22, 2004.</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Vernon Registry No. 29341</w:t>
      </w:r>
    </w:p>
    <w:p>
      <w:pPr>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r>
        <w:rPr>
          <w:rFonts w:ascii="arial" w:eastAsia="arial" w:hAnsi="arial" w:cs="arial"/>
          <w:b/>
          <w:color w:val="000000"/>
          <w:sz w:val="20"/>
          <w:lang w:val="en-US" w:eastAsia="en-US" w:bidi="ar-SA"/>
        </w:rPr>
        <w:t>[2004] B.C.J. No. 2225</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2004 BCSC 1367</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10 M.V.R. (5th) 126</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135 A.C.W.S. (3d) 1182</w:t>
      </w:r>
    </w:p>
    <w:p>
      <w:pPr>
        <w:spacing w:before="120" w:line="260" w:lineRule="atLeast"/>
        <w:rPr>
          <w:rFonts w:ascii="arial" w:eastAsia="arial" w:hAnsi="arial" w:cs="arial"/>
          <w:sz w:val="20"/>
          <w:lang w:val="en-US" w:eastAsia="en-US" w:bidi="ar-SA"/>
        </w:rPr>
      </w:pPr>
      <w:r>
        <w:rPr>
          <w:rFonts w:ascii="arial" w:eastAsia="arial" w:hAnsi="arial" w:cs="arial"/>
          <w:color w:val="000000"/>
          <w:sz w:val="20"/>
          <w:lang w:val="en-US" w:eastAsia="en-US" w:bidi="ar-SA"/>
        </w:rPr>
        <w:t>Between Douglas Royce Hall, plaintiff, and Daniel German Pinette and Kelowna Western Star Truck Sales Ltd., defendants</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(56 paras.)</w:t>
      </w:r>
    </w:p>
    <w:p>
      <w:pPr>
        <w:keepNext/>
        <w:spacing w:before="12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Case Summary</w:t>
      </w:r>
    </w:p>
    <w:p>
      <w:pPr>
        <w:spacing w:line="60" w:lineRule="exact"/>
        <w:rPr>
          <w:rFonts w:ascii="arial" w:eastAsia="arial" w:hAnsi="arial" w:cs="arial"/>
          <w:sz w:val="20"/>
          <w:lang w:val="en-US" w:eastAsia="en-US" w:bidi="ar-SA"/>
        </w:rPr>
      </w:pPr>
      <w:r>
        <w:pict>
          <v:line id="_x0000_s1030" style="position:absolute;z-index:251659264"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bookmarkStart w:id="7" w:name="Keywords_0"/>
      <w:bookmarkEnd w:id="7"/>
      <w:r>
        <w:rPr>
          <w:rFonts w:ascii="arial" w:eastAsia="arial" w:hAnsi="arial" w:cs="arial"/>
          <w:b/>
          <w:color w:val="000000"/>
          <w:sz w:val="20"/>
          <w:lang w:val="en-US" w:eastAsia="en-US" w:bidi="ar-SA"/>
        </w:rPr>
        <w:t xml:space="preserve">Tort law — </w:t>
      </w:r>
      <w:r>
        <w:rPr>
          <w:rFonts w:ascii="arial" w:eastAsia="arial" w:hAnsi="arial" w:cs="arial"/>
          <w:b/>
          <w:i/>
          <w:color w:val="000000"/>
          <w:sz w:val="20"/>
          <w:u w:val="single"/>
          <w:lang w:val="en-US" w:eastAsia="en-US" w:bidi="ar-SA"/>
        </w:rPr>
        <w:t>Negligence</w:t>
      </w:r>
      <w:r>
        <w:rPr>
          <w:rFonts w:ascii="arial" w:eastAsia="arial" w:hAnsi="arial" w:cs="arial"/>
          <w:b/>
          <w:color w:val="000000"/>
          <w:sz w:val="20"/>
          <w:lang w:val="en-US" w:eastAsia="en-US" w:bidi="ar-SA"/>
        </w:rPr>
        <w:t xml:space="preserve"> — Evidence and proof — Motor vehicles — Speed — Tortfeasors — Contribution between tortfeasors — Apportionment of liability.</w:t>
      </w:r>
    </w:p>
    <w:p>
      <w:pPr>
        <w:rPr>
          <w:rFonts w:ascii="arial" w:eastAsia="arial" w:hAnsi="arial" w:cs="arial"/>
          <w:sz w:val="20"/>
          <w:lang w:val="en-US" w:eastAsia="en-US" w:bidi="ar-SA"/>
        </w:rPr>
      </w:pPr>
    </w:p>
    <w:tbl>
      <w:tblPr>
        <w:tblStyle w:val="TableNormal"/>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
      <w:tblGrid>
        <w:gridCol w:w="10225"/>
      </w:tblGrid>
      <w:tr>
        <w:tblPrEx>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Ex>
        <w:tc>
          <w:tcPr/>
          <w:p>
            <w:pPr>
              <w:rPr>
                <w:rFonts w:ascii="arial" w:eastAsia="arial" w:hAnsi="arial" w:cs="arial"/>
                <w:sz w:val="20"/>
                <w:lang w:val="en-US" w:eastAsia="en-US" w:bidi="ar-SA"/>
              </w:rPr>
            </w:pPr>
            <w:bookmarkStart w:id="8" w:name="Case Summary_0"/>
            <w:bookmarkEnd w:id="8"/>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Application by the plaintiff Hall for a determination as to liability with respect to a motor vehicle accident with the defendant Pinette. Hall and Pinette were involved in a head-on collision near Sicamous in October, 2000. Hall was seriously injured as a result of the accident; damages had been agreed upon by the parties. Hall had no recollection of the accident. Hall's son, who was also in the vehicle, claimed that Pinette's vehicle, a tractor trailer, was fully in the oncoming lane as the Hall vehicle made a sharp left turn. Pinette claimed that he had swerved out of necessity, to avoid three young people who suddenly jumped onto the highway and threw eggs at the truck. Evidence of the RCMP officer who attended at the scene was that there were eggs on top of the truck, and footprints in the dew on the grass leading up to the highway. An expert witness testified that Pinette had been driving too fast for the road conditions. The expert had attended at the accident scene 10 days after the accident. Hall argued that, since Pinette was on the wrong side of the road, there was a presumption of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w:t>
            </w:r>
            <w:r>
              <w:rPr>
                <w:rFonts w:ascii="arial" w:eastAsia="arial" w:hAnsi="arial" w:cs="arial"/>
                <w:sz w:val="20"/>
                <w:lang w:val="en-US" w:eastAsia="en-US" w:bidi="ar-SA"/>
              </w:rPr>
              <w:cr/>
            </w:r>
          </w:p>
          <w:p>
            <w:pPr>
              <w:spacing w:before="120" w:line="260" w:lineRule="atLeast"/>
              <w:ind w:left="240"/>
              <w:jc w:val="both"/>
              <w:rPr>
                <w:rFonts w:ascii="arial" w:eastAsia="arial" w:hAnsi="arial" w:cs="arial"/>
                <w:sz w:val="20"/>
                <w:lang w:val="en-US" w:eastAsia="en-US" w:bidi="ar-SA"/>
              </w:rPr>
            </w:pPr>
            <w:bookmarkStart w:id="9" w:name="Holdings of Court_0"/>
            <w:bookmarkEnd w:id="9"/>
            <w:r>
              <w:rPr>
                <w:rFonts w:ascii="arial" w:eastAsia="arial" w:hAnsi="arial" w:cs="arial"/>
                <w:color w:val="000000"/>
                <w:sz w:val="20"/>
                <w:lang w:val="en-US" w:eastAsia="en-US" w:bidi="ar-SA"/>
              </w:rPr>
              <w:t>HELD: Application allowed.</w:t>
            </w:r>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Pinette's liability was assessed at 50 per cent. Pinette's account of the three young people suddenly appearing in the road and throwing eggs at his truck was accepted. However, it was established on the evidence that Pinette had been traveling at an unreasonably excessive rate of speed in the circumstances. Further, Pinette's evasive action to avoid the youths was not reasonable in the circumstances; it had not been necessary to steer completely into the oncoming lane. Pinette's excessive speed had caused him to steer completely into the oncoming lane, and he had therefore breached his duty of care to other drivers and had negligently contributed to the plaintiff's injuries. Given that evasive action had been necessary due to the presence of the youths in the roadway, Pinette was only 50 per cent liable for the accident. The youths were also 50 per cent liable. </w:t>
            </w:r>
            <w:r>
              <w:rPr>
                <w:rFonts w:ascii="arial" w:eastAsia="arial" w:hAnsi="arial" w:cs="arial"/>
                <w:sz w:val="20"/>
                <w:lang w:val="en-US" w:eastAsia="en-US" w:bidi="ar-SA"/>
              </w:rPr>
              <w:cr/>
            </w:r>
          </w:p>
          <w:p>
            <w:pPr>
              <w:rPr>
                <w:rFonts w:ascii="arial" w:eastAsia="arial" w:hAnsi="arial" w:cs="arial"/>
                <w:sz w:val="20"/>
                <w:lang w:val="en-US" w:eastAsia="en-US" w:bidi="ar-SA"/>
              </w:rPr>
            </w:pPr>
          </w:p>
        </w:tc>
      </w:tr>
    </w:tbl>
    <w:p>
      <w:pPr>
        <w:jc w:val="both"/>
        <w:rPr>
          <w:rFonts w:ascii="arial" w:eastAsia="arial" w:hAnsi="arial" w:cs="arial"/>
          <w:sz w:val="20"/>
          <w:lang w:val="en-US" w:eastAsia="en-US" w:bidi="ar-SA"/>
        </w:rPr>
      </w:pPr>
      <w:bookmarkStart w:id="10" w:name="Legislation Cited_0"/>
      <w:bookmarkEnd w:id="10"/>
      <w:r>
        <w:rPr>
          <w:rFonts w:ascii="arial" w:eastAsia="arial" w:hAnsi="arial" w:cs="arial"/>
          <w:sz w:val="20"/>
          <w:lang w:val="en-US" w:eastAsia="en-US" w:bidi="ar-SA"/>
        </w:rPr>
        <w:br/>
      </w:r>
    </w:p>
    <w:p>
      <w:pPr>
        <w:keepNext/>
        <w:spacing w:before="24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Statutes, Regulations and Rules Cited:</w:t>
      </w:r>
    </w:p>
    <w:p>
      <w:pPr>
        <w:spacing w:line="60" w:lineRule="exact"/>
        <w:rPr>
          <w:rFonts w:ascii="arial" w:eastAsia="arial" w:hAnsi="arial" w:cs="arial"/>
          <w:sz w:val="20"/>
          <w:lang w:val="en-US" w:eastAsia="en-US" w:bidi="ar-SA"/>
        </w:rPr>
      </w:pPr>
      <w:r>
        <w:pict>
          <v:line id="_x0000_s1031" style="position:absolute;z-index:251710464"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 Rules, Rule 18A.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Motor Vehicle Act, </w:t>
      </w:r>
      <w:hyperlink r:id="rId58" w:history="1">
        <w:r>
          <w:rPr>
            <w:rFonts w:ascii="arial" w:eastAsia="arial" w:hAnsi="arial" w:cs="arial"/>
            <w:i/>
            <w:color w:val="0077CC"/>
            <w:sz w:val="20"/>
            <w:u w:val="single"/>
            <w:shd w:val="clear" w:color="auto" w:fill="FFFFFF"/>
            <w:lang w:val="en-US" w:eastAsia="en-US" w:bidi="ar-SA"/>
          </w:rPr>
          <w:t>R.S.B.C. 1996, c. 318, s. 144</w:t>
        </w:r>
      </w:hyperlink>
      <w:r>
        <w:rPr>
          <w:rFonts w:ascii="arial" w:eastAsia="arial" w:hAnsi="arial" w:cs="arial"/>
          <w:color w:val="000000"/>
          <w:sz w:val="20"/>
          <w:lang w:val="en-US" w:eastAsia="en-US" w:bidi="ar-SA"/>
        </w:rPr>
        <w:t>(1)(c).</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Act, </w:t>
      </w:r>
      <w:hyperlink r:id="rId59" w:history="1">
        <w:r>
          <w:rPr>
            <w:rFonts w:ascii="arial" w:eastAsia="arial" w:hAnsi="arial" w:cs="arial"/>
            <w:i/>
            <w:color w:val="0077CC"/>
            <w:sz w:val="20"/>
            <w:u w:val="single"/>
            <w:shd w:val="clear" w:color="auto" w:fill="FFFFFF"/>
            <w:lang w:val="en-US" w:eastAsia="en-US" w:bidi="ar-SA"/>
          </w:rPr>
          <w:t>R.S.B.C. 1996, c. 333, s. 1</w:t>
        </w:r>
      </w:hyperlink>
      <w:r>
        <w:rPr>
          <w:rFonts w:ascii="arial" w:eastAsia="arial" w:hAnsi="arial" w:cs="arial"/>
          <w:color w:val="000000"/>
          <w:sz w:val="20"/>
          <w:lang w:val="en-US" w:eastAsia="en-US" w:bidi="ar-SA"/>
        </w:rPr>
        <w:t>(2).</w:t>
      </w:r>
      <w:r>
        <w:rPr>
          <w:rFonts w:ascii="arial" w:eastAsia="arial" w:hAnsi="arial" w:cs="arial"/>
          <w:sz w:val="20"/>
          <w:lang w:val="en-US" w:eastAsia="en-US" w:bidi="ar-SA"/>
        </w:rPr>
        <w:cr/>
      </w:r>
    </w:p>
    <w:p>
      <w:pPr>
        <w:keepNext/>
        <w:spacing w:before="240" w:line="340" w:lineRule="atLeast"/>
        <w:rPr>
          <w:rFonts w:ascii="arial" w:eastAsia="arial" w:hAnsi="arial" w:cs="arial"/>
          <w:sz w:val="20"/>
          <w:lang w:val="en-US" w:eastAsia="en-US" w:bidi="ar-SA"/>
        </w:rPr>
      </w:pPr>
      <w:bookmarkStart w:id="11" w:name="Counsel_0"/>
      <w:bookmarkEnd w:id="11"/>
      <w:r>
        <w:rPr>
          <w:rFonts w:ascii="arial" w:eastAsia="arial" w:hAnsi="arial" w:cs="arial"/>
          <w:b/>
          <w:color w:val="000000"/>
          <w:sz w:val="28"/>
          <w:lang w:val="en-US" w:eastAsia="en-US" w:bidi="ar-SA"/>
        </w:rPr>
        <w:t>Counsel</w:t>
      </w:r>
    </w:p>
    <w:p>
      <w:pPr>
        <w:spacing w:line="60" w:lineRule="exact"/>
        <w:rPr>
          <w:rFonts w:ascii="arial" w:eastAsia="arial" w:hAnsi="arial" w:cs="arial"/>
          <w:sz w:val="20"/>
          <w:lang w:val="en-US" w:eastAsia="en-US" w:bidi="ar-SA"/>
        </w:rPr>
      </w:pPr>
      <w:r>
        <w:pict>
          <v:line id="_x0000_s1032" style="position:absolute;z-index:251761664"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Counsel for the Plaintiff: J.D. Cotter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Counsel for the Defendants: J.A. Hemmerling</w:t>
      </w:r>
      <w:r>
        <w:rPr>
          <w:rFonts w:ascii="arial" w:eastAsia="arial" w:hAnsi="arial" w:cs="arial"/>
          <w:sz w:val="20"/>
          <w:lang w:val="en-US" w:eastAsia="en-US" w:bidi="ar-SA"/>
        </w:rPr>
        <w:cr/>
      </w:r>
    </w:p>
    <w:p>
      <w:pPr>
        <w:spacing w:after="240"/>
        <w:rPr>
          <w:rFonts w:ascii="arial" w:eastAsia="arial" w:hAnsi="arial" w:cs="arial"/>
          <w:sz w:val="20"/>
          <w:lang w:val="en-US" w:eastAsia="en-US" w:bidi="ar-SA"/>
        </w:rPr>
      </w:pPr>
      <w:bookmarkStart w:id="12" w:name="Judgment_0"/>
      <w:bookmarkEnd w:id="12"/>
      <w:r>
        <w:pict>
          <v:line id="_x0000_s1033" style="position:absolute;z-index:251812864" from="0,12pt" to="512pt,12pt" strokecolor="#009ddb" strokeweight="1.5pt">
            <v:stroke linestyle="single"/>
          </v:line>
        </w:pict>
      </w:r>
    </w:p>
    <w:p>
      <w:pPr>
        <w:rPr>
          <w:rFonts w:ascii="arial" w:eastAsia="arial" w:hAnsi="arial" w:cs="arial"/>
          <w:sz w:val="20"/>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1987"/>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rFonts w:ascii="arial" w:eastAsia="arial" w:hAnsi="arial" w:cs="arial"/>
                <w:sz w:val="20"/>
                <w:lang w:val="en-US" w:eastAsia="en-US" w:bidi="ar-SA"/>
              </w:rPr>
            </w:pPr>
            <w:bookmarkStart w:id="13" w:name="BARROW J."/>
            <w:bookmarkEnd w:id="13"/>
            <w:r>
              <w:rPr>
                <w:rFonts w:ascii="arial" w:eastAsia="arial" w:hAnsi="arial" w:cs="arial"/>
                <w:b/>
                <w:color w:val="000000"/>
                <w:sz w:val="30"/>
                <w:lang w:val="en-US" w:eastAsia="en-US" w:bidi="ar-SA"/>
              </w:rPr>
              <w:t>BARROW J.</w:t>
            </w:r>
          </w:p>
        </w:tc>
      </w:tr>
    </w:tbl>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On October 31, 2000, the plaintiff, Mr. Hall, was travelling south on Highway 97 in or near the City of Sicamous. His son, James, was travelling with him. As Mr. Hall approached what for him was a reasonably acute left hand curve, a tractor trailer unit, driven by the defendant, Mr. Pinette, was approaching the same corner from the opposite direction. For reasons which are in dispute in this proceeding, Mr. Pinette ended up in the oncoming lane as he went around the corner. There was a head-on collision and the plaintiff was seriously injured. The parties have agreed on the quantum of damages and the plaintiff seeks, through this Rule 18A application, a determination of liability.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The plaintiff has no memory of the accident. His son's memory is limited to his observation of the defendant's truck in the oncoming lane just prior to the collision. The defendant does recall the accident and he has been cross-examined on the affidavit that he has sworn. The plaintiff retained an expert engineer, Mr. West, and his report is before the court. He too has been cross-examined in this proceeding. In short, the two principal witnesses whose evidence is challenged have been subjected to cross-examination. I am satisfied that I am able to find the facts necessary to the resolution of the issues and that it would be just for me to do so in this context.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The Position of the Parties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xml:space="preserve">  The plaintiff maintains that, because the defendant was on the wrong side of the road at the point of impact, there is a presumption of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on his part. The defendant agrees but argues that he was faced with an emergency just prior to the collision, which left him with no alternative but to steer into the plaintiff's lane of travel. The plaintiff takes issue with the defendant's assertions arguing that his evidence is not credible, given what the plaintiff suggests are inconsistencies in the various accounts of the events that he has given. Alternatively, the plaintiff argues that even if there was an emergency, based on the opinion of the engineering expert, the defendant was driving too fast for the road conditions and thus, by his own conduct, contributed to the emergency and as a result he remains responsible.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The defendant says that, for a variety of reasons, his account of what happened is credible. He further argues that there are serious flaws in the data relied upon by the plaintiff's expert, and as a result his opinion is not worthy of any significant weight. He maintains that he was travelling at an appropriate speed and reacted appropriately to the emergency he faced. As his counsel put it, he too was a victim in these circumstances.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The Law</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xml:space="preserve">  When a defendant travels into an oncoming lane and a collision results, a trier of fact may, and in the absence of some non-negligent explanation would, draw an inference of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on the part of the defendant. If, on the evidence, there is an explanation for how the accident may have happened which is equally consistent with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and with no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on the defendant's part, then the inference should not be drawn, and the plaintiff is left to prove his or her case in the ordinary way. Authority for this proposition is found in Gauthier &amp; Co. v. The King, </w:t>
      </w:r>
      <w:hyperlink r:id="rId60" w:history="1">
        <w:r>
          <w:rPr>
            <w:rFonts w:ascii="arial" w:eastAsia="arial" w:hAnsi="arial" w:cs="arial"/>
            <w:i/>
            <w:color w:val="0077CC"/>
            <w:sz w:val="20"/>
            <w:u w:val="single"/>
            <w:shd w:val="clear" w:color="auto" w:fill="FFFFFF"/>
            <w:lang w:val="en-US" w:eastAsia="en-US" w:bidi="ar-SA"/>
          </w:rPr>
          <w:t>[1945] 2 D.L.R. 48</w:t>
        </w:r>
      </w:hyperlink>
      <w:r>
        <w:rPr>
          <w:rFonts w:ascii="arial" w:eastAsia="arial" w:hAnsi="arial" w:cs="arial"/>
          <w:color w:val="000000"/>
          <w:sz w:val="20"/>
          <w:lang w:val="en-US" w:eastAsia="en-US" w:bidi="ar-SA"/>
        </w:rPr>
        <w:t xml:space="preserve"> (S.C.C.), where Kellock J. quoted the remarks of Duff C.J.C. in United Motor Service, Inc. v. Hutson et al., </w:t>
      </w:r>
      <w:hyperlink r:id="rId61" w:history="1">
        <w:r>
          <w:rPr>
            <w:rFonts w:ascii="arial" w:eastAsia="arial" w:hAnsi="arial" w:cs="arial"/>
            <w:i/>
            <w:color w:val="0077CC"/>
            <w:sz w:val="20"/>
            <w:u w:val="single"/>
            <w:shd w:val="clear" w:color="auto" w:fill="FFFFFF"/>
            <w:lang w:val="en-US" w:eastAsia="en-US" w:bidi="ar-SA"/>
          </w:rPr>
          <w:t>[1937] 1 D.L.R. 737</w:t>
        </w:r>
      </w:hyperlink>
      <w:r>
        <w:rPr>
          <w:rFonts w:ascii="arial" w:eastAsia="arial" w:hAnsi="arial" w:cs="arial"/>
          <w:color w:val="000000"/>
          <w:sz w:val="20"/>
          <w:lang w:val="en-US" w:eastAsia="en-US" w:bidi="ar-SA"/>
        </w:rPr>
        <w:t xml:space="preserve"> at p. 738 to the effect that: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Broadly speaking, in such cases, [that is, cases in which the defendant has travelled into the on-coming lane] where the defendant produces an explanation equally consistent with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and with no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the burden of establishing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still remains with the plaintiff.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The same proposition was put succinctly by Lord Dunedin in Ballard v. North Br. R. Co. (1923), 60 S.C.L.R. 441 at 449 as follows: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I think this is a case where the circumstances warrant the view that the fact of the accident is relevant to infer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but what is the next step? I think that if the defenders can show a way in which the accident may have occurred without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the cogency of the fact of the accident by itself disappears and the pursuer is left as he began, namely, that he has to show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This proposition has been applied in British Columbia in many cases, including Babich v. Maxwell, </w:t>
      </w:r>
      <w:hyperlink r:id="rId62" w:history="1">
        <w:r>
          <w:rPr>
            <w:rFonts w:ascii="arial" w:eastAsia="arial" w:hAnsi="arial" w:cs="arial"/>
            <w:i/>
            <w:color w:val="0077CC"/>
            <w:sz w:val="20"/>
            <w:u w:val="single"/>
            <w:shd w:val="clear" w:color="auto" w:fill="FFFFFF"/>
            <w:lang w:val="en-US" w:eastAsia="en-US" w:bidi="ar-SA"/>
          </w:rPr>
          <w:t>[1990] B.C.J. No. 1575</w:t>
        </w:r>
      </w:hyperlink>
      <w:r>
        <w:rPr>
          <w:rFonts w:ascii="arial" w:eastAsia="arial" w:hAnsi="arial" w:cs="arial"/>
          <w:color w:val="000000"/>
          <w:sz w:val="20"/>
          <w:lang w:val="en-US" w:eastAsia="en-US" w:bidi="ar-SA"/>
        </w:rPr>
        <w:t xml:space="preserve"> (C.A.) and Lee (Committee of) v. Chan, </w:t>
      </w:r>
      <w:hyperlink r:id="rId63" w:history="1">
        <w:r>
          <w:rPr>
            <w:rFonts w:ascii="arial" w:eastAsia="arial" w:hAnsi="arial" w:cs="arial"/>
            <w:i/>
            <w:color w:val="0077CC"/>
            <w:sz w:val="20"/>
            <w:u w:val="single"/>
            <w:shd w:val="clear" w:color="auto" w:fill="FFFFFF"/>
            <w:lang w:val="en-US" w:eastAsia="en-US" w:bidi="ar-SA"/>
          </w:rPr>
          <w:t>[1997] B.C.J. No. 514</w:t>
        </w:r>
      </w:hyperlink>
      <w:r>
        <w:rPr>
          <w:rFonts w:ascii="arial" w:eastAsia="arial" w:hAnsi="arial" w:cs="arial"/>
          <w:color w:val="000000"/>
          <w:sz w:val="20"/>
          <w:lang w:val="en-US" w:eastAsia="en-US" w:bidi="ar-SA"/>
        </w:rPr>
        <w:t xml:space="preserve"> (S.C.).</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xml:space="preserve">  The second legal principle that has application on the circumstances of this case relates to the emergency situations and to what is sometimes referred to as the agony of collision. The two notions are distinct. Martin C.J.B.C. in Wood v. Paget, </w:t>
      </w:r>
      <w:hyperlink r:id="rId64" w:history="1">
        <w:r>
          <w:rPr>
            <w:rFonts w:ascii="arial" w:eastAsia="arial" w:hAnsi="arial" w:cs="arial"/>
            <w:i/>
            <w:color w:val="0077CC"/>
            <w:sz w:val="20"/>
            <w:u w:val="single"/>
            <w:shd w:val="clear" w:color="auto" w:fill="FFFFFF"/>
            <w:lang w:val="en-US" w:eastAsia="en-US" w:bidi="ar-SA"/>
          </w:rPr>
          <w:t>[1938] 4 D.L.R. 325</w:t>
        </w:r>
      </w:hyperlink>
      <w:r>
        <w:rPr>
          <w:rFonts w:ascii="arial" w:eastAsia="arial" w:hAnsi="arial" w:cs="arial"/>
          <w:color w:val="000000"/>
          <w:sz w:val="20"/>
          <w:lang w:val="en-US" w:eastAsia="en-US" w:bidi="ar-SA"/>
        </w:rPr>
        <w:t xml:space="preserve"> (B.C.C.A.), explained these related concepts in relation to the circumstances then extant at p. 327, where he noted: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the plaintiff was not in the agony of collision, properly and strictly speaking, when he saw the defendant at 60-70 ft., though swiftly merging into it, but his conduct may be justified on another somewhat analogous, yet distinct ground immediately preceding the "agony" stage, which is that he was entitled in a sudden emergency to a reasonable time, depending upon the circumstances of the case, to exercise his judgment upon what steps he should best take to avoid the collision which was literally facing him if the defendant held on his wrong course.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As pointed out above, the plaintiff maintains that the defendant, whether he was facing an emergency or within the agony of collision, was at least in part responsible for the creation of these circumstances by driving at an unsafe speed. Further, the plaintiff argues that the defendant's conduct in responding to the circumstances he faced was itself unreasonable, and thus he is responsible for the consequences.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xml:space="preserve">  In Lloyd v. Fox, </w:t>
      </w:r>
      <w:hyperlink r:id="rId65" w:history="1">
        <w:r>
          <w:rPr>
            <w:rFonts w:ascii="arial" w:eastAsia="arial" w:hAnsi="arial" w:cs="arial"/>
            <w:i/>
            <w:color w:val="0077CC"/>
            <w:sz w:val="20"/>
            <w:u w:val="single"/>
            <w:shd w:val="clear" w:color="auto" w:fill="FFFFFF"/>
            <w:lang w:val="en-US" w:eastAsia="en-US" w:bidi="ar-SA"/>
          </w:rPr>
          <w:t>[1991] B.C.J. No. 2398</w:t>
        </w:r>
      </w:hyperlink>
      <w:r>
        <w:rPr>
          <w:rFonts w:ascii="arial" w:eastAsia="arial" w:hAnsi="arial" w:cs="arial"/>
          <w:color w:val="000000"/>
          <w:sz w:val="20"/>
          <w:lang w:val="en-US" w:eastAsia="en-US" w:bidi="ar-SA"/>
        </w:rPr>
        <w:t xml:space="preserve"> (C.A.), Hinds J.A. said this about the doctrine of agony of collision:</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First, since the introduction of legislation pertaining to contributory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the application of the doctrine of agony of the collision has greatly diminished. Where, as here, the party invoking the doctrine is partly responsible for the sudden emergent situation arising, the doctrine is unlikely to prevail.</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Second, when considering circumstances which could give rise to the application of the doctrine of agony of the collision, attention should be focused on whether the actions taken by the driver who seeks to raise the doctrine were the actions of a reasonably competent driver. If so, he or she may be absolved of fault; if not, the driver's fault should be apportioned pursuant to the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Act, R.S.B.C. 1979, c. 298.</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The Undisputed Facts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The undisputed facts are as follows. At approximately 9 p.m. on Halloween night, the plaintiff was driving a 1986 Chevrolet Cavalier southbound on Highway 97. The defendant was travelling northbound on the same highway in a 1994 Volvo Tractor, pulling a 53-foot Freuhoff trailer loaded with 12,000 pounds of cargo.</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The defendant is a professional truck driver familiar with the corner on which the accident occurred. He had driven that section of the road five times a week over the previous 18 months. There is a straight stretch of some distance prior to the corner as one approaches it from the south. There is no artificial lighting south of the corner and only one street lamp illuminating the corner itself. The corner is a right hand corner for northbound traffic, that is, traffic travelling in the direction the defendant was driving. At the apex of the corner, Poage Avenue intersects the highway from the west. The defendant described the curve as "fairly sharp". He could not see around it. He was aware that there had been several accidents at this corner; in fact, the week before this collision he had to stop there because a logging truck had upset.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The highway at the scene of the collision is level. It consists of two paved lanes, one for each direction of traffic. The right boundary of the northbound lane is defined by a white fog line to the left of which is a paved shoulder. Beyond the shoulder for northbound traffic approaching the curve, there is high brush separated from the road by a grassy ditch. The right shoulder for southbound traffic entering is also defined by a white fog line. To the right of that, there is a paved shoulder which is bounded on the right by a concrete no-post barrier. The posted speed limit is 60 kilometres per hour.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The highway at the location of the accident is in or near the municipal boundaries of Sicamous. The Sicamous R.C.M.P. detachment is located just a few hundred meters from the accident scene. From the photographs, there appears to be some residential and commercial development in the area.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When the accident happened it was dark and the road was wet. It was raining lightly.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The Disputed Facts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The defendant maintains that, just prior to entering the corner, two or three young people jumped out from the bushes beside the road to a position just inside the fog line and threw something at his tractor. He swerved to avoid them and, in doing so, went into the oncoming lane and the collision occurred.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w:t>
      </w:r>
      <w:r>
        <w:rPr>
          <w:rFonts w:ascii="arial" w:eastAsia="arial" w:hAnsi="arial" w:cs="arial"/>
          <w:color w:val="000000"/>
          <w:sz w:val="20"/>
          <w:lang w:val="en-US" w:eastAsia="en-US" w:bidi="ar-SA"/>
        </w:rPr>
        <w:t>  The plaintiff argues that there were no young people and that the defendant has simply fabricated this account. He argues that, while the evidence on this point is not contradicted, there are internal inconsistencies within and between the accounts of the event as offered by the defendant, such that the court should not put any weight on his assertions.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w:t>
      </w:r>
      <w:r>
        <w:rPr>
          <w:rFonts w:ascii="arial" w:eastAsia="arial" w:hAnsi="arial" w:cs="arial"/>
          <w:color w:val="000000"/>
          <w:sz w:val="20"/>
          <w:lang w:val="en-US" w:eastAsia="en-US" w:bidi="ar-SA"/>
        </w:rPr>
        <w:t>  The defendant deposed that he saw "two or three" males beside the road. The plaintiff argues that because the defendant was unable to say whether there were two or three males, his account is suspect. I disagree. I do not find it telling one way or the other that a driver, at night, on a dark section of wet pavement, confronted by the sudden appearance of young people on the roadway might be uncertain as to precisely how many people there might have been.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w:t>
      </w:r>
      <w:r>
        <w:rPr>
          <w:rFonts w:ascii="arial" w:eastAsia="arial" w:hAnsi="arial" w:cs="arial"/>
          <w:color w:val="000000"/>
          <w:sz w:val="20"/>
          <w:lang w:val="en-US" w:eastAsia="en-US" w:bidi="ar-SA"/>
        </w:rPr>
        <w:t>  I am satisfied that several young persons appeared suddenly on the side of the road just before the defendant entered the curve. Further, I am satisfied that one of them threw eggs at the defendant's truck.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w:t>
      </w:r>
      <w:r>
        <w:rPr>
          <w:rFonts w:ascii="arial" w:eastAsia="arial" w:hAnsi="arial" w:cs="arial"/>
          <w:color w:val="000000"/>
          <w:sz w:val="20"/>
          <w:lang w:val="en-US" w:eastAsia="en-US" w:bidi="ar-SA"/>
        </w:rPr>
        <w:t>  There are several reasons for my conclusions in this regard. First, Cst. Clarke and Sgt. Harrison, members of the Sicamous R.C.M.P. detachment, attended at the scene very shortly after the accident. Cst. Clarke deposed that he saw "footprints in the dew in the grass leading right up to the highway in the exact location where the [defendant] said that he observed three youths standing on the highway". He further deposed that he could not see any footprints on the road surface but the road surface was wet and, I infer, prints would not be visible as a result. The constable's evidence corroborates the account given by the defendant.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w:t>
      </w:r>
      <w:r>
        <w:rPr>
          <w:rFonts w:ascii="arial" w:eastAsia="arial" w:hAnsi="arial" w:cs="arial"/>
          <w:color w:val="000000"/>
          <w:sz w:val="20"/>
          <w:lang w:val="en-US" w:eastAsia="en-US" w:bidi="ar-SA"/>
        </w:rPr>
        <w:t>  Second, Cst. Clark deposed that he saw eggs on the hood of the defendant's truck. Sgt. Harrison noted that there was "an orange/yellow liquid on the right front hood of the semi-trailer up to the base of the windshield". Neither officer mentioned the presence of any foreign substance on the windshield of the defendant's truck. The defendant deposed that objects thrown by the young people "splattered" on his windshield. The plaintiff argues that the defendant "turned off his vehicle five minutes after the collision, at the scene, so the wipers would not have had time to clean" the substance off. There is no evidence to support this contention. I do not find it telling one way or the other that the police officers did not testify as to the presence of any foreign material on the windshield. I find the officers' evidence corroborative of the defendant's account.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w:t>
      </w:r>
      <w:r>
        <w:rPr>
          <w:rFonts w:ascii="arial" w:eastAsia="arial" w:hAnsi="arial" w:cs="arial"/>
          <w:color w:val="000000"/>
          <w:sz w:val="20"/>
          <w:lang w:val="en-US" w:eastAsia="en-US" w:bidi="ar-SA"/>
        </w:rPr>
        <w:t>  Third, the defendant deposed that as he was approaching the corner, several youths "appeared" at the side of the road. Cst. Clarke deposed that the area in which he saw the footprints is dark and adjacent to some shrubbery which would provide cover for people if they were of a mind to hide from approaching motorists.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w:t>
      </w:r>
      <w:r>
        <w:rPr>
          <w:rFonts w:ascii="arial" w:eastAsia="arial" w:hAnsi="arial" w:cs="arial"/>
          <w:color w:val="000000"/>
          <w:sz w:val="20"/>
          <w:lang w:val="en-US" w:eastAsia="en-US" w:bidi="ar-SA"/>
        </w:rPr>
        <w:t>  The plaintiff next argues that the defendant, during his examination for discovery, corrected a diagram drawn by Sgt. Harrison in which the officer indicated the location of the young people on the highway. The defendant estimated that the young people were, in fact, a few feet south of where the officer had depicted them. I find nothing of significance in this evidence. The diagram is not to scale. It represents, as I understand the evidence, Sgt. Harrison's opinion of where the young people were by reference to the defendant's description. That he might have misplaced their location by a few feet is more consistent with innocent miscalculation than it is with the notion that the defendant was lying about the existence of the young people. Moreover, the defendant would have no reason to correct the officer's diagram if he was making up this account. Nothing turns on the correction.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w:t>
      </w:r>
      <w:r>
        <w:rPr>
          <w:rFonts w:ascii="arial" w:eastAsia="arial" w:hAnsi="arial" w:cs="arial"/>
          <w:color w:val="000000"/>
          <w:sz w:val="20"/>
          <w:lang w:val="en-US" w:eastAsia="en-US" w:bidi="ar-SA"/>
        </w:rPr>
        <w:t>  I note that the defendant sought to introduce into evidence, through the affidavits of Cst. Clarke and Sgt. Harrison, portions of the statement that he gave to the police on the night in question. This evidence was objected to on the basis that it is self-serving, oath-helping or simply irrelevant in that it amounts to a prior consistent statement. I have come to the conclusions I have without considering those portions of Sgt. Harrison's affidavit in which he recounts portions of the statement given to him by the defendant.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w:t>
      </w:r>
      <w:r>
        <w:rPr>
          <w:rFonts w:ascii="arial" w:eastAsia="arial" w:hAnsi="arial" w:cs="arial"/>
          <w:color w:val="000000"/>
          <w:sz w:val="20"/>
          <w:lang w:val="en-US" w:eastAsia="en-US" w:bidi="ar-SA"/>
        </w:rPr>
        <w:t>  The next area of dispute relates to the defendant's speed. He maintains that he was travelling at the posted speed limit of 60 kilometres per hour and gearing down as he approached the curve. The plaintiff argues that his evidence in this regard is inconsistent over the various accounts he has provided and inconsistent with the opinion of Mr. West, the engineer engaged by the plaintiff to attempt to determine the defendant's speed.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w:t>
      </w:r>
      <w:r>
        <w:rPr>
          <w:rFonts w:ascii="arial" w:eastAsia="arial" w:hAnsi="arial" w:cs="arial"/>
          <w:color w:val="000000"/>
          <w:sz w:val="20"/>
          <w:lang w:val="en-US" w:eastAsia="en-US" w:bidi="ar-SA"/>
        </w:rPr>
        <w:t>  Dealing first with the defendant's accounts, I note that he has given four: one to the police, one at discovery, one in his affidavit, and one during cross-examination on this hearing. He told the police that as he approached the curve and saw the youths, he was travelling at 60 kilometres per hour and gearing down. On examination for discovery, he said that he was travelling 60 kilometres per hour and had been for some time prior to reaching the curve. As he approached the curve, he was gearing down but still holding his speed. During cross-examination, he said that he was lowering his speed into the turn but was intending to keep his speed at 60 kilometres per hour.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w:t>
      </w:r>
      <w:r>
        <w:rPr>
          <w:rFonts w:ascii="arial" w:eastAsia="arial" w:hAnsi="arial" w:cs="arial"/>
          <w:color w:val="000000"/>
          <w:sz w:val="20"/>
          <w:lang w:val="en-US" w:eastAsia="en-US" w:bidi="ar-SA"/>
        </w:rPr>
        <w:t>  The plaintiff's position is that the defendant could not have been both lowering his speed to 60 kilometres per hour and travelling at 60 kilometres per hour. The defendant also indicated that he was gearing down because not to would result in the engine lugging. It is difficult to understand how that would occur if he was not at the same time slowing down.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w:t>
      </w:r>
      <w:r>
        <w:rPr>
          <w:rFonts w:ascii="arial" w:eastAsia="arial" w:hAnsi="arial" w:cs="arial"/>
          <w:color w:val="000000"/>
          <w:sz w:val="20"/>
          <w:lang w:val="en-US" w:eastAsia="en-US" w:bidi="ar-SA"/>
        </w:rPr>
        <w:t>  The defendant's explanation of his speed is confusing. Based on his evidence, I am satisfied that he was travelling in excess of 60 kilometres per hour, but not significantly in excess of that speed, as he approached the corner.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w:t>
      </w:r>
      <w:r>
        <w:rPr>
          <w:rFonts w:ascii="arial" w:eastAsia="arial" w:hAnsi="arial" w:cs="arial"/>
          <w:color w:val="000000"/>
          <w:sz w:val="20"/>
          <w:lang w:val="en-US" w:eastAsia="en-US" w:bidi="ar-SA"/>
        </w:rPr>
        <w:t>  The opinion of Mr. West was that the defendant could have been travelling between 68 and 82 kilometres per hour, and his likely speed was between 72 and 79 kilometres per hour. The defendant raised no objection to the methods employed by Mr. West in coming to the conclusions he did; rather he sought to undermine the assumptions upon which the opinion was based.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w:t>
      </w:r>
      <w:r>
        <w:rPr>
          <w:rFonts w:ascii="arial" w:eastAsia="arial" w:hAnsi="arial" w:cs="arial"/>
          <w:color w:val="000000"/>
          <w:sz w:val="20"/>
          <w:lang w:val="en-US" w:eastAsia="en-US" w:bidi="ar-SA"/>
        </w:rPr>
        <w:t>  Mr. West attended the scene on November 10, 2000, some ten days after the accident. He saw three scuff marks that he attributed to the defendant's vehicle: the first, and most southerly, began in the northbound lane (that mark was followed by a gap of about 10 meters or so in which no marks could be detected on the pavement); the second scuff mark began at the fog line marking the western boundary of the southbound lane and travelled 10 meters terminating at the concrete no-post; the third mark ran north from the no-post for a distance of 35 meters crossing the southbound lane and then for a further 21 meters on the asphalt shoulder and eventually the gravel shoulder of the northbound lane. The point of impact between the plaintiff's vehicle and the defendant's vehicle was, according to Mr. West, during or just after the defendant's truck emerged from its contact with the no-post barrier.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w:t>
      </w:r>
      <w:r>
        <w:rPr>
          <w:rFonts w:ascii="arial" w:eastAsia="arial" w:hAnsi="arial" w:cs="arial"/>
          <w:color w:val="000000"/>
          <w:sz w:val="20"/>
          <w:lang w:val="en-US" w:eastAsia="en-US" w:bidi="ar-SA"/>
        </w:rPr>
        <w:t>  The marks on the roadway described by Mr. West were not "typical black tire marks" but rather were scratches caused by locked tires sliding over grit on the road.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w:t>
      </w:r>
      <w:r>
        <w:rPr>
          <w:rFonts w:ascii="arial" w:eastAsia="arial" w:hAnsi="arial" w:cs="arial"/>
          <w:color w:val="000000"/>
          <w:sz w:val="20"/>
          <w:lang w:val="en-US" w:eastAsia="en-US" w:bidi="ar-SA"/>
        </w:rPr>
        <w:t>  The defendant makes two principal points in relation to Mr. West's evidence. First, it is argued that there were, in fact, no skid or scrape marks south of the no-post barrier caused by the defendant's vehicle. Second, he argues that at least the final 21 meters of the third set of marks are not associated with the defendant's vehicle because they do not coincide with its final resting place.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w:t>
      </w:r>
      <w:r>
        <w:rPr>
          <w:rFonts w:ascii="arial" w:eastAsia="arial" w:hAnsi="arial" w:cs="arial"/>
          <w:color w:val="000000"/>
          <w:sz w:val="20"/>
          <w:lang w:val="en-US" w:eastAsia="en-US" w:bidi="ar-SA"/>
        </w:rPr>
        <w:t>  Dealing with the issue of the presence of scuff marks south of or before contact with the no-post barrier, the defendant points to the evidence of Sgt. Harrison. Sgt. Harrison was the commander of the Sicamous detachment and has 30 years' experience in the R.C.M.P. He attended the accident scene immediately after the collision and again the following day, in the daylight. His affidavit is confusing in some respects, but I am satisfied that he did not see the scrape marks that Mr. West saw south of the no-post. He deposed that he "did not observe any skid marks or scrapes heading to the no-post barrier" (para. 15(c) of his affidavit). He drew a plan diagram based on his observations of the scene, and he did not indicate any skid marks heading into the no-post in that diagram. The confusion with his evidence arises from paragraph 15(j) of his affidavit, in which he refers to a photograph attached to Mr. West's report which shows scrape marks heading into the no-post barrier. He deposed that he saw those marks. I conclude that he was confused in looking at that photograph. I conclude that he did not see any marks heading into the no-post - elsewhere in his affidavit he expressly states that, further, he did not include such marks in his plan diagram and, finally, that other aspects of his affidavit suggest that. For example, he notes that the no-post barrier did not appear to have been moved. He deposed that he would have expected it to have moved had it been hit by a semi-truck. In effect, he implies that there was no collision with the no-post barrier. That is a conclusion that only makes sense in the absence of the officer having seen scuff marks approaching the barrier.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w:t>
      </w:r>
      <w:r>
        <w:rPr>
          <w:rFonts w:ascii="arial" w:eastAsia="arial" w:hAnsi="arial" w:cs="arial"/>
          <w:color w:val="000000"/>
          <w:sz w:val="20"/>
          <w:lang w:val="en-US" w:eastAsia="en-US" w:bidi="ar-SA"/>
        </w:rPr>
        <w:t>  As to the conflict between Mr. West's observations and those of Sgt. Harrison, I note that the police officer attended the scene the morning after the collision. He went there to specifically look for evidence relating to the collision. The corner, by the defendant's own admission, is the site of numerous motor vehicle accidents. The myriad of scuff and skid marks on the no-post barriers, including some at the very point that Mr. West maintains the defendant's truck made contact, support that conclusion. Mr. West examined the scene ten days after the accident. I am not satisfied on a balance of probabilities that the marks which Mr. West saw on November 10th were related to the accident of October 31st.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w:t>
      </w:r>
      <w:r>
        <w:rPr>
          <w:rFonts w:ascii="arial" w:eastAsia="arial" w:hAnsi="arial" w:cs="arial"/>
          <w:color w:val="000000"/>
          <w:sz w:val="20"/>
          <w:lang w:val="en-US" w:eastAsia="en-US" w:bidi="ar-SA"/>
        </w:rPr>
        <w:t>  The next issue relates to the marks which both Sgt. Harrison and Mr. West agree emanate from the general vicinity of the concrete no-post barrier and travel generally north across the southbound lane of travel on the highway. According to Mr. West, there are two components to this mark - the first is some 35 meters in length and runs from the no-post barrier to the fog line on the eastern shoulder; the second is some 21 meters in length and runs initially on the asphalt shoulder of the highway and then through the gravel beyond. Mr. West attributes these marks to the left rear tires of the defendant's tractor.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34</w:t>
      </w:r>
      <w:r>
        <w:rPr>
          <w:rFonts w:ascii="arial" w:eastAsia="arial" w:hAnsi="arial" w:cs="arial"/>
          <w:color w:val="000000"/>
          <w:sz w:val="20"/>
          <w:lang w:val="en-US" w:eastAsia="en-US" w:bidi="ar-SA"/>
        </w:rPr>
        <w:t>  On the plan diagram the visible portion of these marks (that is, the initial 35-meter section) would, if extended, end up on the gravel portion of the northbound shoulder in the general location of where both the defendant and plaintiff vehicles came to rest. In the photographs (figures 3 and 4 of the report), the same impression is created. The photographs taken by the police show that, at its final resting position, all the left side wheels of the defendant's truck were on the pavement and not on the gravel portion of the shoulder.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35</w:t>
      </w:r>
      <w:r>
        <w:rPr>
          <w:rFonts w:ascii="arial" w:eastAsia="arial" w:hAnsi="arial" w:cs="arial"/>
          <w:color w:val="000000"/>
          <w:sz w:val="20"/>
          <w:lang w:val="en-US" w:eastAsia="en-US" w:bidi="ar-SA"/>
        </w:rPr>
        <w:t>  While I am satisfied that the first 35 meters of this third scuff mark were made by the left rear tires of the defendant's tractor, I am not satisfied that the second section, the 21-meter section that terminates on the gravel shoulder, was made by the same tires or even the same vehicle. They may have been, but on the state of the evidence, I am simply unable to come to that conclusion.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36</w:t>
      </w:r>
      <w:r>
        <w:rPr>
          <w:rFonts w:ascii="arial" w:eastAsia="arial" w:hAnsi="arial" w:cs="arial"/>
          <w:color w:val="000000"/>
          <w:sz w:val="20"/>
          <w:lang w:val="en-US" w:eastAsia="en-US" w:bidi="ar-SA"/>
        </w:rPr>
        <w:t>  Because I am unconvinced about the validity of two of the assumptions that are essential to Mr. West's opinion as to the speed of the defendant's vehicle, I am unable to attach any weight to his conclusions.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37</w:t>
      </w:r>
      <w:r>
        <w:rPr>
          <w:rFonts w:ascii="arial" w:eastAsia="arial" w:hAnsi="arial" w:cs="arial"/>
          <w:color w:val="000000"/>
          <w:sz w:val="20"/>
          <w:lang w:val="en-US" w:eastAsia="en-US" w:bidi="ar-SA"/>
        </w:rPr>
        <w:t>  On the basis of the defendant's evidence, I am satisfied that he was travelling at a speed of greater than 60 kilometres per hour (but not much greater) when he was confronted by the presence of the youths near the corner.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38</w:t>
      </w:r>
      <w:r>
        <w:rPr>
          <w:rFonts w:ascii="arial" w:eastAsia="arial" w:hAnsi="arial" w:cs="arial"/>
          <w:color w:val="000000"/>
          <w:sz w:val="20"/>
          <w:lang w:val="en-US" w:eastAsia="en-US" w:bidi="ar-SA"/>
        </w:rPr>
        <w:t>  The final area of dispute relates to whether and, if so, which component of the defendant's tractor-trailer unit was equipped with ABS brakes. This is of importance in relation to whether the 35-meter scuff marks on the road emanating from the area of the no-post barrier were made by the defendant's vehicle. Given the conclusion that I have reached in relation to the other matters that ground Mr. West's report, it is not necessary to address this issue.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Analysis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39</w:t>
      </w:r>
      <w:r>
        <w:rPr>
          <w:rFonts w:ascii="arial" w:eastAsia="arial" w:hAnsi="arial" w:cs="arial"/>
          <w:color w:val="000000"/>
          <w:sz w:val="20"/>
          <w:lang w:val="en-US" w:eastAsia="en-US" w:bidi="ar-SA"/>
        </w:rPr>
        <w:t>  With the foregoing facts in mind, I turn to the substantive issues raised by the parties.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40</w:t>
      </w:r>
      <w:r>
        <w:rPr>
          <w:rFonts w:ascii="arial" w:eastAsia="arial" w:hAnsi="arial" w:cs="arial"/>
          <w:color w:val="000000"/>
          <w:sz w:val="20"/>
          <w:lang w:val="en-US" w:eastAsia="en-US" w:bidi="ar-SA"/>
        </w:rPr>
        <w:t>  The plaintiff argues that even if the defendant was travelling only 60 kilometres per hour, that was an unreasonable speed given the prevailing conditions. The plaintiff further argues that the presence of the youths on the side of the road was foreseeable. Finally, the plaintiff argues that the defendant's reaction to the presence of the youths was not reasonable. Whether taken individually or in combination, the plaintiff maintains that for these reasons the defendant was negligent even if there were youths at the side of the road who threw things at his truck.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41</w:t>
      </w:r>
      <w:r>
        <w:rPr>
          <w:rFonts w:ascii="arial" w:eastAsia="arial" w:hAnsi="arial" w:cs="arial"/>
          <w:color w:val="000000"/>
          <w:sz w:val="20"/>
          <w:lang w:val="en-US" w:eastAsia="en-US" w:bidi="ar-SA"/>
        </w:rPr>
        <w:t xml:space="preserve">  Section 144(1)(c) of the Motor Vehicle Act, </w:t>
      </w:r>
      <w:r>
        <w:rPr>
          <w:rFonts w:ascii="arial" w:eastAsia="arial" w:hAnsi="arial" w:cs="arial"/>
          <w:i/>
          <w:color w:val="000000"/>
          <w:sz w:val="20"/>
          <w:lang w:val="en-US" w:eastAsia="en-US" w:bidi="ar-SA"/>
        </w:rPr>
        <w:t>R.S.B.C. 1996, c. 318</w:t>
      </w:r>
      <w:r>
        <w:rPr>
          <w:rFonts w:ascii="arial" w:eastAsia="arial" w:hAnsi="arial" w:cs="arial"/>
          <w:color w:val="000000"/>
          <w:sz w:val="20"/>
          <w:lang w:val="en-US" w:eastAsia="en-US" w:bidi="ar-SA"/>
        </w:rPr>
        <w:t>, provides as follows: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144(1) A person must not drive a motor vehicle on a highway</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numPr>
          <w:numId w:val="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at a speed that is excessive relative to the road, traffic, visibility or weather conditions.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42</w:t>
      </w:r>
      <w:r>
        <w:rPr>
          <w:rFonts w:ascii="arial" w:eastAsia="arial" w:hAnsi="arial" w:cs="arial"/>
          <w:color w:val="000000"/>
          <w:sz w:val="20"/>
          <w:lang w:val="en-US" w:eastAsia="en-US" w:bidi="ar-SA"/>
        </w:rPr>
        <w:t>  In Lloyd v. Fox, Hinds J.A. after reviewing a number of authorities interpreting this section said this: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On the basis of the decisions to which I have referred it is apparent that the test of anticipated circumstances, including foreseeable and expected hazards, has been applied in interpreting s. 149(1)(c) of the Act. If the driver of a vehicle had reason to be familiar with the potential road, traffic, visibility or weather conditions which in fact arose, he had a duty to exercise caution by driving at a speed that was not excessive relative to those conditions.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43</w:t>
      </w:r>
      <w:r>
        <w:rPr>
          <w:rFonts w:ascii="arial" w:eastAsia="arial" w:hAnsi="arial" w:cs="arial"/>
          <w:color w:val="000000"/>
          <w:sz w:val="20"/>
          <w:lang w:val="en-US" w:eastAsia="en-US" w:bidi="ar-SA"/>
        </w:rPr>
        <w:t>  There are several circumstances which I find relevant in assessing whether the defendant was driving at a reasonable speed. He was driving a tractor trailer, the trailer of which was 53 feet long and loaded with 12,000 pounds of cargo. He was approaching a curve that was sharp enough to significantly limit his visibility. The corner was, to the defendant's knowledge, the site of reasonably frequent accidents, the most recent of which also involved a truck and occurred just the week before.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44</w:t>
      </w:r>
      <w:r>
        <w:rPr>
          <w:rFonts w:ascii="arial" w:eastAsia="arial" w:hAnsi="arial" w:cs="arial"/>
          <w:color w:val="000000"/>
          <w:sz w:val="20"/>
          <w:lang w:val="en-US" w:eastAsia="en-US" w:bidi="ar-SA"/>
        </w:rPr>
        <w:t>  The combination of the severity of the curve and the length of the defendant's vehicle created an inherently dangerous situation for pedestrians using the eastern shoulder of the road and for on coming motorists. The defendant deposed: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 think it is important to point out that every time I travel this route, in order for me to keep the 53 foot trailer on the highway, it is necessary for me to position the left front wheels of my Truck very close to the double centre line going through the curve because the trailer will naturally track to the right as it goes through the right hand turn. Even when your left front tractor wheels are nearly on the centre line through the curve, the right wheels of the trailer through the turn will be on or even slightly over the fog line going through the curve.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From this, I conclude that the defendant knew that the curve allowed neither him nor other motorists or pedestrians who might have been using that section of the highway any room for error.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45</w:t>
      </w:r>
      <w:r>
        <w:rPr>
          <w:rFonts w:ascii="arial" w:eastAsia="arial" w:hAnsi="arial" w:cs="arial"/>
          <w:color w:val="000000"/>
          <w:sz w:val="20"/>
          <w:lang w:val="en-US" w:eastAsia="en-US" w:bidi="ar-SA"/>
        </w:rPr>
        <w:t>  The danger created by the fact that a trailer, such as that being pulled by the defendant, will "track" to the inside is further illustrated by the defendant's explanation for taking the evasive action he did upon seeing the youths at the side of the road. In his affidavit he deposed, "I turned to the left to avoid hitting these kids because I was concerned that my 53 foot trailer would kill them as it began tracking over to where they were standing as the trailer went around the corner." Later he deposed, "Had I not left the lane in the manner that I did I would have struck the kids with the Truck or the back end of the trailer as it tracked to the right." From all of this it is apparent that if it becomes necessary to steer to avoid an obstruction in the roadway, long trucks need more time and more room to do that safely.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46</w:t>
      </w:r>
      <w:r>
        <w:rPr>
          <w:rFonts w:ascii="arial" w:eastAsia="arial" w:hAnsi="arial" w:cs="arial"/>
          <w:color w:val="000000"/>
          <w:sz w:val="20"/>
          <w:lang w:val="en-US" w:eastAsia="en-US" w:bidi="ar-SA"/>
        </w:rPr>
        <w:t>  It was dark at the time of the accident and the southern approach to the corner was not artificially lit. It was raining lightly and the road surface was wet. It was Halloween night. The accident occurred in or near to the Municipality of Sicamous. There was a heightened prospect of children or youths being on or near the roadway. On examination for discover the defendant said, "... that night I was more aware of my speed than normal because of Halloween night. I just came through five other towns that had kids walking all over the place."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47</w:t>
      </w:r>
      <w:r>
        <w:rPr>
          <w:rFonts w:ascii="arial" w:eastAsia="arial" w:hAnsi="arial" w:cs="arial"/>
          <w:color w:val="000000"/>
          <w:sz w:val="20"/>
          <w:lang w:val="en-US" w:eastAsia="en-US" w:bidi="ar-SA"/>
        </w:rPr>
        <w:t>  I am satisfied that to approach the corner where the accident occurred at 60 kilometres per hour, never mind at a slightly greater speed, under the circumstances then prevailing was not reasonable.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48</w:t>
      </w:r>
      <w:r>
        <w:rPr>
          <w:rFonts w:ascii="arial" w:eastAsia="arial" w:hAnsi="arial" w:cs="arial"/>
          <w:color w:val="000000"/>
          <w:sz w:val="20"/>
          <w:lang w:val="en-US" w:eastAsia="en-US" w:bidi="ar-SA"/>
        </w:rPr>
        <w:t xml:space="preserve">  The defendant argues that speed alone is not sufficient to establish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He relies on Currie (Guardian ad litem of) v. Fitt, </w:t>
      </w:r>
      <w:hyperlink r:id="rId66" w:history="1">
        <w:r>
          <w:rPr>
            <w:rFonts w:ascii="arial" w:eastAsia="arial" w:hAnsi="arial" w:cs="arial"/>
            <w:i/>
            <w:color w:val="0077CC"/>
            <w:sz w:val="20"/>
            <w:u w:val="single"/>
            <w:shd w:val="clear" w:color="auto" w:fill="FFFFFF"/>
            <w:lang w:val="en-US" w:eastAsia="en-US" w:bidi="ar-SA"/>
          </w:rPr>
          <w:t>[1996] B.C.J. No. 2882</w:t>
        </w:r>
      </w:hyperlink>
      <w:r>
        <w:rPr>
          <w:rFonts w:ascii="arial" w:eastAsia="arial" w:hAnsi="arial" w:cs="arial"/>
          <w:color w:val="000000"/>
          <w:sz w:val="20"/>
          <w:lang w:val="en-US" w:eastAsia="en-US" w:bidi="ar-SA"/>
        </w:rPr>
        <w:t xml:space="preserve"> (S.C.) and Dennis v. Gairdner, </w:t>
      </w:r>
      <w:hyperlink r:id="rId67" w:history="1">
        <w:r>
          <w:rPr>
            <w:rFonts w:ascii="arial" w:eastAsia="arial" w:hAnsi="arial" w:cs="arial"/>
            <w:i/>
            <w:color w:val="0077CC"/>
            <w:sz w:val="20"/>
            <w:u w:val="single"/>
            <w:shd w:val="clear" w:color="auto" w:fill="FFFFFF"/>
            <w:lang w:val="en-US" w:eastAsia="en-US" w:bidi="ar-SA"/>
          </w:rPr>
          <w:t>[2002] B.C.J. No. 2017</w:t>
        </w:r>
      </w:hyperlink>
      <w:r>
        <w:rPr>
          <w:rFonts w:ascii="arial" w:eastAsia="arial" w:hAnsi="arial" w:cs="arial"/>
          <w:color w:val="000000"/>
          <w:sz w:val="20"/>
          <w:lang w:val="en-US" w:eastAsia="en-US" w:bidi="ar-SA"/>
        </w:rPr>
        <w:t xml:space="preserve"> (S.C.) in support of that proposition. In Currie, the defendant struck the 4-year-old plaintiff who had unexpectedly darted out onto the street and into his path of travel. The court found that the defendant was travelling 50 kilometres per hour when a reasonable speed was 30 kilometres per hour. The court also found, however, that if the defendant had been travelling at 30 kilometres per hour, the accident would have still have occurred (see para. 58). Thus, while the defendant had not met the standard of care required of him, that failure was not causative of the plaintiff's injuries and no liability resulted. The issue for me, however, is whether the defendant's speed, whether alone or in combination with his other conduct, was causative of the plaintiff's injuries. Resolution of that issue involves a consideration of the circumstances that the defendant faced and his reaction to them.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49</w:t>
      </w:r>
      <w:r>
        <w:rPr>
          <w:rFonts w:ascii="arial" w:eastAsia="arial" w:hAnsi="arial" w:cs="arial"/>
          <w:color w:val="000000"/>
          <w:sz w:val="20"/>
          <w:lang w:val="en-US" w:eastAsia="en-US" w:bidi="ar-SA"/>
        </w:rPr>
        <w:t>  In Dennis, Chamberlist J. held that the defendant was driving at a prudent speed for the prevailing road conditions (para. 31). The case is, accordingly, of no assistance to the resolution of the matter at hand.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50</w:t>
      </w:r>
      <w:r>
        <w:rPr>
          <w:rFonts w:ascii="arial" w:eastAsia="arial" w:hAnsi="arial" w:cs="arial"/>
          <w:color w:val="000000"/>
          <w:sz w:val="20"/>
          <w:lang w:val="en-US" w:eastAsia="en-US" w:bidi="ar-SA"/>
        </w:rPr>
        <w:t>  As I have already indicated, I am satisfied that several youths "appeared" on the side of the road as the defendant approached. I say "appeared" in the sense that they suddenly and quickly emerged from behind either adjacent bushes or a telephone pole just as the defendant was approaching. I am satisfied also that they threw an egg or eggs at the defendant's vehicle. The youths were not, however, in the middle of the road. According to the defendant, they were standing inside the fog line but to his right. This is clear from his affidavit and from the markings he placed on Sgt. Harrison's planned diagram. Indeed, in that diagram, he indicated the youths were virtually on the fog line. They were some distance south of the curve but not a great distance.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51</w:t>
      </w:r>
      <w:r>
        <w:rPr>
          <w:rFonts w:ascii="arial" w:eastAsia="arial" w:hAnsi="arial" w:cs="arial"/>
          <w:color w:val="000000"/>
          <w:sz w:val="20"/>
          <w:lang w:val="en-US" w:eastAsia="en-US" w:bidi="ar-SA"/>
        </w:rPr>
        <w:t>  In his affidavit, the defendant explained what he did when he saw the youths. He said that when he first saw them were about 30 feet away. They threw eggs and he instinctively turned away but only briefly. When he turned back, he saw them only about 8 to 10 feet away. He then said he: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turned the steering wheel and swerved to the left. I turned to the left to avoid hitting these kids because I was concerned that my 53 foot trailer would kill them as it began tracking over to where they were standing as the trailer went around the corner.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52</w:t>
      </w:r>
      <w:r>
        <w:rPr>
          <w:rFonts w:ascii="arial" w:eastAsia="arial" w:hAnsi="arial" w:cs="arial"/>
          <w:color w:val="000000"/>
          <w:sz w:val="20"/>
          <w:lang w:val="en-US" w:eastAsia="en-US" w:bidi="ar-SA"/>
        </w:rPr>
        <w:t>  It is clear that the defendant's tractor ended up entirely within the oncoming lane. In fact, he was attempting to steer back into the proper lane at the point of impact with the plaintiff's vehicle. There is no explanation for why, given that the youths were just inside the fog line, the defendant found it necessary to steer completely into the oncoming lane. It is clear that this manoeuvre was not necessary to avoid hitting the youths with his tractor. He implies that he did this because he was concerned that his trailer would hit them as he turned right to negotiate the curve that was approaching. I do not accept that explanation. It is clear from the diagram prepared by Sgt. Harrison and corrected by the defendant that the youths were some distance from the actual corner. I accept that a trailer such as that being hauled by the defendant would track to the inside or to the right as the defendant negotiated that corner. That would not have happened until the defendant began to turn the corner. He would not begin to do that until he was either entirely passed the youths or almost passed them according to the diagram.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53</w:t>
      </w:r>
      <w:r>
        <w:rPr>
          <w:rFonts w:ascii="arial" w:eastAsia="arial" w:hAnsi="arial" w:cs="arial"/>
          <w:color w:val="000000"/>
          <w:sz w:val="20"/>
          <w:lang w:val="en-US" w:eastAsia="en-US" w:bidi="ar-SA"/>
        </w:rPr>
        <w:t xml:space="preserve">  Whether the defendant was facing an emergency, or was in the throes of the agony of collision, the observations of Edwards J. in Masztalar v. Wiens, </w:t>
      </w:r>
      <w:hyperlink r:id="rId68" w:history="1">
        <w:r>
          <w:rPr>
            <w:rFonts w:ascii="arial" w:eastAsia="arial" w:hAnsi="arial" w:cs="arial"/>
            <w:i/>
            <w:color w:val="0077CC"/>
            <w:sz w:val="20"/>
            <w:u w:val="single"/>
            <w:shd w:val="clear" w:color="auto" w:fill="FFFFFF"/>
            <w:lang w:val="en-US" w:eastAsia="en-US" w:bidi="ar-SA"/>
          </w:rPr>
          <w:t>[1994] B.C.J. No. 744</w:t>
        </w:r>
      </w:hyperlink>
      <w:r>
        <w:rPr>
          <w:rFonts w:ascii="arial" w:eastAsia="arial" w:hAnsi="arial" w:cs="arial"/>
          <w:color w:val="000000"/>
          <w:sz w:val="20"/>
          <w:lang w:val="en-US" w:eastAsia="en-US" w:bidi="ar-SA"/>
        </w:rPr>
        <w:t xml:space="preserve"> (S.C.) at para. 42 are apposite. He there noted that a "driver acting in an emergency created by another vehicle or by some extraneous fact cannot be expected to exercise nice judgment and prompt decision and mere errors of judgment in such circumstances may often be excusable".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54</w:t>
      </w:r>
      <w:r>
        <w:rPr>
          <w:rFonts w:ascii="arial" w:eastAsia="arial" w:hAnsi="arial" w:cs="arial"/>
          <w:color w:val="000000"/>
          <w:sz w:val="20"/>
          <w:lang w:val="en-US" w:eastAsia="en-US" w:bidi="ar-SA"/>
        </w:rPr>
        <w:t xml:space="preserve">  Even allowing for the tolerances that must be allowed for in assessing the conduct of a driver faced with an emergency situation, there is no explanation for the defendant proceeding entirely into the oncoming lane, that is, or may be, consistent with no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For the reasons noted above, the tracking of his trailer does not explain that conduct. I am satisfied that at least part of the explanation for the defendant going into the oncoming lane was the speed at which he was travelling when faced with the presence of the youths. I am satisfied that he was in breach of the duty of care he owed to other users of the highway, and that his breach was causative of the plaintiff's injuries.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55</w:t>
      </w:r>
      <w:r>
        <w:rPr>
          <w:rFonts w:ascii="arial" w:eastAsia="arial" w:hAnsi="arial" w:cs="arial"/>
          <w:color w:val="000000"/>
          <w:sz w:val="20"/>
          <w:lang w:val="en-US" w:eastAsia="en-US" w:bidi="ar-SA"/>
        </w:rPr>
        <w:t xml:space="preserve">  The next issue relates to apportioning fault. The parties agree, on the authority of Wells v. McBrine </w:t>
      </w:r>
      <w:hyperlink r:id="rId69" w:history="1">
        <w:r>
          <w:rPr>
            <w:rFonts w:ascii="arial" w:eastAsia="arial" w:hAnsi="arial" w:cs="arial"/>
            <w:i/>
            <w:color w:val="0077CC"/>
            <w:sz w:val="20"/>
            <w:u w:val="single"/>
            <w:shd w:val="clear" w:color="auto" w:fill="FFFFFF"/>
            <w:lang w:val="en-US" w:eastAsia="en-US" w:bidi="ar-SA"/>
          </w:rPr>
          <w:t>(1988), 54 D.L.R. (4th) 708</w:t>
        </w:r>
      </w:hyperlink>
      <w:r>
        <w:rPr>
          <w:rFonts w:ascii="arial" w:eastAsia="arial" w:hAnsi="arial" w:cs="arial"/>
          <w:color w:val="000000"/>
          <w:sz w:val="20"/>
          <w:lang w:val="en-US" w:eastAsia="en-US" w:bidi="ar-SA"/>
        </w:rPr>
        <w:t xml:space="preserve"> (B.C.C.A.), that it is open to the court to apportion liability between parties and non-parties to the cause. That is so assuming the pleadings and or the course of the trial are such that to do so would not prejudice the plaintiff in the result. In this case, it is clear that the conduct of the youths and its effect on the defendant's liability has been at the forefront of the parties' considerations. It is appropriate to consider their liability. I am unable to determine as between the defendant and the youths what their respective fault is and as a result, in accordance with s. 1(2) of the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Act, </w:t>
      </w:r>
      <w:r>
        <w:rPr>
          <w:rFonts w:ascii="arial" w:eastAsia="arial" w:hAnsi="arial" w:cs="arial"/>
          <w:i/>
          <w:color w:val="000000"/>
          <w:sz w:val="20"/>
          <w:lang w:val="en-US" w:eastAsia="en-US" w:bidi="ar-SA"/>
        </w:rPr>
        <w:t>R.S.B.C. 1996, c. 333</w:t>
      </w:r>
      <w:r>
        <w:rPr>
          <w:rFonts w:ascii="arial" w:eastAsia="arial" w:hAnsi="arial" w:cs="arial"/>
          <w:color w:val="000000"/>
          <w:sz w:val="20"/>
          <w:lang w:val="en-US" w:eastAsia="en-US" w:bidi="ar-SA"/>
        </w:rPr>
        <w:t>, I attribute fault equally. I find the defendant 50 percent liable for the plaintiff's injuries and the youths 50 percent responsible.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56</w:t>
      </w:r>
      <w:r>
        <w:rPr>
          <w:rFonts w:ascii="arial" w:eastAsia="arial" w:hAnsi="arial" w:cs="arial"/>
          <w:color w:val="000000"/>
          <w:sz w:val="20"/>
          <w:lang w:val="en-US" w:eastAsia="en-US" w:bidi="ar-SA"/>
        </w:rPr>
        <w:t>  Given that the plaintiff has been largely successful and assuming there are no circumstances which touch on the issue of costs about which I am unaware, I find that the plaintiff is entitled to his costs on Scale 3. If there are circumstances touching on the costs issue that the parties consider significant, they are at liberty to make written submissions on the issue. If that is to occur, the parties are to contact the trial coordinator and arrange a time to speak to the process of resolving that issue. I will hear brief submissions if necessary on that point by telephone within 14 days of the date of release of these Reasons.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BARROW J.</w:t>
      </w:r>
      <w:r>
        <w:rPr>
          <w:rFonts w:ascii="arial" w:eastAsia="arial" w:hAnsi="arial" w:cs="arial"/>
          <w:sz w:val="20"/>
          <w:lang w:val="en-US" w:eastAsia="en-US" w:bidi="ar-SA"/>
        </w:rPr>
        <w:cr/>
      </w:r>
    </w:p>
    <w:p>
      <w:pPr>
        <w:rPr>
          <w:rFonts w:ascii="arial" w:eastAsia="arial" w:hAnsi="arial" w:cs="arial"/>
          <w:sz w:val="20"/>
          <w:lang w:val="en-US" w:eastAsia="en-US" w:bidi="ar-SA"/>
        </w:rPr>
      </w:pPr>
    </w:p>
    <w:p>
      <w:pPr>
        <w:ind w:left="200"/>
        <w:rPr>
          <w:rFonts w:ascii="arial" w:eastAsia="arial" w:hAnsi="arial" w:cs="arial"/>
          <w:sz w:val="20"/>
          <w:lang w:val="en-US" w:eastAsia="en-US" w:bidi="ar-SA"/>
        </w:rPr>
        <w:sectPr>
          <w:type w:val="continuous"/>
          <w:pgMar w:top="840" w:right="1000" w:bottom="840" w:left="1000" w:header="400" w:footer="400"/>
          <w:pgNumType w:fmt="decimal"/>
          <w:cols w:space="720"/>
        </w:sectPr>
      </w:pPr>
      <w:r>
        <w:rPr>
          <w:rFonts w:ascii="arial" w:eastAsia="arial" w:hAnsi="arial" w:cs="arial"/>
          <w:sz w:val="20"/>
          <w:lang w:val="en-US" w:eastAsia="en-US" w:bidi="ar-SA"/>
        </w:rPr>
        <w:br/>
      </w:r>
      <w:r>
        <w:pict>
          <v:line id="_x0000_s1034" style="position:absolute;z-index:251862016" from="0,10pt" to="512pt,10pt" strokecolor="black" strokeweight="1pt">
            <v:stroke linestyle="single"/>
          </v:line>
        </w:pict>
      </w:r>
      <w:r>
        <w:rPr>
          <w:b/>
          <w:color w:val="767676"/>
          <w:sz w:val="16"/>
          <w:lang w:val="en-US" w:eastAsia="en-US" w:bidi="ar-SA"/>
        </w:rPr>
        <w:t>End of Document</w:t>
      </w:r>
    </w:p>
    <w:p>
      <w:pPr>
        <w:rPr>
          <w:rFonts w:ascii="arial" w:eastAsia="arial" w:hAnsi="arial" w:cs="arial"/>
          <w:sz w:val="20"/>
          <w:lang w:val="en-US" w:eastAsia="en-US" w:bidi="ar-SA"/>
        </w:rPr>
        <w:sectPr>
          <w:headerReference w:type="even" r:id="rId70"/>
          <w:headerReference w:type="default" r:id="rId71"/>
          <w:footerReference w:type="even" r:id="rId72"/>
          <w:footerReference w:type="default" r:id="rId73"/>
          <w:headerReference w:type="first" r:id="rId74"/>
          <w:footerReference w:type="first" r:id="rId75"/>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eastAsia="arial" w:hAnsi="Arial" w:cs="Arial"/>
          <w:b/>
          <w:bCs/>
          <w:kern w:val="32"/>
          <w:sz w:val="32"/>
          <w:szCs w:val="32"/>
          <w:lang w:val="en-US" w:eastAsia="en-US" w:bidi="ar-SA"/>
        </w:rPr>
      </w:pPr>
      <w:hyperlink r:id="rId76" w:history="1">
        <w:r>
          <w:rPr>
            <w:rFonts w:ascii="arial" w:eastAsia="arial" w:hAnsi="arial" w:cs="arial"/>
            <w:b/>
            <w:bCs/>
            <w:i/>
            <w:color w:val="0077CC"/>
            <w:kern w:val="32"/>
            <w:sz w:val="28"/>
            <w:szCs w:val="32"/>
            <w:u w:val="single"/>
            <w:shd w:val="clear" w:color="auto" w:fill="FFFFFF"/>
            <w:lang w:val="en-US" w:eastAsia="en-US" w:bidi="ar-SA"/>
          </w:rPr>
          <w:t>L.C. v. British Columbia (Ministry of Children and Families), [2005] B.C.J. No. 2692</w:t>
        </w:r>
      </w:hyperlink>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Judgments</w:t>
      </w:r>
    </w:p>
    <w:p>
      <w:pPr>
        <w:rPr>
          <w:rFonts w:ascii="arial" w:eastAsia="arial" w:hAnsi="arial" w:cs="arial"/>
          <w:sz w:val="20"/>
          <w:lang w:val="en-US" w:eastAsia="en-US" w:bidi="ar-SA"/>
        </w:rPr>
      </w:pP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New Westminster, British Columbia</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Fisher J.</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Heard: May 9 - 11, September 26 - 30, and October 3</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- 5, 2005.</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Judgment: December 1, 2005.</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New Westminster Registry No. S54706</w:t>
      </w:r>
    </w:p>
    <w:p>
      <w:pPr>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r>
        <w:rPr>
          <w:rFonts w:ascii="arial" w:eastAsia="arial" w:hAnsi="arial" w:cs="arial"/>
          <w:b/>
          <w:color w:val="000000"/>
          <w:sz w:val="20"/>
          <w:lang w:val="en-US" w:eastAsia="en-US" w:bidi="ar-SA"/>
        </w:rPr>
        <w:t>[2005] B.C.J. No. 2692</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2005 BCSC 1668</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49 B.C.L.R. (4th) 164</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145 A.C.W.S. (3d) 619</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2005 CarswellBC 2956</w:t>
      </w:r>
    </w:p>
    <w:p>
      <w:pPr>
        <w:spacing w:before="120" w:line="260" w:lineRule="atLeast"/>
        <w:rPr>
          <w:rFonts w:ascii="arial" w:eastAsia="arial" w:hAnsi="arial" w:cs="arial"/>
          <w:sz w:val="20"/>
          <w:lang w:val="en-US" w:eastAsia="en-US" w:bidi="ar-SA"/>
        </w:rPr>
      </w:pPr>
      <w:r>
        <w:rPr>
          <w:rFonts w:ascii="arial" w:eastAsia="arial" w:hAnsi="arial" w:cs="arial"/>
          <w:color w:val="000000"/>
          <w:sz w:val="20"/>
          <w:lang w:val="en-US" w:eastAsia="en-US" w:bidi="ar-SA"/>
        </w:rPr>
        <w:t>Between L.C. &amp; L.S., plaintiffs, and Her Majesty the Queen in Right of the Province of British Columbia, carrying on business as the Ministry of Children and Families, defendant</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(161 paras.)</w:t>
      </w:r>
    </w:p>
    <w:p>
      <w:pPr>
        <w:jc w:val="both"/>
        <w:rPr>
          <w:rFonts w:ascii="arial" w:eastAsia="arial" w:hAnsi="arial" w:cs="arial"/>
          <w:sz w:val="20"/>
          <w:lang w:val="en-US" w:eastAsia="en-US" w:bidi="ar-SA"/>
        </w:rPr>
      </w:pPr>
      <w:bookmarkStart w:id="14" w:name="Counsel_1"/>
      <w:bookmarkEnd w:id="14"/>
      <w:r>
        <w:rPr>
          <w:rFonts w:ascii="arial" w:eastAsia="arial" w:hAnsi="arial" w:cs="arial"/>
          <w:sz w:val="20"/>
          <w:lang w:val="en-US" w:eastAsia="en-US" w:bidi="ar-SA"/>
        </w:rPr>
        <w:br/>
      </w:r>
    </w:p>
    <w:p>
      <w:pPr>
        <w:keepNext/>
        <w:spacing w:before="24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Counsel</w:t>
      </w:r>
    </w:p>
    <w:p>
      <w:pPr>
        <w:spacing w:line="60" w:lineRule="exact"/>
        <w:rPr>
          <w:rFonts w:ascii="arial" w:eastAsia="arial" w:hAnsi="arial" w:cs="arial"/>
          <w:sz w:val="20"/>
          <w:lang w:val="en-US" w:eastAsia="en-US" w:bidi="ar-SA"/>
        </w:rPr>
      </w:pPr>
      <w:r>
        <w:pict>
          <v:line id="_x0000_s1035" style="position:absolute;z-index:251660288"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Counsel for the Plaintiffs: K. Morrison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Counsel for the Defendant: E.W. Lewis, N. Barnes</w:t>
      </w:r>
      <w:r>
        <w:rPr>
          <w:rFonts w:ascii="arial" w:eastAsia="arial" w:hAnsi="arial" w:cs="arial"/>
          <w:sz w:val="20"/>
          <w:lang w:val="en-US" w:eastAsia="en-US" w:bidi="ar-SA"/>
        </w:rPr>
        <w:cr/>
      </w:r>
    </w:p>
    <w:p>
      <w:pPr>
        <w:spacing w:after="240"/>
        <w:rPr>
          <w:rFonts w:ascii="arial" w:eastAsia="arial" w:hAnsi="arial" w:cs="arial"/>
          <w:sz w:val="20"/>
          <w:lang w:val="en-US" w:eastAsia="en-US" w:bidi="ar-SA"/>
        </w:rPr>
      </w:pPr>
      <w:bookmarkStart w:id="15" w:name="Judgment_1"/>
      <w:bookmarkEnd w:id="15"/>
      <w:r>
        <w:pict>
          <v:line id="_x0000_s1036" style="position:absolute;z-index:251711488" from="0,12pt" to="512pt,12pt" strokecolor="#009ddb" strokeweight="1.5pt">
            <v:stroke linestyle="single"/>
          </v:line>
        </w:pict>
      </w:r>
    </w:p>
    <w:p>
      <w:pPr>
        <w:spacing w:before="120" w:line="240" w:lineRule="atLeast"/>
        <w:ind w:firstLine="240"/>
        <w:rPr>
          <w:rFonts w:ascii="arial" w:eastAsia="arial" w:hAnsi="arial" w:cs="arial"/>
          <w:sz w:val="20"/>
          <w:lang w:val="en-US" w:eastAsia="en-US" w:bidi="ar-SA"/>
        </w:rPr>
      </w:pPr>
      <w:r>
        <w:rPr>
          <w:rFonts w:ascii="arial" w:eastAsia="arial" w:hAnsi="arial" w:cs="arial"/>
          <w:color w:val="000000"/>
          <w:sz w:val="18"/>
          <w:lang w:val="en-US" w:eastAsia="en-US" w:bidi="ar-SA"/>
        </w:rPr>
        <w:t>[Editor's note: A Corrigendum was released by the Court December 9, 2005. The corrections have been made to the text and the Corrigendum is appended to this document.]</w:t>
      </w:r>
      <w:r>
        <w:rPr>
          <w:rFonts w:ascii="arial" w:eastAsia="arial" w:hAnsi="arial" w:cs="arial"/>
          <w:sz w:val="20"/>
          <w:lang w:val="en-US" w:eastAsia="en-US" w:bidi="ar-SA"/>
        </w:rPr>
        <w:cr/>
      </w:r>
    </w:p>
    <w:p>
      <w:pPr>
        <w:rPr>
          <w:rFonts w:ascii="arial" w:eastAsia="arial" w:hAnsi="arial" w:cs="arial"/>
          <w:sz w:val="20"/>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1704"/>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rFonts w:ascii="arial" w:eastAsia="arial" w:hAnsi="arial" w:cs="arial"/>
                <w:sz w:val="20"/>
                <w:lang w:val="en-US" w:eastAsia="en-US" w:bidi="ar-SA"/>
              </w:rPr>
            </w:pPr>
            <w:bookmarkStart w:id="16" w:name="FISHER J."/>
            <w:bookmarkEnd w:id="16"/>
            <w:r>
              <w:rPr>
                <w:rFonts w:ascii="arial" w:eastAsia="arial" w:hAnsi="arial" w:cs="arial"/>
                <w:b/>
                <w:color w:val="000000"/>
                <w:sz w:val="30"/>
                <w:lang w:val="en-US" w:eastAsia="en-US" w:bidi="ar-SA"/>
              </w:rPr>
              <w:t>FISHER J.</w:t>
            </w:r>
          </w:p>
        </w:tc>
      </w:tr>
    </w:tbl>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xml:space="preserve">   This case illustrates the difficulties inherent in child protection investigations where a parent steadfastly maintains her innocence and medical opinion suggests her guilt. At issue is whether the Crown has any vicarious liability in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for acts done or not done by social workers employed by the Ministry of Children and Families, exercising delegated statutory authority in the course of such an investigation.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On the evening of November 1, 1996, L.C. took her seven-week-old baby, D.C., to the local hospital. D.C. had a severe skull fracture. He was in critical condition and was transferred to Children's Hospital in Vancouver. The medical experts there formed the view that D.C.'s injuries were not accidental. The head paediatrician contacted the Ministry, who removed D.C. and his two older siblings from the home. Fortunately, D.C. recovered well enough to be discharged from hospital about one month later. The Ministry placed him in the home of L.C.'s mother, the plaintiff L.S..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The Ministry conducted an investigation. At the time the injury apparently occurred, L.C. and her three-year-old son were at home with D.C. The experts at Children's Hospital were of the view that the injuries could not have been caused by a three-year-old and were most likely the result of severe shaking. L.C. has always maintained that she did not harm D.C. While not witnessed, she thought that the three-year-old must have accidentally caused the injuries to D.C..</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The two older children were returned to the parents in March 1997, but D.C. was not. The Ministry decided to make an application in B.C. Provincial Court for a continuing custody order for D.C. The matter went to trial and the judge made an order returning D.C. to his parents.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xml:space="preserve">  L.C. and L.S. bring this action against the Ministry in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They say the Ministry's social workers did not conduct a proper investigation and should have returned D.C. to his parents without going to court. They claim damages for loss of income and for the legal and associated costs incurred in the Provincial Court protection hearing.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xml:space="preserve">  The Ministry says that L.C. and L.S. do not have a cause of action in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in these circumstances, and alternatively if they do, the Ministry's social workers acted in good faith and were not negligent.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BAN ON PUBLICATION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xml:space="preserve">  On May 9, 2005, I granted a ban on the publication of the names of the parties, the children, and family members, in order to protect the identities of the children involved in this case. Counsel for the Ministry also sought a ban on the publication of the names of the social workers involved in this case, but only if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against them was not proven.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I do not consider it appropriate to restrict publication of the names of the social workers in this judgment, regardless of the outcome. These individuals were exercising statutory authority and I see no reason why the court should substitute initials for their names in these reasons for judgment.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ISSUES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The issues are:</w:t>
      </w:r>
      <w:r>
        <w:rPr>
          <w:rFonts w:ascii="arial" w:eastAsia="arial" w:hAnsi="arial" w:cs="arial"/>
          <w:sz w:val="20"/>
          <w:lang w:val="en-US" w:eastAsia="en-US" w:bidi="ar-SA"/>
        </w:rPr>
        <w:cr/>
      </w:r>
    </w:p>
    <w:p>
      <w:pPr>
        <w:numPr>
          <w:numId w:val="2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Does the Ministry owe a private law duty of care to L.C., a parent, and L.S., a grandparent, in respect of the duties carried out by the director and his or her delegates in a child protection investigation under the Child, Family and Community Service Act, </w:t>
      </w:r>
      <w:r>
        <w:rPr>
          <w:rFonts w:ascii="arial" w:eastAsia="arial" w:hAnsi="arial" w:cs="arial"/>
          <w:i/>
          <w:color w:val="000000"/>
          <w:sz w:val="20"/>
          <w:lang w:val="en-US" w:eastAsia="en-US" w:bidi="ar-SA"/>
        </w:rPr>
        <w:t>R.S.B.C. 1996, c. 46</w:t>
      </w:r>
      <w:r>
        <w:rPr>
          <w:rFonts w:ascii="arial" w:eastAsia="arial" w:hAnsi="arial" w:cs="arial"/>
          <w:color w:val="000000"/>
          <w:sz w:val="20"/>
          <w:lang w:val="en-US" w:eastAsia="en-US" w:bidi="ar-SA"/>
        </w:rPr>
        <w:t>?</w:t>
      </w:r>
    </w:p>
    <w:p>
      <w:pPr>
        <w:numPr>
          <w:numId w:val="2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If the Ministry owes a private law duty of care,</w:t>
      </w:r>
    </w:p>
    <w:p>
      <w:pPr>
        <w:numPr>
          <w:numId w:val="2"/>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what is the standard of care for its delegates or employees in the exercise of their statutory duties?</w:t>
      </w:r>
    </w:p>
    <w:p>
      <w:pPr>
        <w:numPr>
          <w:numId w:val="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did the Ministry's delegates or employees breach the standard of care in the circumstances of this case?</w:t>
      </w:r>
    </w:p>
    <w:p>
      <w:pPr>
        <w:numPr>
          <w:numId w:val="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If the Ministry's delegates or employees breached the standard of care, did the breach cause the damages claimed by the plaintiffs?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CONCLUSION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For the reasons set out below, I have concluded that the Ministry does not owe a private law duty of care to L.S., but that it does owe a private law duty of care to L.C. in the circumstances of this case. I have also concluded that the scope of that duty is limited to a duty of due care and good faith, that the Ministry's social workers did not breach that duty of care, and that consequently, the Ministry is not vicariously liable to L.C..</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NARRATIVE AND FINDINGS OF FACT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The injuries and initial apprehension of D.C.</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The plaintiff L.C. has three children. D.C., born September 7, 1996, is the youngest. J.C. was born in 1993 and A.C. in 1985. She is married to E.C., who is the father of the two younger children, and they have a close-knit extended family. They had never been involved with the Ministry before November 1996.</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On November 1, 1996, L.C. was at home with her two younger children. D.C. was then seven weeks old. He was sleeping in a bassinet, which L.C. had placed on the bed in the master bedroom, against the wall. The door to the bedroom was closed. L.C. was doing housework. At approximately 10:00 am, she went to check on J.C., then three years old. She found him in the master bedroom. The bassinet was in the middle of the bed and J.C. was leaning over it, pushing on the baby's chest. The baby was crying. She reprimanded J.C. and picked up D.C., who settled down shortly after. She did not notice any injury to D.C. However, for the rest of the day, D.C. was uncharacteristically fussy and irritable.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E.C. came home from work at about 6:30 pm. L.C. told him she was worried about the baby. E.C. thought he looked pale and his eyes were "funny." L.C. decided to take D.C. to the local hospital emergency department.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X-rays revealed that D.C. had a serious skull fracture. The right parietal bone was shattered into a three-pointed stellate fracture. Dr. Hamson, the paediatrician who examined D.C. that evening, noted in his consultation report: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This baby sustained a skull fracture, presumably from trauma from the 3 year old boy. The mother was very distraught, particularly on hearing that the baby had a skull fracture. I did not get the impression that she had injured the baby.</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In fact, she seems very upset that presumably the 3 year old had injured him and she started crying, saying "it is all my fault, I should have been more careful with the 3 year old."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w:t>
      </w:r>
      <w:r>
        <w:rPr>
          <w:rFonts w:ascii="arial" w:eastAsia="arial" w:hAnsi="arial" w:cs="arial"/>
          <w:color w:val="000000"/>
          <w:sz w:val="20"/>
          <w:lang w:val="en-US" w:eastAsia="en-US" w:bidi="ar-SA"/>
        </w:rPr>
        <w:t>  D.C. had seizures while at the hospital and his condition quickly began to deteriorate. He was transferred to Children's Hospital in Vancouver. At one point the doctors thought he might not survive. He was in the intensive care ward for several days. Fortunately he began to improve. After about three weeks, he was discharged back to the local hospital.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w:t>
      </w:r>
      <w:r>
        <w:rPr>
          <w:rFonts w:ascii="arial" w:eastAsia="arial" w:hAnsi="arial" w:cs="arial"/>
          <w:color w:val="000000"/>
          <w:sz w:val="20"/>
          <w:lang w:val="en-US" w:eastAsia="en-US" w:bidi="ar-SA"/>
        </w:rPr>
        <w:t>  The Ministry, through the Director, removed D.C. from the custody of his parents on November 2, 1996, the day following his admission to hospital. A judge of the Provincial Court made an order on November 16, 1996, placing D.C. in the custody of the Director pending a protection hearing. After a meeting with the extended family on November 29, 1996, the Ministry decided to place D.C. in the care of his maternal grandparents, the plaintiff L.S. and her husband, as a restricted foster placement. On December 2, 1996, D.C. was discharged from hospital into their care.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w:t>
      </w:r>
      <w:r>
        <w:rPr>
          <w:rFonts w:ascii="arial" w:eastAsia="arial" w:hAnsi="arial" w:cs="arial"/>
          <w:color w:val="000000"/>
          <w:sz w:val="20"/>
          <w:lang w:val="en-US" w:eastAsia="en-US" w:bidi="ar-SA"/>
        </w:rPr>
        <w:t>  The Director also removed the other two children on November 2, 1996. They were eventually placed with a close family friend and were returned to the parents in March 1997.</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w:t>
      </w:r>
      <w:r>
        <w:rPr>
          <w:rFonts w:ascii="arial" w:eastAsia="arial" w:hAnsi="arial" w:cs="arial"/>
          <w:color w:val="000000"/>
          <w:sz w:val="20"/>
          <w:lang w:val="en-US" w:eastAsia="en-US" w:bidi="ar-SA"/>
        </w:rPr>
        <w:t>  In addition, the police were conducting an investigation. The Ministry social workers and the police kept in reasonably regular contact with each other.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The Ministry's investigation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w:t>
      </w:r>
      <w:r>
        <w:rPr>
          <w:rFonts w:ascii="arial" w:eastAsia="arial" w:hAnsi="arial" w:cs="arial"/>
          <w:color w:val="000000"/>
          <w:sz w:val="20"/>
          <w:lang w:val="en-US" w:eastAsia="en-US" w:bidi="ar-SA"/>
        </w:rPr>
        <w:t>  There were a number of individuals involved in the investigation of D.C.'s injuries. The first was Einar Maartman, the intake worker employed in the Ministry's After Hours program, who made the initial decision to remove the children. Mr. Maartman prepared a detailed After Hours Report, which outlined the information he obtained from a number of sources, including the parents and pediatricians. He relied in particular on medical information from Dr. A. Cogswell, who described the injuries as including retinal hemorrhage, skull fracture, and significant brain damage, and suggested that D.C. may have been severely shaken and thrown. He also relied on similar information and opinion from Dr. Jean Hlady, the director of the Child Protection Service Unit at Children's Hospital.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w:t>
      </w:r>
      <w:r>
        <w:rPr>
          <w:rFonts w:ascii="arial" w:eastAsia="arial" w:hAnsi="arial" w:cs="arial"/>
          <w:color w:val="000000"/>
          <w:sz w:val="20"/>
          <w:lang w:val="en-US" w:eastAsia="en-US" w:bidi="ar-SA"/>
        </w:rPr>
        <w:t>  In her initial consultation report, Dr. Hlady concluded that D.C. had suffered severe non-accidental trauma. She based this on the presence of the large skull fracture, the retinal hemorrhages, and the intracerebral bleeding. She made the initial calls to the Ministry and to the police.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w:t>
      </w:r>
      <w:r>
        <w:rPr>
          <w:rFonts w:ascii="arial" w:eastAsia="arial" w:hAnsi="arial" w:cs="arial"/>
          <w:color w:val="000000"/>
          <w:sz w:val="20"/>
          <w:lang w:val="en-US" w:eastAsia="en-US" w:bidi="ar-SA"/>
        </w:rPr>
        <w:t>  Deborah Zapp, the acting district supervisor, received the After Hours Report about D.C. and recognized that this was a complex matter. She sent a report to Diane Wenger, the acting area manager, and she assigned two social workers to the file, Leslie Holtby and Paul MacDonald.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w:t>
      </w:r>
      <w:r>
        <w:rPr>
          <w:rFonts w:ascii="arial" w:eastAsia="arial" w:hAnsi="arial" w:cs="arial"/>
          <w:color w:val="000000"/>
          <w:sz w:val="20"/>
          <w:lang w:val="en-US" w:eastAsia="en-US" w:bidi="ar-SA"/>
        </w:rPr>
        <w:t>  Ms. Holtby took steps to obtain for the parents supervised access to their children and to determine if it was possible to place the children with family or friends. She and Mr. MacDonald continued with their investigation. On November 15, 1996, they met with Dr. Hlady, who outlined the injuries and explained why she thought they resulted from shaken baby syndrome. In her Discharge Summary dated November 21, 1996, Dr. Hlady concluded that D.C. had "suffered severe non-accidental trauma," which included a severe head injury with skull fracture, subdural bleeding, cerebral edema and retinal hemorrhages. She referred to an examination of the eyes by an ophthalmologist, who had indicated that there were bilateral retinal hemorrhages "consistent with severe shaking injury." She thought it "very unlikely that these injuries were sustained at the hands of a 3 year old child."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w:t>
      </w:r>
      <w:r>
        <w:rPr>
          <w:rFonts w:ascii="arial" w:eastAsia="arial" w:hAnsi="arial" w:cs="arial"/>
          <w:color w:val="000000"/>
          <w:sz w:val="20"/>
          <w:lang w:val="en-US" w:eastAsia="en-US" w:bidi="ar-SA"/>
        </w:rPr>
        <w:t>  Ms. Holtby retained Bruce McNeil, a child protection consultant, to prepare a risk assessment on the C. family. Mr. McNeil found few risk factors, only 4 of 23 possible factors. These factors related to the severity of the injury and the young age of the child. Some areas were not rated due to insufficient information. In essence, this was a good family with a lot of strengths. The profile was unusual and it created a dilemma for the Ministry, when compared to the medical information.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w:t>
      </w:r>
      <w:r>
        <w:rPr>
          <w:rFonts w:ascii="arial" w:eastAsia="arial" w:hAnsi="arial" w:cs="arial"/>
          <w:color w:val="000000"/>
          <w:sz w:val="20"/>
          <w:lang w:val="en-US" w:eastAsia="en-US" w:bidi="ar-SA"/>
        </w:rPr>
        <w:t>  Mr. McNeil recommended that a family assessment be completed, that the children remain in care pending completion of the investigation and assessment, that the older two children be placed with a family friend, and that the maternal grandparents be considered as a potential placement for D.C. He also stated that "[g]iven the clear medical evidence there is really no choice but to operate on the assumption that [L.C.] was responsible for the injuries to [D.C.]."</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w:t>
      </w:r>
      <w:r>
        <w:rPr>
          <w:rFonts w:ascii="arial" w:eastAsia="arial" w:hAnsi="arial" w:cs="arial"/>
          <w:color w:val="000000"/>
          <w:sz w:val="20"/>
          <w:lang w:val="en-US" w:eastAsia="en-US" w:bidi="ar-SA"/>
        </w:rPr>
        <w:t>  The Ministry implemented Mr. McNeil's recommendations. Ms. Holtby retained Dr. Michael Elterman to prepare a psychological assessment of the family. The scope of his contract included terms suggested by the family's counsel. Ms. Holtby did not ask Dr. Elterman to give an opinion about the capacity of the three-year-old to commit the injury, as the Ministry did not consider this to be within his expertise.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w:t>
      </w:r>
      <w:r>
        <w:rPr>
          <w:rFonts w:ascii="arial" w:eastAsia="arial" w:hAnsi="arial" w:cs="arial"/>
          <w:color w:val="000000"/>
          <w:sz w:val="20"/>
          <w:lang w:val="en-US" w:eastAsia="en-US" w:bidi="ar-SA"/>
        </w:rPr>
        <w:t>  On November 29, 1997, the family requested a meeting with the Ministry social workers regarding the placement for D.C. Ms. Holtby had advised them that they could not yet proceed to place him with L.S. Ms. Holtby arranged the meeting, and a fairly large contingent of family and friends attended. Ms. Wenger was in the building that day and was asked to join the session. After some discussion, Ms. Wenger agreed that L.S. and her husband would cooperate with the Ministry as caregivers and would be an appropriate placement, and she approved it.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w:t>
      </w:r>
      <w:r>
        <w:rPr>
          <w:rFonts w:ascii="arial" w:eastAsia="arial" w:hAnsi="arial" w:cs="arial"/>
          <w:color w:val="000000"/>
          <w:sz w:val="20"/>
          <w:lang w:val="en-US" w:eastAsia="en-US" w:bidi="ar-SA"/>
        </w:rPr>
        <w:t>  There was some evidence that Ms. Holtby and Ms. Zapp expressed views to the effect that L.C. was guilty of causing the injuries to D.C. The family had the impression that Ms. Holtby and Ms. Zapp, as well as the initial intake worker Mr. Maartman, had prejudged the case. Each person gave evidence about what they thought at the time. Mr. Maartman was quite convinced that D.C. had been shaken and remained firmly of that view. Ms. Holtby, while suspicious, testified that this was not her perspective, but there was medical evidence pointing that way and the family needed to understand that in respect of the Ministry's responsibility. She acknowledged that she likely told them that it was improbable that the three-year-old was guilty. Ms. Zapp agreed that she advised L.S. and her husband that they were not to accuse the three-year-old and that they had to follow the Ministry's directions or D.C. would be removed from their care. She denied making statements about D.C.'s prognosis.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w:t>
      </w:r>
      <w:r>
        <w:rPr>
          <w:rFonts w:ascii="arial" w:eastAsia="arial" w:hAnsi="arial" w:cs="arial"/>
          <w:color w:val="000000"/>
          <w:sz w:val="20"/>
          <w:lang w:val="en-US" w:eastAsia="en-US" w:bidi="ar-SA"/>
        </w:rPr>
        <w:t>  Dr. Elterman completed his assessment in February 1997. He did not find anything of sufficient magnitude to assist him in identifying a psychological factor relevant to explaining D.C.'s injuries. He found no information suggesting an anger control problem in either of the parents and no evidence that either of the two older children had been abused in any way.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w:t>
      </w:r>
      <w:r>
        <w:rPr>
          <w:rFonts w:ascii="arial" w:eastAsia="arial" w:hAnsi="arial" w:cs="arial"/>
          <w:color w:val="000000"/>
          <w:sz w:val="20"/>
          <w:lang w:val="en-US" w:eastAsia="en-US" w:bidi="ar-SA"/>
        </w:rPr>
        <w:t>  As a result of Dr. Elterman's conclusions, the two older children were returned to the parents under the Director's supervision for six months, under a consent order dated March 11, 1997. D.C. remained in the care of the Director for a further three months under a consent order dated March 14, 1997. He continued to reside with his maternal grandparents, with supervised access to the parents.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w:t>
      </w:r>
      <w:r>
        <w:rPr>
          <w:rFonts w:ascii="arial" w:eastAsia="arial" w:hAnsi="arial" w:cs="arial"/>
          <w:color w:val="000000"/>
          <w:sz w:val="20"/>
          <w:lang w:val="en-US" w:eastAsia="en-US" w:bidi="ar-SA"/>
        </w:rPr>
        <w:t>  Meanwhile, there were several changes in the Ministry staff. In January 1997, Ms. Holtby left her position to take further education and Ms. Wenger left her position as acting area manager to become a team leader in another district. Subsequently, Mr. MacDonald also left. In April 1997, Carol Jones became the social worker responsible for this file. Ms. Zapp left her position as acting team leader and Mr. McNeil filled that position on April 1, 1997, for about five to six weeks. Subsequently, Larry Walters took over as the team leader.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w:t>
      </w:r>
      <w:r>
        <w:rPr>
          <w:rFonts w:ascii="arial" w:eastAsia="arial" w:hAnsi="arial" w:cs="arial"/>
          <w:color w:val="000000"/>
          <w:sz w:val="20"/>
          <w:lang w:val="en-US" w:eastAsia="en-US" w:bidi="ar-SA"/>
        </w:rPr>
        <w:t>  The family continued to work with Ms. Jones to develop a plan of care for the return of D.C. They also sought further medical information. In May, their counsel sent to the Ministry a copy of a letter dated May 12, 1997, from Dr. Lionel Traverse, the paediatrician at the local hospital. He had been asked to review D.C.'s chart and consider whether the findings could be attributed to the three-year-old sibling of D.C. Dr. Traverse opined that there were probably three answers:</w:t>
      </w:r>
      <w:r>
        <w:rPr>
          <w:rFonts w:ascii="arial" w:eastAsia="arial" w:hAnsi="arial" w:cs="arial"/>
          <w:sz w:val="20"/>
          <w:lang w:val="en-US" w:eastAsia="en-US" w:bidi="ar-SA"/>
        </w:rPr>
        <w:cr/>
      </w:r>
    </w:p>
    <w:p>
      <w:pPr>
        <w:numPr>
          <w:numId w:val="5"/>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With regards to the skull fracture, the answer is yes. If the impact of a blow falls by chance right on a "point of weakness", it doesn't have to be a very strong blow to create a fracture, and in my opinion it is possible that a three-year-old could create skull fracture by trying to hold or carry the child and dropping him, or even by directly hitting him with a hard object.</w:t>
      </w:r>
    </w:p>
    <w:p>
      <w:pPr>
        <w:numPr>
          <w:numId w:val="5"/>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Could this blow create such extensive brain damage if it had been done by a three year old? The answer is, maybe. After a skull fracture it is conceivable that repeated thumping on the chest of the baby by the three year old brother would have created enough increase in the intracranial pressure to potentiate minimal damage due to the initial skull fracture and cerebral hemorrhages. Furthermore, the delay between the suspected initial blow and the initiation of treatment that evening, certainly has allowed secondary brain damage to occur.</w:t>
      </w:r>
    </w:p>
    <w:p>
      <w:pPr>
        <w:numPr>
          <w:numId w:val="5"/>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Finally, could the three year old shake a baby hard enough to create retinal hemorrhages? The answer to this question is, no. A 4 kg child would be much too heavy for a three year old to shake and to cause a shaken baby syndrome.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w:t>
      </w:r>
      <w:r>
        <w:rPr>
          <w:rFonts w:ascii="arial" w:eastAsia="arial" w:hAnsi="arial" w:cs="arial"/>
          <w:color w:val="000000"/>
          <w:sz w:val="20"/>
          <w:lang w:val="en-US" w:eastAsia="en-US" w:bidi="ar-SA"/>
        </w:rPr>
        <w:t>  Dr. Traverse noted that the ophthamological findings of retinal hemorrhages were consistent with shaken baby syndrome. However, he noted that the findings were asymmetrical and because no spinal cord anomalies were found, "one may wish to pursue further to know if the findings on the left eye particularly, could be consistent with cerebral edema instead of shaken baby syndrome." He mentioned other factors that spoke against a chronic child abuse situation.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w:t>
      </w:r>
      <w:r>
        <w:rPr>
          <w:rFonts w:ascii="arial" w:eastAsia="arial" w:hAnsi="arial" w:cs="arial"/>
          <w:color w:val="000000"/>
          <w:sz w:val="20"/>
          <w:lang w:val="en-US" w:eastAsia="en-US" w:bidi="ar-SA"/>
        </w:rPr>
        <w:t>  Also in May, Dr. Elterman provided an update report to the Ministry. He did not find psychological evidence related to increased risk. He recommended that D.C. be returned to his parents.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34</w:t>
      </w:r>
      <w:r>
        <w:rPr>
          <w:rFonts w:ascii="arial" w:eastAsia="arial" w:hAnsi="arial" w:cs="arial"/>
          <w:color w:val="000000"/>
          <w:sz w:val="20"/>
          <w:lang w:val="en-US" w:eastAsia="en-US" w:bidi="ar-SA"/>
        </w:rPr>
        <w:t>  At this time, the police investigation was continuing.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35</w:t>
      </w:r>
      <w:r>
        <w:rPr>
          <w:rFonts w:ascii="arial" w:eastAsia="arial" w:hAnsi="arial" w:cs="arial"/>
          <w:color w:val="000000"/>
          <w:sz w:val="20"/>
          <w:lang w:val="en-US" w:eastAsia="en-US" w:bidi="ar-SA"/>
        </w:rPr>
        <w:t>  When Larry Walters assumed the duties of team leader in May 1997, he consulted with Carol Jones about this case and reviewed some of the key documents. He was aware there appeared to be competing medical opinions and the decision was difficult. Because there was another court date pending and a decision had to be made, he requested a case conference with all of the people who had been involved in the case, as well as the current area manager, Valerie London. He contacted Ms. London on May 27 and 28, 1997, and a meeting was set up for May 29, 1997.</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The Ministry's decision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36</w:t>
      </w:r>
      <w:r>
        <w:rPr>
          <w:rFonts w:ascii="arial" w:eastAsia="arial" w:hAnsi="arial" w:cs="arial"/>
          <w:color w:val="000000"/>
          <w:sz w:val="20"/>
          <w:lang w:val="en-US" w:eastAsia="en-US" w:bidi="ar-SA"/>
        </w:rPr>
        <w:t>  At the meeting on May 29, 1997, the Ministry decided not to return D.C. to his parents and to seek a continuing custody order in Provincial Court. The plaintiffs take issue with this decision, in light of the conflicting medical opinions about the possible cause of D.C.'s injuries. They say that the Ministry ought to have deferred the decision until they made further inquiries in order to properly understand and reconcile the medical evidence.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37</w:t>
      </w:r>
      <w:r>
        <w:rPr>
          <w:rFonts w:ascii="arial" w:eastAsia="arial" w:hAnsi="arial" w:cs="arial"/>
          <w:color w:val="000000"/>
          <w:sz w:val="20"/>
          <w:lang w:val="en-US" w:eastAsia="en-US" w:bidi="ar-SA"/>
        </w:rPr>
        <w:t>  Although it appears that this meeting was assembled quite quickly, almost every worker who had been involved in this case after the initial apprehension attended: the current and previous social workers, Ms. Jones and Ms. Holtby; the current and previous team leaders, Mr. Walters and Ms. Zapp; and the current and previous area managers, Ms. London and Ms. Wenger. Mr. McNeil, the child protection consultant who had also acted as team leader for an interim period, attended most of the meeting by telephone. It was unusual for so many individuals to attend such a meeting.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38</w:t>
      </w:r>
      <w:r>
        <w:rPr>
          <w:rFonts w:ascii="arial" w:eastAsia="arial" w:hAnsi="arial" w:cs="arial"/>
          <w:color w:val="000000"/>
          <w:sz w:val="20"/>
          <w:lang w:val="en-US" w:eastAsia="en-US" w:bidi="ar-SA"/>
        </w:rPr>
        <w:t>  Ms. Jones provided a summary of the information in the file, including the status of the police investigation, her involvement with the family, and the plan of care they had developed. Most of the participants recalled, in varying degrees, discussing Mr. McNeil's risk assessment, Dr. Elterman's reports, Dr. Hlady's opinion and Dr. Traverse's more recent letter. They weighed Dr. Traverse's opinion with Dr. Hlady's. Each person expressed a point of view. Ms. Jones advocated a return. Ms. Holtby was sympathetic to the family but was not in a position to argue strongly for a return. Ms. Zapp did not recall attending the meeting and it is not clear if she was present for the entire time.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39</w:t>
      </w:r>
      <w:r>
        <w:rPr>
          <w:rFonts w:ascii="arial" w:eastAsia="arial" w:hAnsi="arial" w:cs="arial"/>
          <w:color w:val="000000"/>
          <w:sz w:val="20"/>
          <w:lang w:val="en-US" w:eastAsia="en-US" w:bidi="ar-SA"/>
        </w:rPr>
        <w:t>  Mr. Walters and Ms. Wenger supported an application for continuing custody, mainly in reliance on the opinion of Dr. Hlady and her team as the experts in child abuse. While they considered what Dr. Traverse had to say, they did not accept his opinion as overriding the child protection team at the Children's Hospital. Ms. Wenger said that the Ministry had a formal relationship with the child protection team, as a resource.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40</w:t>
      </w:r>
      <w:r>
        <w:rPr>
          <w:rFonts w:ascii="arial" w:eastAsia="arial" w:hAnsi="arial" w:cs="arial"/>
          <w:color w:val="000000"/>
          <w:sz w:val="20"/>
          <w:lang w:val="en-US" w:eastAsia="en-US" w:bidi="ar-SA"/>
        </w:rPr>
        <w:t>  Ms. London first became aware of the case only a few days before this meeting. She did not review the file in advance. She did not recall reading any of the medical reports in advance, but she did recall reading Dr. Traverse's letter during the meeting. She was briefed by the others at the meeting. As area manager, Ms. London took responsibility and made the decision. She testified that they weighed a number of factors, including the severity of the injury, the age of the child, the medical evidence, the four risk factors identified in Mr. McNeil's risk assessment, Dr. Elterman's recommendation, the support and cooperation of the family, and their level of accepted responsibility. She did not consider seeking another medical opinion because Dr. Hlady had consulted with a number of other specialists. Ms. London thought they had all of the medical evidence that was available.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41</w:t>
      </w:r>
      <w:r>
        <w:rPr>
          <w:rFonts w:ascii="arial" w:eastAsia="arial" w:hAnsi="arial" w:cs="arial"/>
          <w:color w:val="000000"/>
          <w:sz w:val="20"/>
          <w:lang w:val="en-US" w:eastAsia="en-US" w:bidi="ar-SA"/>
        </w:rPr>
        <w:t>  All of the participants described the decision as very difficult. Ms. Holtby aptly described it as a "kind of Solomon decision." Essentially, they opted to err on the side of safety for the child by retaining custody and putting the issue before the court.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42</w:t>
      </w:r>
      <w:r>
        <w:rPr>
          <w:rFonts w:ascii="arial" w:eastAsia="arial" w:hAnsi="arial" w:cs="arial"/>
          <w:color w:val="000000"/>
          <w:sz w:val="20"/>
          <w:lang w:val="en-US" w:eastAsia="en-US" w:bidi="ar-SA"/>
        </w:rPr>
        <w:t>  Ms. London testified that because of the contrast between the opinions of Dr. Hlady and Dr. Traverse, she wanted to have one more conversation with Dr. Hlady to be certain that she had considered Dr. Traverse's contribution. She instructed Mr. Walters to contact Dr. Hlady, which he did, with Ms. Jones, by telephone on June 5, 1997. However, it is not clear if Mr. Walters or Ms. Jones discussed Dr. Traverse's opinion with Dr. Hlady, at least in any detail. The scant notes taken by Ms. Jones indicate only that Dr. Hlady "reconfirmed that she is not of opinion that this injury could have been caused by 3 yr-old" and that Dr. Hlady "would like any other reports." There is no evidence that Dr. Hlady received a copy of Dr. Traverse's letter at any time up to June 1997.</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The Proceedings in Provincial Court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43</w:t>
      </w:r>
      <w:r>
        <w:rPr>
          <w:rFonts w:ascii="arial" w:eastAsia="arial" w:hAnsi="arial" w:cs="arial"/>
          <w:color w:val="000000"/>
          <w:sz w:val="20"/>
          <w:lang w:val="en-US" w:eastAsia="en-US" w:bidi="ar-SA"/>
        </w:rPr>
        <w:t>  Following the May 29, 1997 decision, the Ministry amended its application for a further extension of the temporary order of March 14, 1997, and applied for continuing custody. The hearing started on September 10, 1997, and continued for a total of seven days. Unfortunately, these days were scattered throughout the months of September and December 1997 and March and June 1998.</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44</w:t>
      </w:r>
      <w:r>
        <w:rPr>
          <w:rFonts w:ascii="arial" w:eastAsia="arial" w:hAnsi="arial" w:cs="arial"/>
          <w:color w:val="000000"/>
          <w:sz w:val="20"/>
          <w:lang w:val="en-US" w:eastAsia="en-US" w:bidi="ar-SA"/>
        </w:rPr>
        <w:t>  Dr. Traverse gave evidence on September 17, 1997. He expanded on the opinion expressed in his letter of May 12, 1997. He was not convinced that D.C. suffered a shaking injury. He testified: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In my opinion, just simply on the medical findings I find that it is a weak argument again to say that it is a shaken baby because the only argument we have for shaken baby here is the eye findings. The rest doesn't really speak for it, in particular, the absence of problems in the neck and the CT scanning and ... the MRI. These intracranial findings could explain the eye finding on the other end.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45</w:t>
      </w:r>
      <w:r>
        <w:rPr>
          <w:rFonts w:ascii="arial" w:eastAsia="arial" w:hAnsi="arial" w:cs="arial"/>
          <w:color w:val="000000"/>
          <w:sz w:val="20"/>
          <w:lang w:val="en-US" w:eastAsia="en-US" w:bidi="ar-SA"/>
        </w:rPr>
        <w:t>  Dr. Traverse also said that the eye findings "could very well be explained by the cerebral edema and the little baby brother thumping on the chest."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46</w:t>
      </w:r>
      <w:r>
        <w:rPr>
          <w:rFonts w:ascii="arial" w:eastAsia="arial" w:hAnsi="arial" w:cs="arial"/>
          <w:color w:val="000000"/>
          <w:sz w:val="20"/>
          <w:lang w:val="en-US" w:eastAsia="en-US" w:bidi="ar-SA"/>
        </w:rPr>
        <w:t>  Dr. Hlady gave evidence on December 17, 1997. She confirmed her diagnosis of shaken impact syndrome. She testified that there were two components to D.C.'s injuries: the first was the skull fracture and the second was the swelling of the brain and bleeding in the subdural space. She said that the retinal hemorrhages were quite severe, and that such hemorrhages do not have to be bilateral or equal in shaken baby syndrome. She acknowledged that there were no abnormal skeletal findings in D.C.'s neck or spine and no bruise marks or damage to the skin. This did not detract from her opinion, as she explained that there are cases where a baby has been shaken and there are no abnormalities or marks.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47</w:t>
      </w:r>
      <w:r>
        <w:rPr>
          <w:rFonts w:ascii="arial" w:eastAsia="arial" w:hAnsi="arial" w:cs="arial"/>
          <w:color w:val="000000"/>
          <w:sz w:val="20"/>
          <w:lang w:val="en-US" w:eastAsia="en-US" w:bidi="ar-SA"/>
        </w:rPr>
        <w:t>  Dr. Hlady remained of the view that D.C.'s injuries could not have been caused by a three-year-old child. She was specifically asked about Dr. Traverse's May 12, 1997 opinion, in particular, his questioning about the ophthalmological findings. She agreed that the skull fracture could have been caused by the three-year-old, but disagreed that the child could have caused such extensive brain damage. She did not think it was a possibility that the child thumping on the baby's chest could cause intracranial pressure.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48</w:t>
      </w:r>
      <w:r>
        <w:rPr>
          <w:rFonts w:ascii="arial" w:eastAsia="arial" w:hAnsi="arial" w:cs="arial"/>
          <w:color w:val="000000"/>
          <w:sz w:val="20"/>
          <w:lang w:val="en-US" w:eastAsia="en-US" w:bidi="ar-SA"/>
        </w:rPr>
        <w:t>  She was asked in cross examination to consider, for the first time, a scenario where the three-year-old was jumping on the bed, fell, and hit the baby's head with his knee. She said this could explain the skull fracture but not the retinal hemorrhages, the subdural bleeding and the cerebral swelling. Dr. Hlady said that in a young baby, shaking has to be a strong possibility where there are retinal hemorrhages, although there are other rare causes, such as major car accidents.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49</w:t>
      </w:r>
      <w:r>
        <w:rPr>
          <w:rFonts w:ascii="arial" w:eastAsia="arial" w:hAnsi="arial" w:cs="arial"/>
          <w:color w:val="000000"/>
          <w:sz w:val="20"/>
          <w:lang w:val="en-US" w:eastAsia="en-US" w:bidi="ar-SA"/>
        </w:rPr>
        <w:t>  One factual issue that arose from a detailed review of the hospital records, was when the retinal hemorrhages were first seen. Dr. Hlady agreed that retinal hemorrhages are almost always present in shaken baby incidents and that a check for them should be done at the very first opportunity. She also said that they are easily missed, and that is why she called in an ophthalmologist for a consultation. The doctor who first examined D.C. when he was admitted to the Intensive Care Unit at Children's Hospital did not find any. Subsequently, two ophthalmologists examined the child and found them. Dr. Hlady did not rely on the first doctor's examination, but rather on those of the ophthalmologists. The first ophthalmologist indicated that the hemorrhages were sub-retinal in nature and the other indicated that the findings were consistent with a severe shaking injury.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50</w:t>
      </w:r>
      <w:r>
        <w:rPr>
          <w:rFonts w:ascii="arial" w:eastAsia="arial" w:hAnsi="arial" w:cs="arial"/>
          <w:color w:val="000000"/>
          <w:sz w:val="20"/>
          <w:lang w:val="en-US" w:eastAsia="en-US" w:bidi="ar-SA"/>
        </w:rPr>
        <w:t>  Up to this point in the hearing, the medical evidence, while more detailed, was essentially the same as the information that was available to the Ministry at the time the Director made the May 29, 1997 decision.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51</w:t>
      </w:r>
      <w:r>
        <w:rPr>
          <w:rFonts w:ascii="arial" w:eastAsia="arial" w:hAnsi="arial" w:cs="arial"/>
          <w:color w:val="000000"/>
          <w:sz w:val="20"/>
          <w:lang w:val="en-US" w:eastAsia="en-US" w:bidi="ar-SA"/>
        </w:rPr>
        <w:t>  During the hearing, the judge noted the serious allegations and indicated that she hoped the Director would retain a forensic pathologist to review the records and give evidence to assist the court. The Ministry then sought an opinion from Dr. Sharon Boone, a forensic pathologist. Dr. Boone wrote a report, dated December 16, 1997, and gave evidence at the hearing on March 11, 1998. Her opinion was consistent with that of Dr. Hlady. In her report, she stated: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In my opinion, the injuries as outlined are due to the shaken impact syndrome. The shaken impact syndrome has two components, significant shaking of the infant and impact of the head against a hard surface. The impact causes the skull fracture. The injuries are not accidental and could not have been caused by a three year old child.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52</w:t>
      </w:r>
      <w:r>
        <w:rPr>
          <w:rFonts w:ascii="arial" w:eastAsia="arial" w:hAnsi="arial" w:cs="arial"/>
          <w:color w:val="000000"/>
          <w:sz w:val="20"/>
          <w:lang w:val="en-US" w:eastAsia="en-US" w:bidi="ar-SA"/>
        </w:rPr>
        <w:t>  In her testimony, and in subsequent interrogatories, Dr. Boone remained firm in this opinion, despite questions about other possible causes for the injuries, including the jumping hypothesis.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53</w:t>
      </w:r>
      <w:r>
        <w:rPr>
          <w:rFonts w:ascii="arial" w:eastAsia="arial" w:hAnsi="arial" w:cs="arial"/>
          <w:color w:val="000000"/>
          <w:sz w:val="20"/>
          <w:lang w:val="en-US" w:eastAsia="en-US" w:bidi="ar-SA"/>
        </w:rPr>
        <w:t>  During the hearing, the C. family retained Dr. David Kuntz, a surgeon qualified in both neurological and orthopaedic surgery. Dr. Kuntz wrote a report dated April 18, 1998, and gave evidence on June 18 and 22, 1998. Dr. Kuntz did a comprehensive review of the medical records and the history given by L.C. He reconstructed the event and developed the hypothesis that "the 3 year old 35 pound sibling may have been trampolining on the parent's bed causing the bassinet to migrate towards the middle of the bed where the bassinet clipped the leg of the 3 year old who fell knee-first onto [D.C.]'s skull." He referred to D.C.'s injury as "a very serious playground injury at the knee of a child'."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54</w:t>
      </w:r>
      <w:r>
        <w:rPr>
          <w:rFonts w:ascii="arial" w:eastAsia="arial" w:hAnsi="arial" w:cs="arial"/>
          <w:color w:val="000000"/>
          <w:sz w:val="20"/>
          <w:lang w:val="en-US" w:eastAsia="en-US" w:bidi="ar-SA"/>
        </w:rPr>
        <w:t>  Dr. Kuntz's report gave an extensive analysis about a number of clinical findings. He was of the view that the retinal hemorrhages were caused, not by shaking, but by acute subdural hemorrhage, and that the injuries were aggravated by the way D.C. was subsequently handled.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55</w:t>
      </w:r>
      <w:r>
        <w:rPr>
          <w:rFonts w:ascii="arial" w:eastAsia="arial" w:hAnsi="arial" w:cs="arial"/>
          <w:color w:val="000000"/>
          <w:sz w:val="20"/>
          <w:lang w:val="en-US" w:eastAsia="en-US" w:bidi="ar-SA"/>
        </w:rPr>
        <w:t>  Dr. Kuntz concluded that D.C. did not suffer shaken baby or shaken impact syndrome. He believed the clinical findings were explained by the single impact knee injury scenario.</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56</w:t>
      </w:r>
      <w:r>
        <w:rPr>
          <w:rFonts w:ascii="arial" w:eastAsia="arial" w:hAnsi="arial" w:cs="arial"/>
          <w:color w:val="000000"/>
          <w:sz w:val="20"/>
          <w:lang w:val="en-US" w:eastAsia="en-US" w:bidi="ar-SA"/>
        </w:rPr>
        <w:t>  The police investigation continued during the course of the proceedings in Provincial Court, until March 1998, when the police informed the Ministry that Crown counsel had not approved charges against L.C. due to insufficient evidence.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The Judge's decision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57</w:t>
      </w:r>
      <w:r>
        <w:rPr>
          <w:rFonts w:ascii="arial" w:eastAsia="arial" w:hAnsi="arial" w:cs="arial"/>
          <w:color w:val="000000"/>
          <w:sz w:val="20"/>
          <w:lang w:val="en-US" w:eastAsia="en-US" w:bidi="ar-SA"/>
        </w:rPr>
        <w:t>  On August 26, 1998, Judge Maltby ordered that D.C. be returned to his parents. She outlined the two theories presented to explain the injury to D.C. and found that L.C. did not cause the skull fracture, but that it was caused by the "playground knee accident scenario."</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58</w:t>
      </w:r>
      <w:r>
        <w:rPr>
          <w:rFonts w:ascii="arial" w:eastAsia="arial" w:hAnsi="arial" w:cs="arial"/>
          <w:color w:val="000000"/>
          <w:sz w:val="20"/>
          <w:lang w:val="en-US" w:eastAsia="en-US" w:bidi="ar-SA"/>
        </w:rPr>
        <w:t>  The judge noted that this was consistent with the non-medical evidence:</w:t>
      </w:r>
      <w:r>
        <w:rPr>
          <w:rFonts w:ascii="arial" w:eastAsia="arial" w:hAnsi="arial" w:cs="arial"/>
          <w:sz w:val="20"/>
          <w:lang w:val="en-US" w:eastAsia="en-US" w:bidi="ar-SA"/>
        </w:rPr>
        <w:cr/>
      </w:r>
    </w:p>
    <w:p>
      <w:pPr>
        <w:numPr>
          <w:numId w:val="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three-year-old was described as being physically and temperamentally capable of the playground accident scenario;</w:t>
      </w:r>
    </w:p>
    <w:p>
      <w:pPr>
        <w:numPr>
          <w:numId w:val="7"/>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there was no evidence of any significant risk factors present in the family to account for a non-accidental injury;</w:t>
      </w:r>
    </w:p>
    <w:p>
      <w:pPr>
        <w:numPr>
          <w:numId w:val="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there were no other significant stressors in the family and only one in five of shaken baby incidents involve the absence of risk factors in the parents;</w:t>
      </w:r>
    </w:p>
    <w:p>
      <w:pPr>
        <w:numPr>
          <w:numId w:val="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there was no physical evidence from the scene of an intentionally inflicted injury, such as hair, skin or blood traces on any objects;</w:t>
      </w:r>
    </w:p>
    <w:p>
      <w:pPr>
        <w:numPr>
          <w:numId w:val="1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there was no evidence of other injuries frequently seen in child abuse cases;</w:t>
      </w:r>
    </w:p>
    <w:p>
      <w:pPr>
        <w:numPr>
          <w:numId w:val="1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parents were very much involved with the child and were not noted to have behaved inappropriately while at the hospital;</w:t>
      </w:r>
    </w:p>
    <w:p>
      <w:pPr>
        <w:numPr>
          <w:numId w:val="1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history and surrounding events given by L.C. was consistent with the other evidence.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59</w:t>
      </w:r>
      <w:r>
        <w:rPr>
          <w:rFonts w:ascii="arial" w:eastAsia="arial" w:hAnsi="arial" w:cs="arial"/>
          <w:color w:val="000000"/>
          <w:sz w:val="20"/>
          <w:lang w:val="en-US" w:eastAsia="en-US" w:bidi="ar-SA"/>
        </w:rPr>
        <w:t>  With respect to the medical evidence, Judge Maltby agreed with the C. family's attack on the medical conclusions of shaken baby syndrome, based on certain medical facts and knowledge in the hospital records, which should have been taken into consideration by the Ministry but were not. She found that Dr. Hlady had agreed with a number of the hypothesis put forward by the C. family during cross-examination. She found that Dr. Boone had an unscientific approach to the matter, if not a bias.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60</w:t>
      </w:r>
      <w:r>
        <w:rPr>
          <w:rFonts w:ascii="arial" w:eastAsia="arial" w:hAnsi="arial" w:cs="arial"/>
          <w:color w:val="000000"/>
          <w:sz w:val="20"/>
          <w:lang w:val="en-US" w:eastAsia="en-US" w:bidi="ar-SA"/>
        </w:rPr>
        <w:t>  Judge Maltby commented on the role of the Ministry:</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I do not find that the child was in need of protection ... That is not to say that the Director's representatives were wrong in removing the child when they did. They were presented with an unexplained injury with extremely serious consequences to the baby. An expert in the field, Dr. Hlady, told them that she did not believe that this was an accidental injury. They had a duty to remove the child at that point. If there is an error to be made, it has to be on the side of protecting a child and that was what was done here. But once the explanation for the injury evolved, </w:t>
      </w:r>
      <w:r>
        <w:rPr>
          <w:rFonts w:ascii="arial" w:eastAsia="arial" w:hAnsi="arial" w:cs="arial"/>
          <w:b/>
          <w:color w:val="000000"/>
          <w:sz w:val="20"/>
          <w:lang w:val="en-US" w:eastAsia="en-US" w:bidi="ar-SA"/>
        </w:rPr>
        <w:t>much of it through the trial process</w:t>
      </w:r>
      <w:r>
        <w:rPr>
          <w:rFonts w:ascii="arial" w:eastAsia="arial" w:hAnsi="arial" w:cs="arial"/>
          <w:color w:val="000000"/>
          <w:sz w:val="20"/>
          <w:lang w:val="en-US" w:eastAsia="en-US" w:bidi="ar-SA"/>
        </w:rPr>
        <w:t>, then it is apparent that the child was in fact, not in need of protection as set out in the Act. (emphasis added)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61</w:t>
      </w:r>
      <w:r>
        <w:rPr>
          <w:rFonts w:ascii="arial" w:eastAsia="arial" w:hAnsi="arial" w:cs="arial"/>
          <w:color w:val="000000"/>
          <w:sz w:val="20"/>
          <w:lang w:val="en-US" w:eastAsia="en-US" w:bidi="ar-SA"/>
        </w:rPr>
        <w:t>  The parents asked for costs of the proceedings, but the judge declined to make such an order. Rule 4(10) of the Provincial Court (Child, Family and Community Service Act) Rules permits the court to award costs where the judge determines that calling another party's expert was unnecessary. Given the complexity of the evidence, Judge Maltby did not find that any of it was unnecessary.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THE PLAINTIFFS' CLAIM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62</w:t>
      </w:r>
      <w:r>
        <w:rPr>
          <w:rFonts w:ascii="arial" w:eastAsia="arial" w:hAnsi="arial" w:cs="arial"/>
          <w:color w:val="000000"/>
          <w:sz w:val="20"/>
          <w:lang w:val="en-US" w:eastAsia="en-US" w:bidi="ar-SA"/>
        </w:rPr>
        <w:t xml:space="preserve">  The plaintiffs bring this action against the Ministry, claiming it is vicariously liable for the actions of its agents, servants or employees, in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or "maladministration," by keeping D.C. in the custody of the director until August 26, 1998, when Judge Maltby ordered him returned to his parents. While they initially made claims against Dr. Hlady, Ms. Zapp and Mr. Walters, the statement of claim was later amended to remove these personal defendants.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63</w:t>
      </w:r>
      <w:r>
        <w:rPr>
          <w:rFonts w:ascii="arial" w:eastAsia="arial" w:hAnsi="arial" w:cs="arial"/>
          <w:color w:val="000000"/>
          <w:sz w:val="20"/>
          <w:lang w:val="en-US" w:eastAsia="en-US" w:bidi="ar-SA"/>
        </w:rPr>
        <w:t>  In particular, the plaintiffs allege that the Ministry was negligent by failing to:</w:t>
      </w:r>
      <w:r>
        <w:rPr>
          <w:rFonts w:ascii="arial" w:eastAsia="arial" w:hAnsi="arial" w:cs="arial"/>
          <w:sz w:val="20"/>
          <w:lang w:val="en-US" w:eastAsia="en-US" w:bidi="ar-SA"/>
        </w:rPr>
        <w:cr/>
      </w:r>
    </w:p>
    <w:p>
      <w:pPr>
        <w:numPr>
          <w:numId w:val="1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ensure a thorough medical investigation was carried out to ascertain whether or not D.C. had sufficient </w:t>
      </w:r>
      <w:r>
        <w:rPr>
          <w:rFonts w:ascii="arial" w:eastAsia="arial" w:hAnsi="arial" w:cs="arial"/>
          <w:i/>
          <w:color w:val="000000"/>
          <w:sz w:val="20"/>
          <w:lang w:val="en-US" w:eastAsia="en-US" w:bidi="ar-SA"/>
        </w:rPr>
        <w:t>indicia</w:t>
      </w:r>
      <w:r>
        <w:rPr>
          <w:rFonts w:ascii="arial" w:eastAsia="arial" w:hAnsi="arial" w:cs="arial"/>
          <w:color w:val="000000"/>
          <w:sz w:val="20"/>
          <w:lang w:val="en-US" w:eastAsia="en-US" w:bidi="ar-SA"/>
        </w:rPr>
        <w:t xml:space="preserve"> of child abuse to warrant that diagnosis;</w:t>
      </w:r>
    </w:p>
    <w:p>
      <w:pPr>
        <w:numPr>
          <w:numId w:val="1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act upon the advice of experts retained by the Ministry;</w:t>
      </w:r>
    </w:p>
    <w:p>
      <w:pPr>
        <w:numPr>
          <w:numId w:val="1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weigh the evidence pertaining to the issue of child abuse fairly, and without regard to potential adverse publicity;</w:t>
      </w:r>
    </w:p>
    <w:p>
      <w:pPr>
        <w:numPr>
          <w:numId w:val="1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act in good faith in their dealings with the C. family;</w:t>
      </w:r>
    </w:p>
    <w:p>
      <w:pPr>
        <w:numPr>
          <w:numId w:val="1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adequately examine and investigate D.C. to ascertain his injuries;</w:t>
      </w:r>
    </w:p>
    <w:p>
      <w:pPr>
        <w:numPr>
          <w:numId w:val="1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perform or cause to be performed a differential diagnosis, in order to ascertain whether or not child abuse was responsible for any of D.C.'s conditions; and</w:t>
      </w:r>
    </w:p>
    <w:p>
      <w:pPr>
        <w:numPr>
          <w:numId w:val="1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consider any other likely scenario which might have accounted for D.C.'s injuries.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64</w:t>
      </w:r>
      <w:r>
        <w:rPr>
          <w:rFonts w:ascii="arial" w:eastAsia="arial" w:hAnsi="arial" w:cs="arial"/>
          <w:color w:val="000000"/>
          <w:sz w:val="20"/>
          <w:lang w:val="en-US" w:eastAsia="en-US" w:bidi="ar-SA"/>
        </w:rPr>
        <w:t>  The plaintiffs claim as special damages the legal fees incurred in the proceedings before the Provincial Court, L.C.'s loss of income and L.S.'s loss of income while she remained at home to care for D.C.</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65</w:t>
      </w:r>
      <w:r>
        <w:rPr>
          <w:rFonts w:ascii="arial" w:eastAsia="arial" w:hAnsi="arial" w:cs="arial"/>
          <w:color w:val="000000"/>
          <w:sz w:val="20"/>
          <w:lang w:val="en-US" w:eastAsia="en-US" w:bidi="ar-SA"/>
        </w:rPr>
        <w:t xml:space="preserve">  There are several problems with the plaintiffs' case. First, it is brought in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without alleging that the Ministry owes the plaintiffs a private law duty of care or particularizing what that duty is. It is also brought in "maladministration," which is not a private law cause of action. Second, the plaintiffs claim only special damages for economic losses, yet the income loss claims appear to arise, at least in part, from a claim for damages arising from emotional harm. I have been referred to no case where plaintiffs have advanced only economic loss claims against the Crown in similar circumstances. Counsel for the plaintiffs advised the court that he made a deliberate decision not to seek damages for pain and suffering and emotional harm to L.C., due to the difficulty of separating the causes for this as between the Ministry's actions and the obvious trauma of D.C.'s injuries. He stressed, however, that personal injuries were suffered in this case. Third, the plaintiffs did not provide sufficient evidence of their alleged damages to meet their burden of proof. There was no documentary evidence supporting the claim for legal costs. The income loss claims were supported by pay stubs, but there was little evidence as to the basis for these claims and no evidence proving causation.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66</w:t>
      </w:r>
      <w:r>
        <w:rPr>
          <w:rFonts w:ascii="arial" w:eastAsia="arial" w:hAnsi="arial" w:cs="arial"/>
          <w:color w:val="000000"/>
          <w:sz w:val="20"/>
          <w:lang w:val="en-US" w:eastAsia="en-US" w:bidi="ar-SA"/>
        </w:rPr>
        <w:t>  The Ministry defended this action on two main grounds. First, it submitted that the Ministry owes no private law duty of care enforceable in damages to these plaintiffs. Second, if such a duty of care exists, it submitted that the Ministry met the standard of care required of a reasonable child protection authority in the circumstances, and its employees exercised their statutory discretion properly and in good faith.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ANALYSIS OF THE ISSUES</w:t>
      </w:r>
      <w:r>
        <w:rPr>
          <w:rFonts w:ascii="arial" w:eastAsia="arial" w:hAnsi="arial" w:cs="arial"/>
          <w:sz w:val="20"/>
          <w:lang w:val="en-US" w:eastAsia="en-US" w:bidi="ar-SA"/>
        </w:rPr>
        <w:cr/>
      </w:r>
    </w:p>
    <w:p>
      <w:pPr>
        <w:numPr>
          <w:numId w:val="14"/>
        </w:numPr>
        <w:tabs>
          <w:tab w:val="num" w:pos="760"/>
          <w:tab w:val="clear" w:pos="1480"/>
        </w:tabs>
        <w:spacing w:before="120" w:line="260" w:lineRule="atLeast"/>
        <w:ind w:left="760"/>
        <w:jc w:val="both"/>
        <w:rPr>
          <w:rFonts w:ascii="arial" w:eastAsia="arial" w:hAnsi="arial" w:cs="arial"/>
          <w:sz w:val="20"/>
          <w:lang w:val="en-US" w:eastAsia="en-US" w:bidi="ar-SA"/>
        </w:rPr>
      </w:pPr>
      <w:r>
        <w:rPr>
          <w:rFonts w:ascii="arial" w:eastAsia="arial" w:hAnsi="arial" w:cs="arial"/>
          <w:color w:val="000000"/>
          <w:sz w:val="20"/>
          <w:lang w:val="en-US" w:eastAsia="en-US" w:bidi="ar-SA"/>
        </w:rPr>
        <w:t>Does the Ministry owe a private law duty of care to L.C., a parent, and L.S., a grandparent, in respect of the duties carried out by the director and his or her delegates in a child protection investigation under the Child, Family and Community Service Act?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67</w:t>
      </w:r>
      <w:r>
        <w:rPr>
          <w:rFonts w:ascii="arial" w:eastAsia="arial" w:hAnsi="arial" w:cs="arial"/>
          <w:color w:val="000000"/>
          <w:sz w:val="20"/>
          <w:lang w:val="en-US" w:eastAsia="en-US" w:bidi="ar-SA"/>
        </w:rPr>
        <w:t>  Counsel for the plaintiffs submitted that the Child, Family and Community Service Act (the Act) creates a duty to families, which is a duty that the social workers employed by the Ministry act in good faith.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68</w:t>
      </w:r>
      <w:r>
        <w:rPr>
          <w:rFonts w:ascii="arial" w:eastAsia="arial" w:hAnsi="arial" w:cs="arial"/>
          <w:color w:val="000000"/>
          <w:sz w:val="20"/>
          <w:lang w:val="en-US" w:eastAsia="en-US" w:bidi="ar-SA"/>
        </w:rPr>
        <w:t xml:space="preserve">  Counsel for the Ministry submitted that there is no recognized duty of care in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owed by the Ministry to these plaintiffs for the economic loss they claim. Applying the test set out by the House of Lords in Anns v. Merton London Borough Council, [1978] A.C. 728, as adopted by the Supreme Court of Canada in Kamloops v. Nielsen, </w:t>
      </w:r>
      <w:hyperlink r:id="rId21" w:history="1">
        <w:r>
          <w:rPr>
            <w:rFonts w:ascii="arial" w:eastAsia="arial" w:hAnsi="arial" w:cs="arial"/>
            <w:i/>
            <w:color w:val="0077CC"/>
            <w:sz w:val="20"/>
            <w:u w:val="single"/>
            <w:shd w:val="clear" w:color="auto" w:fill="FFFFFF"/>
            <w:lang w:val="en-US" w:eastAsia="en-US" w:bidi="ar-SA"/>
          </w:rPr>
          <w:t>[1984] 2 S.C.R. 2</w:t>
        </w:r>
      </w:hyperlink>
      <w:r>
        <w:rPr>
          <w:rFonts w:ascii="arial" w:eastAsia="arial" w:hAnsi="arial" w:cs="arial"/>
          <w:color w:val="000000"/>
          <w:sz w:val="20"/>
          <w:lang w:val="en-US" w:eastAsia="en-US" w:bidi="ar-SA"/>
        </w:rPr>
        <w:t xml:space="preserve"> and Cooper v. Hobart, </w:t>
      </w:r>
      <w:hyperlink r:id="rId22" w:history="1">
        <w:r>
          <w:rPr>
            <w:rFonts w:ascii="arial" w:eastAsia="arial" w:hAnsi="arial" w:cs="arial"/>
            <w:i/>
            <w:color w:val="0077CC"/>
            <w:sz w:val="20"/>
            <w:u w:val="single"/>
            <w:shd w:val="clear" w:color="auto" w:fill="FFFFFF"/>
            <w:lang w:val="en-US" w:eastAsia="en-US" w:bidi="ar-SA"/>
          </w:rPr>
          <w:t>[2001] 3 S.C.R. 537</w:t>
        </w:r>
      </w:hyperlink>
      <w:r>
        <w:rPr>
          <w:rFonts w:ascii="arial" w:eastAsia="arial" w:hAnsi="arial" w:cs="arial"/>
          <w:color w:val="000000"/>
          <w:sz w:val="20"/>
          <w:lang w:val="en-US" w:eastAsia="en-US" w:bidi="ar-SA"/>
        </w:rPr>
        <w:t>, it says that the claim does not fall into the recognized category of statutory public authority liability for pure economic loss, that a general duty of care to persons other than children in need of protection has not been recognized, and that there are strong policy reasons why such a duty of care should not be recognized in these circumstances.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69</w:t>
      </w:r>
      <w:r>
        <w:rPr>
          <w:rFonts w:ascii="arial" w:eastAsia="arial" w:hAnsi="arial" w:cs="arial"/>
          <w:color w:val="000000"/>
          <w:sz w:val="20"/>
          <w:lang w:val="en-US" w:eastAsia="en-US" w:bidi="ar-SA"/>
        </w:rPr>
        <w:t xml:space="preserve">  While these claims for economic loss arise in quite a different context than the more usual business or commercial context, it is nevertheless important to consider whether this type of loss is recoverable. Recovery in tort for pure economic loss is limited because of the risks of indeterminate liability. However, Canadian courts have allowed recovery for pure economic loss where a sufficient relationship of proximity exists between the plaintiff and the defendant and between the negligent act and the loss. "Proximity is the controlling concept which avoids the spectre of unlimited liability": Canadian National Railway Co. v. Norsk Pacific Steamship Co., </w:t>
      </w:r>
      <w:hyperlink r:id="rId42" w:history="1">
        <w:r>
          <w:rPr>
            <w:rFonts w:ascii="arial" w:eastAsia="arial" w:hAnsi="arial" w:cs="arial"/>
            <w:i/>
            <w:color w:val="0077CC"/>
            <w:sz w:val="20"/>
            <w:u w:val="single"/>
            <w:shd w:val="clear" w:color="auto" w:fill="FFFFFF"/>
            <w:lang w:val="en-US" w:eastAsia="en-US" w:bidi="ar-SA"/>
          </w:rPr>
          <w:t>[1992] 1 S.C.R. 1021</w:t>
        </w:r>
      </w:hyperlink>
      <w:r>
        <w:rPr>
          <w:rFonts w:ascii="arial" w:eastAsia="arial" w:hAnsi="arial" w:cs="arial"/>
          <w:color w:val="000000"/>
          <w:sz w:val="20"/>
          <w:lang w:val="en-US" w:eastAsia="en-US" w:bidi="ar-SA"/>
        </w:rPr>
        <w:t xml:space="preserve"> at 1152. McLachlin J. (as she then was) stated in Norsk at pp. 1152-53:</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Proximity may be established by a variety of factors, depending on the nature of the case. ... In determining whether liability should be extended to a new situation, courts will have regard to the factors traditionally relevant to proximity such as the relationship between the parties, physical propinquity, assumed or imposed obligations and close causal connection. And they will insist on sufficient special factors to avoid the imposition of indeterminate and unreasonable liability.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70</w:t>
      </w:r>
      <w:r>
        <w:rPr>
          <w:rFonts w:ascii="arial" w:eastAsia="arial" w:hAnsi="arial" w:cs="arial"/>
          <w:color w:val="000000"/>
          <w:sz w:val="20"/>
          <w:lang w:val="en-US" w:eastAsia="en-US" w:bidi="ar-SA"/>
        </w:rPr>
        <w:t>  This approach to proximity was applied in Cooper. In my analysis of the duty of care, I have applied these principles, which originated in Home Office v. Dorset Yacht Co. Ltd., [1970] 2 All E.R. 294 and Anns, having regard to the differences in factual background and the nature of the discretionary power exercised in this case.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Home Office v. Dorset Yacht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71</w:t>
      </w:r>
      <w:r>
        <w:rPr>
          <w:rFonts w:ascii="arial" w:eastAsia="arial" w:hAnsi="arial" w:cs="arial"/>
          <w:color w:val="000000"/>
          <w:sz w:val="20"/>
          <w:lang w:val="en-US" w:eastAsia="en-US" w:bidi="ar-SA"/>
        </w:rPr>
        <w:t>  In Home Office, the House of Lords set out the parameters under which the Crown could be liable for the actions of its employees in the exercise of discretionary statutory authority. It held that there could only be liability if the person entrusted with discretion either unreasonably failed to carry out his or her duty to consider the matter or reached a conclusion so unreasonable as to show a failure to do his or her duty. In other words, there could be no liability if the discretion was exercised with "due care."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72</w:t>
      </w:r>
      <w:r>
        <w:rPr>
          <w:rFonts w:ascii="arial" w:eastAsia="arial" w:hAnsi="arial" w:cs="arial"/>
          <w:color w:val="000000"/>
          <w:sz w:val="20"/>
          <w:lang w:val="en-US" w:eastAsia="en-US" w:bidi="ar-SA"/>
        </w:rPr>
        <w:t>  The claim was brought by owners of yachts which had been damaged by borstal trainees. The trainees had been working on an island under the control of three officers. While the officers were asleep, several of the trainees stole a yacht and ran it into another yacht. On a preliminary point of law, the question was whether the Home Office could be held liable for the damage to the yachts. It was conceded that it would be vicariously liable if an action could be taken against the officers.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73</w:t>
      </w:r>
      <w:r>
        <w:rPr>
          <w:rFonts w:ascii="arial" w:eastAsia="arial" w:hAnsi="arial" w:cs="arial"/>
          <w:color w:val="000000"/>
          <w:sz w:val="20"/>
          <w:lang w:val="en-US" w:eastAsia="en-US" w:bidi="ar-SA"/>
        </w:rPr>
        <w:t>  The House of Lords held that the Home Office could be liable on the facts pleaded. The majority held that the officers owed a common law duty of care to the owners. Lord Reid accepted the proposition that if a person performs a statutory duty carelessly so that he causes damage to a member of the public, which would not have happened if he had performed his duty properly, he may be liable: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reason for that is, I think, that Parliament deems it to be in the public interest that things otherwise unjustifiable should be done, and that those who do such things with due care should be immune from liability to persons who may suffer thereby. But Parliament cannot reasonably have supposed to have licensed those who do such things to act negligently in disregard of the interests of others so as to cause them needless damage.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74</w:t>
      </w:r>
      <w:r>
        <w:rPr>
          <w:rFonts w:ascii="arial" w:eastAsia="arial" w:hAnsi="arial" w:cs="arial"/>
          <w:color w:val="000000"/>
          <w:sz w:val="20"/>
          <w:lang w:val="en-US" w:eastAsia="en-US" w:bidi="ar-SA"/>
        </w:rPr>
        <w:t>  He then distinguished cases where a person performs a discretionary statutory duty:</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Where Parliament confers a discretion the position is not the same. Then there may and almost certainly will be errors of judgment in exercising such a discretion and Parliament cannot have intended that members of the public should be entitled to sue in respect of such errors. But there must come a stage when the discretion is exercised so carelessly or unreasonably that there has been no real exercise of the discretion which Parliament has conferred. The person purporting to exercise his discretion has acted in an abuse or excess of his power. Parliament cannot be supposed to have granted immunity to persons who do that.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75</w:t>
      </w:r>
      <w:r>
        <w:rPr>
          <w:rFonts w:ascii="arial" w:eastAsia="arial" w:hAnsi="arial" w:cs="arial"/>
          <w:color w:val="000000"/>
          <w:sz w:val="20"/>
          <w:lang w:val="en-US" w:eastAsia="en-US" w:bidi="ar-SA"/>
        </w:rPr>
        <w:t>  While the borstal officers did not have a statutory discretion in that sense, Lord Reid recognized that they were required to weigh the public interest of protecting neighbours and their property from escapees with the public interest in promoting rehabilitation.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Anns v. Merton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76</w:t>
      </w:r>
      <w:r>
        <w:rPr>
          <w:rFonts w:ascii="arial" w:eastAsia="arial" w:hAnsi="arial" w:cs="arial"/>
          <w:color w:val="000000"/>
          <w:sz w:val="20"/>
          <w:lang w:val="en-US" w:eastAsia="en-US" w:bidi="ar-SA"/>
        </w:rPr>
        <w:t xml:space="preserve">  In Anns, the House of Lords further defined the circumstances in which the law would impose private law duties on public authorities discharging statutory, public law powers and duties. Lord Wilberforce set out a two-stage test. First, is there a relationship of proximity between the alleged wrongdoer and the person who has suffered damage sufficient to create a </w:t>
      </w:r>
      <w:r>
        <w:rPr>
          <w:rFonts w:ascii="arial" w:eastAsia="arial" w:hAnsi="arial" w:cs="arial"/>
          <w:i/>
          <w:color w:val="000000"/>
          <w:sz w:val="20"/>
          <w:lang w:val="en-US" w:eastAsia="en-US" w:bidi="ar-SA"/>
        </w:rPr>
        <w:t>prime facie</w:t>
      </w:r>
      <w:r>
        <w:rPr>
          <w:rFonts w:ascii="arial" w:eastAsia="arial" w:hAnsi="arial" w:cs="arial"/>
          <w:color w:val="000000"/>
          <w:sz w:val="20"/>
          <w:lang w:val="en-US" w:eastAsia="en-US" w:bidi="ar-SA"/>
        </w:rPr>
        <w:t xml:space="preserve"> duty of care? Second, are there any considerations which ought to negative, reduce or limit the scope of the duty, limit the class of person to whom it is owed, or the damages to which a breach of it may give rise? In respect of the second stage of the test, reference was made to Home Office.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77</w:t>
      </w:r>
      <w:r>
        <w:rPr>
          <w:rFonts w:ascii="arial" w:eastAsia="arial" w:hAnsi="arial" w:cs="arial"/>
          <w:color w:val="000000"/>
          <w:sz w:val="20"/>
          <w:lang w:val="en-US" w:eastAsia="en-US" w:bidi="ar-SA"/>
        </w:rPr>
        <w:t>  Lord Wilberforce recognized that a public body's powers and duties are definable in terms of public and not private law:</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problem which this type of action creates, is to define the circumstances in which the law should impose, over and above, or perhaps alongside, these public law powers and duties, a duty in private law towards individuals such that they may sue for damages in a civil court. It is in this context that the distinction sought to be drawn between duties and mere powers has to be examined.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78</w:t>
      </w:r>
      <w:r>
        <w:rPr>
          <w:rFonts w:ascii="arial" w:eastAsia="arial" w:hAnsi="arial" w:cs="arial"/>
          <w:color w:val="000000"/>
          <w:sz w:val="20"/>
          <w:lang w:val="en-US" w:eastAsia="en-US" w:bidi="ar-SA"/>
        </w:rPr>
        <w:t>  He then described the distinction between policy and operational decisions, and the element of discretion:</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Most, indeed probably all, statutes relating to public authorities or public bodies, contain in them a large area of policy. The courts call this "discretion" meaning that the decision is one for the authority or body to make, and not for the courts. Many statutes also prescribe or at least presuppose the practical execution of policy decisions: a convenient description of this is to say that in addition to the area of policy or discretion, there is an operational area. Although this distinction between the policy area and the operational area is convenient, and illuminating, it is probably a distinction of degree; many "operational" powers or duties have in them some element of "discretion". It can safely be said that the more "operational" a power or duty may be, the easier it is to superimpose upon it a common law duty of care.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79</w:t>
      </w:r>
      <w:r>
        <w:rPr>
          <w:rFonts w:ascii="arial" w:eastAsia="arial" w:hAnsi="arial" w:cs="arial"/>
          <w:color w:val="000000"/>
          <w:sz w:val="20"/>
          <w:lang w:val="en-US" w:eastAsia="en-US" w:bidi="ar-SA"/>
        </w:rPr>
        <w:t>  Finally, where an operational decision has discretionary elements: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A plaintiff complaining of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must prove, the burden being on him, that action taken was not within the limits of a discretion </w:t>
      </w:r>
      <w:r>
        <w:rPr>
          <w:rFonts w:ascii="arial" w:eastAsia="arial" w:hAnsi="arial" w:cs="arial"/>
          <w:i/>
          <w:color w:val="000000"/>
          <w:sz w:val="20"/>
          <w:lang w:val="en-US" w:eastAsia="en-US" w:bidi="ar-SA"/>
        </w:rPr>
        <w:t>bona fide</w:t>
      </w:r>
      <w:r>
        <w:rPr>
          <w:rFonts w:ascii="arial" w:eastAsia="arial" w:hAnsi="arial" w:cs="arial"/>
          <w:color w:val="000000"/>
          <w:sz w:val="20"/>
          <w:lang w:val="en-US" w:eastAsia="en-US" w:bidi="ar-SA"/>
        </w:rPr>
        <w:t xml:space="preserve"> exercised, before he can begin to rely upon a common law duty of care.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80</w:t>
      </w:r>
      <w:r>
        <w:rPr>
          <w:rFonts w:ascii="arial" w:eastAsia="arial" w:hAnsi="arial" w:cs="arial"/>
          <w:color w:val="000000"/>
          <w:sz w:val="20"/>
          <w:lang w:val="en-US" w:eastAsia="en-US" w:bidi="ar-SA"/>
        </w:rPr>
        <w:t>  In Cooper, the Supreme Court of Canada affirmed that Anns continues to provide a useful framework in which to approach the question of whether a duty of care should be imposed in a new situation and that its importance lies in its recognition that policy considerations play an important role in determining proximity in new situations. It clarified the policy considerations to be considered at each stage of the Anns test.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81</w:t>
      </w:r>
      <w:r>
        <w:rPr>
          <w:rFonts w:ascii="arial" w:eastAsia="arial" w:hAnsi="arial" w:cs="arial"/>
          <w:color w:val="000000"/>
          <w:sz w:val="20"/>
          <w:lang w:val="en-US" w:eastAsia="en-US" w:bidi="ar-SA"/>
        </w:rPr>
        <w:t xml:space="preserve">  The Court confirmed that to find a </w:t>
      </w:r>
      <w:r>
        <w:rPr>
          <w:rFonts w:ascii="arial" w:eastAsia="arial" w:hAnsi="arial" w:cs="arial"/>
          <w:i/>
          <w:color w:val="000000"/>
          <w:sz w:val="20"/>
          <w:lang w:val="en-US" w:eastAsia="en-US" w:bidi="ar-SA"/>
        </w:rPr>
        <w:t>prima facie</w:t>
      </w:r>
      <w:r>
        <w:rPr>
          <w:rFonts w:ascii="arial" w:eastAsia="arial" w:hAnsi="arial" w:cs="arial"/>
          <w:color w:val="000000"/>
          <w:sz w:val="20"/>
          <w:lang w:val="en-US" w:eastAsia="en-US" w:bidi="ar-SA"/>
        </w:rPr>
        <w:t xml:space="preserve"> duty of care at the first stage of the analysis, there must be reasonable foreseeability of the harm plus proximity. In this regard, two questions arise: (1) Was the harm that occurred the reasonably foreseeable consequence of the defendant's act? (2) Are there reasons, notwithstanding the proximity between the parties established in the first part of this test, that tort liability should not be recognized here?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82</w:t>
      </w:r>
      <w:r>
        <w:rPr>
          <w:rFonts w:ascii="arial" w:eastAsia="arial" w:hAnsi="arial" w:cs="arial"/>
          <w:color w:val="000000"/>
          <w:sz w:val="20"/>
          <w:lang w:val="en-US" w:eastAsia="en-US" w:bidi="ar-SA"/>
        </w:rPr>
        <w:t>  The proximity analysis at this stage focuses on factors arising from the relationship between the parties, which include questions of policy. Proximity is generally used to characterize the type of relationship in which a duty of care may arise. Sufficiently proximate relationships are identified through the use of categories. Categories are not closed. Where the source of the duty involved is in a statute, the factors giving rise to proximity, if they exist, must arise from the statute.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83</w:t>
      </w:r>
      <w:r>
        <w:rPr>
          <w:rFonts w:ascii="arial" w:eastAsia="arial" w:hAnsi="arial" w:cs="arial"/>
          <w:color w:val="000000"/>
          <w:sz w:val="20"/>
          <w:lang w:val="en-US" w:eastAsia="en-US" w:bidi="ar-SA"/>
        </w:rPr>
        <w:t>  The second stage of the Anns test should be considered if a duty of care does not fall within a recognized category, and must be considered where a duty of care in a novel situation is alleged. This is where residual policy matters are considered. These are concerned with the effect of recognizing a duty of care on other legal obligations, the legal system, and society more generally. At this point, the distinction is made between policy and operational decisions. Similar considerations may arise where the decision in question is quasi-judicial or, as I explain further below, discretionary.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Duty of care under the Act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84</w:t>
      </w:r>
      <w:r>
        <w:rPr>
          <w:rFonts w:ascii="arial" w:eastAsia="arial" w:hAnsi="arial" w:cs="arial"/>
          <w:color w:val="000000"/>
          <w:sz w:val="20"/>
          <w:lang w:val="en-US" w:eastAsia="en-US" w:bidi="ar-SA"/>
        </w:rPr>
        <w:t xml:space="preserve">  There are few cases in Canada that have addressed the Crown's duty of care towards persons other than children in the context of child protection investigations. The most relevant authority is a 1989 decision of the B.C. Court of Appeal in A.G. v. British Columbia (Family and Child Services) </w:t>
      </w:r>
      <w:hyperlink r:id="rId77" w:history="1">
        <w:r>
          <w:rPr>
            <w:rFonts w:ascii="arial" w:eastAsia="arial" w:hAnsi="arial" w:cs="arial"/>
            <w:i/>
            <w:color w:val="0077CC"/>
            <w:sz w:val="20"/>
            <w:u w:val="single"/>
            <w:shd w:val="clear" w:color="auto" w:fill="FFFFFF"/>
            <w:lang w:val="en-US" w:eastAsia="en-US" w:bidi="ar-SA"/>
          </w:rPr>
          <w:t>(1989), 38 B.C.L.R. (2d) 215</w:t>
        </w:r>
      </w:hyperlink>
      <w:r>
        <w:rPr>
          <w:rFonts w:ascii="arial" w:eastAsia="arial" w:hAnsi="arial" w:cs="arial"/>
          <w:color w:val="000000"/>
          <w:sz w:val="20"/>
          <w:lang w:val="en-US" w:eastAsia="en-US" w:bidi="ar-SA"/>
        </w:rPr>
        <w:t>. There, the court confirmed the trial judge's dismissal of an action by seven children and their parents against the Superintendent of Family and Child Services and three social workers. After a brief investigation, one of the social workers formed the opinion that the father had sexually abused one of the children. All seven children were apprehended. They were returned home after four days, when the father agreed to leave the house. Two months later, the father was allowed to see the children under supervision. Subsequently, after extensive investigations and after a Provincial Court judge stated her view that the allegations were unfounded, the Ministry dropped the matter.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85</w:t>
      </w:r>
      <w:r>
        <w:rPr>
          <w:rFonts w:ascii="arial" w:eastAsia="arial" w:hAnsi="arial" w:cs="arial"/>
          <w:color w:val="000000"/>
          <w:sz w:val="20"/>
          <w:lang w:val="en-US" w:eastAsia="en-US" w:bidi="ar-SA"/>
        </w:rPr>
        <w:t>  The Court accepted that the social workers made significant errors of judgment in exercising their discretionary power to apprehend the children. There was conflicting opinion evidence from experts as to whether the social workers' actions accorded with good practice. Esson J.A. noted that this is a particularly painful and difficult area, where there is much room for differences of opinion and errors of judgment.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86</w:t>
      </w:r>
      <w:r>
        <w:rPr>
          <w:rFonts w:ascii="arial" w:eastAsia="arial" w:hAnsi="arial" w:cs="arial"/>
          <w:color w:val="000000"/>
          <w:sz w:val="20"/>
          <w:lang w:val="en-US" w:eastAsia="en-US" w:bidi="ar-SA"/>
        </w:rPr>
        <w:t>  The trial judge had determined that the doctrines in Anns and Kamloops were not applicable, as those cases were a long way from the power to take into custody. Esson J.A. disagreed: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 agree that the general doctrine should not be applied without careful regard for differences in factual background, but cannot agree that the statutory power conferred by s. 9 is outside the general rules of law which apply to liability for wrongful exercise of such powers. The fact that the power is subject to immediate, or at least early, judicial control cannot, by itself, take this power outside the general principles, particularly having regard to the drastic nature of the power which is akin to arrest.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Nor do I agree that the cases which set out the general principles can be excluded from consideration on the ground that they have to do with inspecting, building and operating "things". This line of cases has its doctrinal root in Home Office v. Dorset Yacht Co. Ltd. ... which dealt, not with things, but rather with custody of persons. The terminology of "policy function" and "operational function" seems to have had its origin in the speech of Lord Wilberforce in Anns v. Merton. But that, I think, is merely a different way of expressing the distinction drawn by Lord Reid in Dorset Yacht between discretionary decisions and other decisions. That terminology seems more apt in relation to the facts of this case than that of "policy function" and "operational function".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87</w:t>
      </w:r>
      <w:r>
        <w:rPr>
          <w:rFonts w:ascii="arial" w:eastAsia="arial" w:hAnsi="arial" w:cs="arial"/>
          <w:color w:val="000000"/>
          <w:sz w:val="20"/>
          <w:lang w:val="en-US" w:eastAsia="en-US" w:bidi="ar-SA"/>
        </w:rPr>
        <w:t xml:space="preserve">  In MacAlpine v. H.(T.) </w:t>
      </w:r>
      <w:hyperlink r:id="rId78" w:history="1">
        <w:r>
          <w:rPr>
            <w:rFonts w:ascii="arial" w:eastAsia="arial" w:hAnsi="arial" w:cs="arial"/>
            <w:i/>
            <w:color w:val="0077CC"/>
            <w:sz w:val="20"/>
            <w:u w:val="single"/>
            <w:shd w:val="clear" w:color="auto" w:fill="FFFFFF"/>
            <w:lang w:val="en-US" w:eastAsia="en-US" w:bidi="ar-SA"/>
          </w:rPr>
          <w:t>(1991), 57 B.C.L.R. (2d) 1</w:t>
        </w:r>
      </w:hyperlink>
      <w:r>
        <w:rPr>
          <w:rFonts w:ascii="arial" w:eastAsia="arial" w:hAnsi="arial" w:cs="arial"/>
          <w:color w:val="000000"/>
          <w:sz w:val="20"/>
          <w:lang w:val="en-US" w:eastAsia="en-US" w:bidi="ar-SA"/>
        </w:rPr>
        <w:t xml:space="preserve">, the B.C. Court of Appeal dismissed an action in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brought by the owners of property against the Superintendent of Family and Child Service, two youths who were permanent wards of the Superintendent, and a foster parent. The youths broke into the plaintiffs' cabin several times, destroying two boats, and eventually setting fire to the cabin.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88</w:t>
      </w:r>
      <w:r>
        <w:rPr>
          <w:rFonts w:ascii="arial" w:eastAsia="arial" w:hAnsi="arial" w:cs="arial"/>
          <w:color w:val="000000"/>
          <w:sz w:val="20"/>
          <w:lang w:val="en-US" w:eastAsia="en-US" w:bidi="ar-SA"/>
        </w:rPr>
        <w:t xml:space="preserve">  Macfarlane J.A., referring to the Anns test as applied by the Supreme Court of Canada in Just v. British Columbia, </w:t>
      </w:r>
      <w:hyperlink r:id="rId79" w:history="1">
        <w:r>
          <w:rPr>
            <w:rFonts w:ascii="arial" w:eastAsia="arial" w:hAnsi="arial" w:cs="arial"/>
            <w:i/>
            <w:color w:val="0077CC"/>
            <w:sz w:val="20"/>
            <w:u w:val="single"/>
            <w:shd w:val="clear" w:color="auto" w:fill="FFFFFF"/>
            <w:lang w:val="en-US" w:eastAsia="en-US" w:bidi="ar-SA"/>
          </w:rPr>
          <w:t>[1989] 2 S.C.R. 1228</w:t>
        </w:r>
      </w:hyperlink>
      <w:r>
        <w:rPr>
          <w:rFonts w:ascii="arial" w:eastAsia="arial" w:hAnsi="arial" w:cs="arial"/>
          <w:color w:val="000000"/>
          <w:sz w:val="20"/>
          <w:lang w:val="en-US" w:eastAsia="en-US" w:bidi="ar-SA"/>
        </w:rPr>
        <w:t>, concluded that there was a relationship of sufficient proximity between the Superintendent and the property owners to warrant the imposition of a common law duty of care: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In placing a troubled child in a home in the community the superintendent must weigh not only the interests of the child, which is his primary obligation under the statute, but must also take into account the public interest concerns of protecting the placement parents, neighbours and their property. Considering that this balancing process must take place in any placement decision, the superintendent would necessarily have to foresee that people will be relying on him not to place children in a careless manner and that carelessness on his part could lead to harm, such as property damage to neighbours of special care children.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89</w:t>
      </w:r>
      <w:r>
        <w:rPr>
          <w:rFonts w:ascii="arial" w:eastAsia="arial" w:hAnsi="arial" w:cs="arial"/>
          <w:color w:val="000000"/>
          <w:sz w:val="20"/>
          <w:lang w:val="en-US" w:eastAsia="en-US" w:bidi="ar-SA"/>
        </w:rPr>
        <w:t>  However, the finding of a duty of care did not lead to liability. Macfarlane J.A. examined two factors to determine if the government agency was exempt from the imposition of a duty: first, whether the statute provided an explicit exemption, and second, whether the agency was making a policy decision.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90</w:t>
      </w:r>
      <w:r>
        <w:rPr>
          <w:rFonts w:ascii="arial" w:eastAsia="arial" w:hAnsi="arial" w:cs="arial"/>
          <w:color w:val="000000"/>
          <w:sz w:val="20"/>
          <w:lang w:val="en-US" w:eastAsia="en-US" w:bidi="ar-SA"/>
        </w:rPr>
        <w:t>  Macfarlane J.A. concluded that the protection provided in s. 23 of the Family and Child Service Act, S.B.C. 1980, c. 11 exempted the Superintendent from liability, and it was unnecessary to consider the policy/operational aspect of the decision. Section 23 provided that no person is personally liable for anything done or omitted in good faith in the exercise or purported exercise of the powers conferred by the Act. The current s. 101 provides a similar protection.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91</w:t>
      </w:r>
      <w:r>
        <w:rPr>
          <w:rFonts w:ascii="arial" w:eastAsia="arial" w:hAnsi="arial" w:cs="arial"/>
          <w:color w:val="000000"/>
          <w:sz w:val="20"/>
          <w:lang w:val="en-US" w:eastAsia="en-US" w:bidi="ar-SA"/>
        </w:rPr>
        <w:t xml:space="preserve">  In this case, however, the plaintiffs have not brought their action against the director or any person exercising delegated authority, but only seek damages against the Crown, through the Ministry, for vicarious liability. The Ministry conceded that it cannot claim the benefit of the statutory protection in s. 101: Dorman Timber Ltd. v. British Columbia </w:t>
      </w:r>
      <w:hyperlink r:id="rId80" w:history="1">
        <w:r>
          <w:rPr>
            <w:rFonts w:ascii="arial" w:eastAsia="arial" w:hAnsi="arial" w:cs="arial"/>
            <w:i/>
            <w:color w:val="0077CC"/>
            <w:sz w:val="20"/>
            <w:u w:val="single"/>
            <w:shd w:val="clear" w:color="auto" w:fill="FFFFFF"/>
            <w:lang w:val="en-US" w:eastAsia="en-US" w:bidi="ar-SA"/>
          </w:rPr>
          <w:t>(1997), 40 B.C.L.R. (3d) 230</w:t>
        </w:r>
      </w:hyperlink>
      <w:r>
        <w:rPr>
          <w:rFonts w:ascii="arial" w:eastAsia="arial" w:hAnsi="arial" w:cs="arial"/>
          <w:color w:val="000000"/>
          <w:sz w:val="20"/>
          <w:lang w:val="en-US" w:eastAsia="en-US" w:bidi="ar-SA"/>
        </w:rPr>
        <w:t xml:space="preserve"> (C.A.). Therefore, no statutory exemption applies in this case. To determine if the Ministry is exempt from liability for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it is necessary to consider the nature of the decision at issue. As Esson J.A. stated in A.G. supra, the distinction between discretionary decisions and other decisions is more apt in relation to this case than that between policy decisions and operational decisions.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92</w:t>
      </w:r>
      <w:r>
        <w:rPr>
          <w:rFonts w:ascii="arial" w:eastAsia="arial" w:hAnsi="arial" w:cs="arial"/>
          <w:color w:val="000000"/>
          <w:sz w:val="20"/>
          <w:lang w:val="en-US" w:eastAsia="en-US" w:bidi="ar-SA"/>
        </w:rPr>
        <w:t>  I note that in MacAlpine, Wallace J.A., in dissent, preferred the approach of Mr. Justice Esson in A.G., applying Home Office to determine liability. He noted that Just did not set down as a rule or principle that in every case of alleged liability of a government agency only one analytical approach is permissible. He concluded that a decision made in the exercise of a statutory discretion was prima facie immune from review unless it failed to meet the standard set in Home Office. As set out below, I have taken the approach described by the Supreme Court of Canada in Cooper, as adapted to the particular circumstances of this case, as discussed in A.G. In the end, the result is the same.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Application of the Anns test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93</w:t>
      </w:r>
      <w:r>
        <w:rPr>
          <w:rFonts w:ascii="arial" w:eastAsia="arial" w:hAnsi="arial" w:cs="arial"/>
          <w:color w:val="000000"/>
          <w:sz w:val="20"/>
          <w:lang w:val="en-US" w:eastAsia="en-US" w:bidi="ar-SA"/>
        </w:rPr>
        <w:t xml:space="preserve">  In order to determine if the Ministry owes the plaintiffs a duty of care, L.C. and L.S. must each establish: (a) that the harm complained of is a reasonably foreseeable consequence of the alleged breach, (b) that there is sufficient proximity between the parties that it would not be unjust or unfair to impose a duty of care on the Ministry, and (c) that there exist no policy reasons to negative or otherwise restrict that duty: Odhavji Estate v. Woodhouse, </w:t>
      </w:r>
      <w:hyperlink r:id="rId48" w:history="1">
        <w:r>
          <w:rPr>
            <w:rFonts w:ascii="arial" w:eastAsia="arial" w:hAnsi="arial" w:cs="arial"/>
            <w:i/>
            <w:color w:val="0077CC"/>
            <w:sz w:val="20"/>
            <w:u w:val="single"/>
            <w:shd w:val="clear" w:color="auto" w:fill="FFFFFF"/>
            <w:lang w:val="en-US" w:eastAsia="en-US" w:bidi="ar-SA"/>
          </w:rPr>
          <w:t>[2003] 3 S.C.R. 263</w:t>
        </w:r>
      </w:hyperlink>
      <w:r>
        <w:rPr>
          <w:rFonts w:ascii="arial" w:eastAsia="arial" w:hAnsi="arial" w:cs="arial"/>
          <w:color w:val="000000"/>
          <w:sz w:val="20"/>
          <w:lang w:val="en-US" w:eastAsia="en-US" w:bidi="ar-SA"/>
        </w:rPr>
        <w:t xml:space="preserve"> at 295.</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Foreseeability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94</w:t>
      </w:r>
      <w:r>
        <w:rPr>
          <w:rFonts w:ascii="arial" w:eastAsia="arial" w:hAnsi="arial" w:cs="arial"/>
          <w:color w:val="000000"/>
          <w:sz w:val="20"/>
          <w:lang w:val="en-US" w:eastAsia="en-US" w:bidi="ar-SA"/>
        </w:rPr>
        <w:t>  The alleged breach of duty is the Ministry's failure to properly investigate the circumstances of D.C.'s injuries. The harm complained of by L.C. is the cost of defending herself in the child protection hearing and her loss of income due to her inability, as a result of her emotional state, to return to work. The harm complained of by L.S. is her loss of income due to her inability to work while she was caring for D.C. and her delayed return as a result of her emotional state.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95</w:t>
      </w:r>
      <w:r>
        <w:rPr>
          <w:rFonts w:ascii="arial" w:eastAsia="arial" w:hAnsi="arial" w:cs="arial"/>
          <w:color w:val="000000"/>
          <w:sz w:val="20"/>
          <w:lang w:val="en-US" w:eastAsia="en-US" w:bidi="ar-SA"/>
        </w:rPr>
        <w:t>  In my view, it was reasonably foreseeable that L.C. would suffer these kinds of losses if the Ministry social workers failed to properly investigate the matter, and thus delayed the return of D.C. to his parents. In the particular circumstances of this case, where the Ministry was working closely with L.S. as a family member and foster parent, her loss of income was also reasonably foreseeable. Where the analysis takes a different turn for each plaintiff is on the issue of proximity.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Proximity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96</w:t>
      </w:r>
      <w:r>
        <w:rPr>
          <w:rFonts w:ascii="arial" w:eastAsia="arial" w:hAnsi="arial" w:cs="arial"/>
          <w:color w:val="000000"/>
          <w:sz w:val="20"/>
          <w:lang w:val="en-US" w:eastAsia="en-US" w:bidi="ar-SA"/>
        </w:rPr>
        <w:t>  As noted above, the source of the duties on which the Ministry's delegates acted in this case is the Act, so the factors giving rise to proximity, if they exist, must arise from the Act.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97</w:t>
      </w:r>
      <w:r>
        <w:rPr>
          <w:rFonts w:ascii="arial" w:eastAsia="arial" w:hAnsi="arial" w:cs="arial"/>
          <w:color w:val="000000"/>
          <w:sz w:val="20"/>
          <w:lang w:val="en-US" w:eastAsia="en-US" w:bidi="ar-SA"/>
        </w:rPr>
        <w:t xml:space="preserve">  The Ministry concedes that the Act imposes a duty of care on the director and his or her delegates to children. There have, in fact, been cases brought by children against the Ministry and its employees where children have been placed and subsequently harmed: see, for example, C.H. v. British Columbia </w:t>
      </w:r>
      <w:hyperlink r:id="rId81" w:history="1">
        <w:r>
          <w:rPr>
            <w:rFonts w:ascii="arial" w:eastAsia="arial" w:hAnsi="arial" w:cs="arial"/>
            <w:i/>
            <w:color w:val="0077CC"/>
            <w:sz w:val="20"/>
            <w:u w:val="single"/>
            <w:shd w:val="clear" w:color="auto" w:fill="FFFFFF"/>
            <w:lang w:val="en-US" w:eastAsia="en-US" w:bidi="ar-SA"/>
          </w:rPr>
          <w:t>(2004), 31 B.C.L.R. (4th) 26</w:t>
        </w:r>
      </w:hyperlink>
      <w:r>
        <w:rPr>
          <w:rFonts w:ascii="arial" w:eastAsia="arial" w:hAnsi="arial" w:cs="arial"/>
          <w:color w:val="000000"/>
          <w:sz w:val="20"/>
          <w:lang w:val="en-US" w:eastAsia="en-US" w:bidi="ar-SA"/>
        </w:rPr>
        <w:t xml:space="preserve"> (C.A.). Counsel submitted, however, that the Act does not also impose a duty of care to parents or families generally.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98</w:t>
      </w:r>
      <w:r>
        <w:rPr>
          <w:rFonts w:ascii="arial" w:eastAsia="arial" w:hAnsi="arial" w:cs="arial"/>
          <w:color w:val="000000"/>
          <w:sz w:val="20"/>
          <w:lang w:val="en-US" w:eastAsia="en-US" w:bidi="ar-SA"/>
        </w:rPr>
        <w:t xml:space="preserve">  There have been actions brought against the Ministry and those exercising delegated authority under the Act or its predecessor Acts by persons other than children. In some of those cases, the actions were brought by both parents and their children: see A.G., supra, D.(B.) v. British Columbia </w:t>
      </w:r>
      <w:hyperlink r:id="rId82" w:history="1">
        <w:r>
          <w:rPr>
            <w:rFonts w:ascii="arial" w:eastAsia="arial" w:hAnsi="arial" w:cs="arial"/>
            <w:i/>
            <w:color w:val="0077CC"/>
            <w:sz w:val="20"/>
            <w:u w:val="single"/>
            <w:shd w:val="clear" w:color="auto" w:fill="FFFFFF"/>
            <w:lang w:val="en-US" w:eastAsia="en-US" w:bidi="ar-SA"/>
          </w:rPr>
          <w:t>(1997), 30 B.C.L.R. (3d) 201</w:t>
        </w:r>
      </w:hyperlink>
      <w:r>
        <w:rPr>
          <w:rFonts w:ascii="arial" w:eastAsia="arial" w:hAnsi="arial" w:cs="arial"/>
          <w:color w:val="000000"/>
          <w:sz w:val="20"/>
          <w:lang w:val="en-US" w:eastAsia="en-US" w:bidi="ar-SA"/>
        </w:rPr>
        <w:t xml:space="preserve"> (C.A.), Delaronde v. HMTQ, </w:t>
      </w:r>
      <w:hyperlink r:id="rId83" w:history="1">
        <w:r>
          <w:rPr>
            <w:rFonts w:ascii="arial" w:eastAsia="arial" w:hAnsi="arial" w:cs="arial"/>
            <w:i/>
            <w:color w:val="0077CC"/>
            <w:sz w:val="20"/>
            <w:u w:val="single"/>
            <w:shd w:val="clear" w:color="auto" w:fill="FFFFFF"/>
            <w:lang w:val="en-US" w:eastAsia="en-US" w:bidi="ar-SA"/>
          </w:rPr>
          <w:t>[2000] B.C.J. No. 915</w:t>
        </w:r>
      </w:hyperlink>
      <w:r>
        <w:rPr>
          <w:rFonts w:ascii="arial" w:eastAsia="arial" w:hAnsi="arial" w:cs="arial"/>
          <w:color w:val="000000"/>
          <w:sz w:val="20"/>
          <w:lang w:val="en-US" w:eastAsia="en-US" w:bidi="ar-SA"/>
        </w:rPr>
        <w:t xml:space="preserve">, </w:t>
      </w:r>
      <w:hyperlink r:id="rId83" w:history="1">
        <w:r>
          <w:rPr>
            <w:rFonts w:ascii="arial" w:eastAsia="arial" w:hAnsi="arial" w:cs="arial"/>
            <w:i/>
            <w:color w:val="0077CC"/>
            <w:sz w:val="20"/>
            <w:u w:val="single"/>
            <w:shd w:val="clear" w:color="auto" w:fill="FFFFFF"/>
            <w:lang w:val="en-US" w:eastAsia="en-US" w:bidi="ar-SA"/>
          </w:rPr>
          <w:t>2000 BCSC 700</w:t>
        </w:r>
      </w:hyperlink>
      <w:r>
        <w:rPr>
          <w:rFonts w:ascii="arial" w:eastAsia="arial" w:hAnsi="arial" w:cs="arial"/>
          <w:color w:val="000000"/>
          <w:sz w:val="20"/>
          <w:lang w:val="en-US" w:eastAsia="en-US" w:bidi="ar-SA"/>
        </w:rPr>
        <w:t xml:space="preserve">. The issue of proximity was not explicitly addressed in these cases, but there is an implication, particularly in A.G. that parents are in a relationship of sufficient proximity to the Ministry to create a </w:t>
      </w:r>
      <w:r>
        <w:rPr>
          <w:rFonts w:ascii="arial" w:eastAsia="arial" w:hAnsi="arial" w:cs="arial"/>
          <w:i/>
          <w:color w:val="000000"/>
          <w:sz w:val="20"/>
          <w:lang w:val="en-US" w:eastAsia="en-US" w:bidi="ar-SA"/>
        </w:rPr>
        <w:t>prima facie</w:t>
      </w:r>
      <w:r>
        <w:rPr>
          <w:rFonts w:ascii="arial" w:eastAsia="arial" w:hAnsi="arial" w:cs="arial"/>
          <w:color w:val="000000"/>
          <w:sz w:val="20"/>
          <w:lang w:val="en-US" w:eastAsia="en-US" w:bidi="ar-SA"/>
        </w:rPr>
        <w:t xml:space="preserve"> duty of care. As noted above, in MacAlpine, the action was brought by property owners for damage to their cabin by wards of the Superintendent of Family and Child Service, and sufficient proximity was found to exist between the Superintendent and the owners. I note, however, that in none of these cases did the plaintiffs claim only for economic loss.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99</w:t>
      </w:r>
      <w:r>
        <w:rPr>
          <w:rFonts w:ascii="arial" w:eastAsia="arial" w:hAnsi="arial" w:cs="arial"/>
          <w:color w:val="000000"/>
          <w:sz w:val="20"/>
          <w:lang w:val="en-US" w:eastAsia="en-US" w:bidi="ar-SA"/>
        </w:rPr>
        <w:t>  Clearly, the Act focuses on children. It deals primarily with child protection and service delivery to families and children. There is an express direction in s. 2 that the Act "must be interpreted and administered so that the safety and well-being of children are the paramount considerations." The guiding principles are:</w:t>
      </w:r>
      <w:r>
        <w:rPr>
          <w:rFonts w:ascii="arial" w:eastAsia="arial" w:hAnsi="arial" w:cs="arial"/>
          <w:sz w:val="20"/>
          <w:lang w:val="en-US" w:eastAsia="en-US" w:bidi="ar-SA"/>
        </w:rPr>
        <w:cr/>
      </w:r>
    </w:p>
    <w:p>
      <w:pPr>
        <w:numPr>
          <w:numId w:val="1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children are entitled to be protected from abuse, neglect and harm or threat of harm;</w:t>
      </w:r>
    </w:p>
    <w:p>
      <w:pPr>
        <w:numPr>
          <w:numId w:val="1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 family is the preferred environment for the care and upbringing of children and the responsibility for the protection of children rests primarily with the parents;</w:t>
      </w:r>
    </w:p>
    <w:p>
      <w:pPr>
        <w:numPr>
          <w:numId w:val="1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if, with available support services, a family can provide a safe and nurturing environment for a child, support services should be provided;</w:t>
      </w:r>
    </w:p>
    <w:p>
      <w:pPr>
        <w:numPr>
          <w:numId w:val="1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child's views should be taken into account when decisions relating to a child are made;</w:t>
      </w:r>
    </w:p>
    <w:p>
      <w:pPr>
        <w:numPr>
          <w:numId w:val="1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kinship ties and a child's attachment to the extended family should be preserved if possible;</w:t>
      </w:r>
    </w:p>
    <w:p>
      <w:pPr>
        <w:numPr>
          <w:numId w:val="1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cultural identity of aboriginal children should be preserved;</w:t>
      </w:r>
    </w:p>
    <w:p>
      <w:pPr>
        <w:numPr>
          <w:numId w:val="1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decisions relating to children should be made and implemented in a timely manner.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100</w:t>
      </w:r>
      <w:r>
        <w:rPr>
          <w:rFonts w:ascii="arial" w:eastAsia="arial" w:hAnsi="arial" w:cs="arial"/>
          <w:color w:val="000000"/>
          <w:sz w:val="20"/>
          <w:lang w:val="en-US" w:eastAsia="en-US" w:bidi="ar-SA"/>
        </w:rPr>
        <w:t>  The Act sets out a process for apprehending a child. The director sets the process in motion by removing a child where he or she has reasonable grounds to believe that the child needs protection, and the child's health or safety is in immediate danger or there is no less disruptive measure available that is adequate to protect the child. Section 13(1) sets out the circumstances where a child needs protection. Notably, most of those circumstances involve some form of abuse, harm or neglect by a parent.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101</w:t>
      </w:r>
      <w:r>
        <w:rPr>
          <w:rFonts w:ascii="arial" w:eastAsia="arial" w:hAnsi="arial" w:cs="arial"/>
          <w:color w:val="000000"/>
          <w:sz w:val="20"/>
          <w:lang w:val="en-US" w:eastAsia="en-US" w:bidi="ar-SA"/>
        </w:rPr>
        <w:t>  Thereafter, the issues are brought to court and it is for the court to determine if the child is in need of protection and what kind of order should be made. Throughout the process, the parents have the right to be notified and the right to attend the hearings before the court. The director has the power under s. 48 to return a child to the parents before a protection hearing if satisfied that the child is no longer in need of protection.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102</w:t>
      </w:r>
      <w:r>
        <w:rPr>
          <w:rFonts w:ascii="arial" w:eastAsia="arial" w:hAnsi="arial" w:cs="arial"/>
          <w:color w:val="000000"/>
          <w:sz w:val="20"/>
          <w:lang w:val="en-US" w:eastAsia="en-US" w:bidi="ar-SA"/>
        </w:rPr>
        <w:t>  This statutory scheme provides a framework to ensure that the director has discretionary authority to remove children in need of protection, with checks and balances requiring judicial authorization for interim and continuing custody orders. The guiding principles set out in s. 2 of the Act reflect the focus on the best interests of children. One of these principles, that families are considered to be the preferred environment for the care and upbringing of children, is reflected in the support services to families. One of the guiding principles for these services is set out in s. 3:</w:t>
      </w:r>
      <w:r>
        <w:rPr>
          <w:rFonts w:ascii="arial" w:eastAsia="arial" w:hAnsi="arial" w:cs="arial"/>
          <w:sz w:val="20"/>
          <w:lang w:val="en-US" w:eastAsia="en-US" w:bidi="ar-SA"/>
        </w:rPr>
        <w:cr/>
      </w:r>
    </w:p>
    <w:p>
      <w:pPr>
        <w:numPr>
          <w:numId w:val="16"/>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families and children should be informed of the services available to them and encouraged to participate in decisions that affect them ....</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103</w:t>
      </w:r>
      <w:r>
        <w:rPr>
          <w:rFonts w:ascii="arial" w:eastAsia="arial" w:hAnsi="arial" w:cs="arial"/>
          <w:color w:val="000000"/>
          <w:sz w:val="20"/>
          <w:lang w:val="en-US" w:eastAsia="en-US" w:bidi="ar-SA"/>
        </w:rPr>
        <w:t xml:space="preserve">  Counsel for the Ministry submitted that the Act is a child welfare statute, aimed at protecting the rights of children, not parents, relying on Winnipeg Child and Family Services v. K.L.W., </w:t>
      </w:r>
      <w:hyperlink r:id="rId84" w:history="1">
        <w:r>
          <w:rPr>
            <w:rFonts w:ascii="arial" w:eastAsia="arial" w:hAnsi="arial" w:cs="arial"/>
            <w:i/>
            <w:color w:val="0077CC"/>
            <w:sz w:val="20"/>
            <w:u w:val="single"/>
            <w:shd w:val="clear" w:color="auto" w:fill="FFFFFF"/>
            <w:lang w:val="en-US" w:eastAsia="en-US" w:bidi="ar-SA"/>
          </w:rPr>
          <w:t>[2000] 2 S.C.R. 519</w:t>
        </w:r>
      </w:hyperlink>
      <w:r>
        <w:rPr>
          <w:rFonts w:ascii="arial" w:eastAsia="arial" w:hAnsi="arial" w:cs="arial"/>
          <w:color w:val="000000"/>
          <w:sz w:val="20"/>
          <w:lang w:val="en-US" w:eastAsia="en-US" w:bidi="ar-SA"/>
        </w:rPr>
        <w:t>. At issue there was the constitutional validity of the Manitoba Child and Family Services Act, S.M. 1985-86, c. 8. The majority of the court concluded that the power to apprehend children in non-emergency situations without judicial authorization did not violate s. 7 of the Charter of Rights and Freedoms. In this context, L'Heureux-Dubé J. for the majority, stated at para. 80:</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Ultimately, however, as the Alberta Court of Appeal recently observed in T. v. Alberta (Director of Child Welfare) </w:t>
      </w:r>
      <w:hyperlink r:id="rId85" w:history="1">
        <w:r>
          <w:rPr>
            <w:rFonts w:ascii="arial" w:eastAsia="arial" w:hAnsi="arial" w:cs="arial"/>
            <w:i/>
            <w:color w:val="0077CC"/>
            <w:sz w:val="20"/>
            <w:u w:val="single"/>
            <w:shd w:val="clear" w:color="auto" w:fill="FFFFFF"/>
            <w:lang w:val="en-US" w:eastAsia="en-US" w:bidi="ar-SA"/>
          </w:rPr>
          <w:t>(2000), 188 D.L.R. (4th) 603</w:t>
        </w:r>
      </w:hyperlink>
      <w:r>
        <w:rPr>
          <w:rFonts w:ascii="arial" w:eastAsia="arial" w:hAnsi="arial" w:cs="arial"/>
          <w:color w:val="000000"/>
          <w:sz w:val="20"/>
          <w:lang w:val="en-US" w:eastAsia="en-US" w:bidi="ar-SA"/>
        </w:rPr>
        <w:t xml:space="preserve"> at para. 14, child protection legislation "is about protecting children from harm; it is a child welfare statute and not a parents' rights statute". While parents' and children's rights and responsibilities must be balanced together with children's right to life and health and the state's responsibility to protect children, the underlying philosophy and policy of the legislation must be kept in mind when interpreting it and determining its constitutional validity.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104</w:t>
      </w:r>
      <w:r>
        <w:rPr>
          <w:rFonts w:ascii="arial" w:eastAsia="arial" w:hAnsi="arial" w:cs="arial"/>
          <w:color w:val="000000"/>
          <w:sz w:val="20"/>
          <w:lang w:val="en-US" w:eastAsia="en-US" w:bidi="ar-SA"/>
        </w:rPr>
        <w:t>  I agree that the underlying policy of the Act is to protect children from harm. However, as other cases have shown, persons other than children may be in sufficient proximity to the Ministry. L.C., a parent, was being supervised by the Ministry and was working with the social workers with the objective of having her children returned home. L.S., a grandparent, was also being supervised by the Ministry as a restricted foster home for D.C.. There is clearly a relationship between the Ministry and these two parties. There must also be sufficient proximity between the alleged negligent act or breach of duty and the loss.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105</w:t>
      </w:r>
      <w:r>
        <w:rPr>
          <w:rFonts w:ascii="arial" w:eastAsia="arial" w:hAnsi="arial" w:cs="arial"/>
          <w:color w:val="000000"/>
          <w:sz w:val="20"/>
          <w:lang w:val="en-US" w:eastAsia="en-US" w:bidi="ar-SA"/>
        </w:rPr>
        <w:t>  The Ministry argued that a duty resulting in the kinds of economic losses claimed in this case may result in liability in an indeterminate amount for an indeterminate time to an indeterminate class. As McLachlin J. (as she then was) directed in Norsk at p. 1152 "[p]roximity is the controlling concept which avoids the spectre of unlimited liability." In this analysis, courts must have regard to a variety of factors, depending on the nature of the case. Here, the alleged negligent act, the Ministry's failure to properly investigate D.C.'s injuries, directly affected L.C. She lost custody of D.C. and took whatever steps she could to get him back. With the assistance of L.S., she retained a lawyer. She did not return to work as planned after her maternity leave. These steps resulted in losses that included legal expenses and loss of income.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106</w:t>
      </w:r>
      <w:r>
        <w:rPr>
          <w:rFonts w:ascii="arial" w:eastAsia="arial" w:hAnsi="arial" w:cs="arial"/>
          <w:color w:val="000000"/>
          <w:sz w:val="20"/>
          <w:lang w:val="en-US" w:eastAsia="en-US" w:bidi="ar-SA"/>
        </w:rPr>
        <w:t>  The same cannot be said for L.S. While she was certainly affected, the loss she claims is too remote from the alleged negligent act to satisfy the proximity analysis. Her loss can be described as a kind of relational loss, as discussed by Stevenson J. in Norsk, supra at pp. 1175 - 1176. It does not arise directly from the Ministry's alleged breach of duty, but rather arises as a result of L.S.'s relationship with L.C., the alleged injured party. L.C. lost custody of D.C. and L.S. stepped in to be the child's primary caregiver while the Ministry investigated and the situation was resolved one way or another. There was no certainty as to how long this process was going to take. The Ministry paid her approximately $574 per month while D.C. was in her care. She voluntarily took time from her work to do this. The same argument could be made by anyone who took on the role of a restricted foster placement, whether a member of the family or a close friend. To find a private law duty of care to persons in the position of L.C. would, in my view, result in indeterminate liability to an indeterminate class. It would be unjust or unfair for the Ministry's duty to extend to her claim for loss of income in these circumstances.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107</w:t>
      </w:r>
      <w:r>
        <w:rPr>
          <w:rFonts w:ascii="arial" w:eastAsia="arial" w:hAnsi="arial" w:cs="arial"/>
          <w:color w:val="000000"/>
          <w:sz w:val="20"/>
          <w:lang w:val="en-US" w:eastAsia="en-US" w:bidi="ar-SA"/>
        </w:rPr>
        <w:t>  If I am wrong on the proximity analysis regarding L.S., under the second stage of the Anns test, the issue of indeterminate liability is a consideration that should negative the duty of care to her. In my view, the duty should not extend to the class of person in L.S.'s position, nor should it extend to the damages she claims in this action.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108</w:t>
      </w:r>
      <w:r>
        <w:rPr>
          <w:rFonts w:ascii="arial" w:eastAsia="arial" w:hAnsi="arial" w:cs="arial"/>
          <w:color w:val="000000"/>
          <w:sz w:val="20"/>
          <w:lang w:val="en-US" w:eastAsia="en-US" w:bidi="ar-SA"/>
        </w:rPr>
        <w:t>  Finally, a key question is whether the kind of loss claimed by L.C. is within the purview of the Act: Kamloops, supra, at p. 33. The analysis in Kamloops regarding economic loss is difficult to apply to the facts of this case. While this is not the kind of loss the Act was specifically intended to guard against, it is not outside the purview of the Act, considering the role of a parent in child protection investigations and hearings. Moreover, I do not think that permitting recovery for these claims for economic loss would result in unlimited liability. All of the losses are past losses. The amounts are determinate and the class - a parent in an active relationship with the Ministry - is specific.</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109</w:t>
      </w:r>
      <w:r>
        <w:rPr>
          <w:rFonts w:ascii="arial" w:eastAsia="arial" w:hAnsi="arial" w:cs="arial"/>
          <w:color w:val="000000"/>
          <w:sz w:val="20"/>
          <w:lang w:val="en-US" w:eastAsia="en-US" w:bidi="ar-SA"/>
        </w:rPr>
        <w:t xml:space="preserve">  I note that both pecuniary and non-pecuniary damages have been awarded to children: see C.H., supra and Delaronde, supra. With respect to the legal costs incurred in the child protection hearing, the Act does not provide for costs to be paid to parties such as L.C. and Judge Maltby did not award costs. However, in circumstances where there has been a finding of liability in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a claim for such costs takes on a different character. A plaintiff should be entitled to claim legal costs as out of pocket expenses if he or she is unable to obtain costs in the protection hearing, and there is a clear causal connection between the negligent act and the expenses.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110</w:t>
      </w:r>
      <w:r>
        <w:rPr>
          <w:rFonts w:ascii="arial" w:eastAsia="arial" w:hAnsi="arial" w:cs="arial"/>
          <w:color w:val="000000"/>
          <w:sz w:val="20"/>
          <w:lang w:val="en-US" w:eastAsia="en-US" w:bidi="ar-SA"/>
        </w:rPr>
        <w:t>  In my view, the duty to L.C. should not exclude economic loss under the proximity analysis. In the particular circumstances of this case, I find there is sufficient proximity between the Ministry and L.C. to create a prima facie duty of care. Despite this, there are clear policy reasons to limit the scope of tort liability in respect of the duties carried out by Ministry delegates in child protection investigations.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Policy</w:t>
      </w:r>
      <w:r>
        <w:rPr>
          <w:rFonts w:ascii="arial" w:eastAsia="arial" w:hAnsi="arial" w:cs="arial"/>
          <w:sz w:val="20"/>
          <w:lang w:val="en-US" w:eastAsia="en-US" w:bidi="ar-SA"/>
        </w:rPr>
        <w:cr/>
      </w:r>
    </w:p>
    <w:p>
      <w:pPr>
        <w:numPr>
          <w:numId w:val="17"/>
        </w:numPr>
        <w:tabs>
          <w:tab w:val="num" w:pos="760"/>
          <w:tab w:val="clear" w:pos="1120"/>
        </w:tabs>
        <w:spacing w:before="120" w:line="260" w:lineRule="atLeast"/>
        <w:ind w:left="760"/>
        <w:jc w:val="both"/>
        <w:rPr>
          <w:rFonts w:ascii="arial" w:eastAsia="arial" w:hAnsi="arial" w:cs="arial"/>
          <w:sz w:val="20"/>
          <w:lang w:val="en-US" w:eastAsia="en-US" w:bidi="ar-SA"/>
        </w:rPr>
      </w:pPr>
      <w:r>
        <w:rPr>
          <w:rFonts w:ascii="arial" w:eastAsia="arial" w:hAnsi="arial" w:cs="arial"/>
          <w:color w:val="000000"/>
          <w:sz w:val="20"/>
          <w:lang w:val="en-US" w:eastAsia="en-US" w:bidi="ar-SA"/>
        </w:rPr>
        <w:t>The nature of the decision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111</w:t>
      </w:r>
      <w:r>
        <w:rPr>
          <w:rFonts w:ascii="arial" w:eastAsia="arial" w:hAnsi="arial" w:cs="arial"/>
          <w:color w:val="000000"/>
          <w:sz w:val="20"/>
          <w:lang w:val="en-US" w:eastAsia="en-US" w:bidi="ar-SA"/>
        </w:rPr>
        <w:t>  The distinction between discretionary decisions and other decisions, which is more applicable in this case than the distinction between policy decisions and operational decisions, should be considered at the second stage of the Anns test: Cooper at para. 39; A.G. at p. 225. As noted above, the second stage is where the court considers factors that "ought to negative, or reduce or limit the scope of the duty, limit the class of person to whom it is owed or the damages to which a breach of it may give rise": Anns at p. 752.</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112</w:t>
      </w:r>
      <w:r>
        <w:rPr>
          <w:rFonts w:ascii="arial" w:eastAsia="arial" w:hAnsi="arial" w:cs="arial"/>
          <w:color w:val="000000"/>
          <w:sz w:val="20"/>
          <w:lang w:val="en-US" w:eastAsia="en-US" w:bidi="ar-SA"/>
        </w:rPr>
        <w:t>  The decision under attack in this case - not to return D.C. to his parents - involves the exercise of a discretion conferred by statute by the director and his or her delegates, the social workers and their supervisors. These kinds of decisions are especially difficult. The trial judge in A.G. gave an apt description of this difficulty, which was referenced by the B.C. Court of Appeal at p. 228:</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Social workers must make difficult choices when determining what to do about a child allegedly in danger. From time to time, we read of a child who dies because he was physically maltreated. The ministry is sometimes blamed for not having done enough. A child may have physical injuries. The ministry investigates. The parent says the child fell. The physicians say that perhaps the injuries came from a fall and perhaps they came from a beating. The child who is neglected may or may not tell the truth. He stays in the home and is abused further. The ministry can do little as it has insufficient evidence. The kind of abuse that [the social worker] feared here is the kind which takes place in private. By its very nature, it rarely is witnessed.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113</w:t>
      </w:r>
      <w:r>
        <w:rPr>
          <w:rFonts w:ascii="arial" w:eastAsia="arial" w:hAnsi="arial" w:cs="arial"/>
          <w:color w:val="000000"/>
          <w:sz w:val="20"/>
          <w:lang w:val="en-US" w:eastAsia="en-US" w:bidi="ar-SA"/>
        </w:rPr>
        <w:t>  This description is clearly applicable in this case. The Ministry had a very difficult decision to make. On the one hand, it had a very young child with a very serious injury. Dr. Hlady, with the support of the medical team at Children's Hospital, formed the opinion that the injury was non-accidental, that it was likely the result of a shaking and impact, and that it must have been inflicted by L.C., the mother. Dr. Traverse was not so sure, but he did not give a definitive opinion to the contrary. There was no dispute that if the injury was caused by shaking, it could not have been inflicted by the three-year-old brother. On the other hand, it had a family with very few risk factors. None of them had been involved with the Ministry before. All of them were very distraught about D.C.'s injuries. The mother consistently and adamantly denied inflicting any injuries. The extended family and friends worked with the social workers throughout, in the best interests of D.C.</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114</w:t>
      </w:r>
      <w:r>
        <w:rPr>
          <w:rFonts w:ascii="arial" w:eastAsia="arial" w:hAnsi="arial" w:cs="arial"/>
          <w:color w:val="000000"/>
          <w:sz w:val="20"/>
          <w:lang w:val="en-US" w:eastAsia="en-US" w:bidi="ar-SA"/>
        </w:rPr>
        <w:t>  The social workers were not unanimous in their decision to seek an order for continuing custody. They resolved the dilemma, as some described it, by erring on the side of the safety of D.C. As the statute permitted, they brought the issue to the court to determine.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115</w:t>
      </w:r>
      <w:r>
        <w:rPr>
          <w:rFonts w:ascii="arial" w:eastAsia="arial" w:hAnsi="arial" w:cs="arial"/>
          <w:color w:val="000000"/>
          <w:sz w:val="20"/>
          <w:lang w:val="en-US" w:eastAsia="en-US" w:bidi="ar-SA"/>
        </w:rPr>
        <w:t>  In A.G., Esson J.A. held that these circumstances were like those in Home Office, where Lord Reid said at p. 301:</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Obviously there is much room here for differences of opinion and errors of judgment. In my view there can be no liability if the discretion is exercised with due care. There could only be liability if the person entrusted with discretion either unreasonably failed to carry out his duty to consider the matter or reached a conclusion so unreasonable as again to show failure to do his duty.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116</w:t>
      </w:r>
      <w:r>
        <w:rPr>
          <w:rFonts w:ascii="arial" w:eastAsia="arial" w:hAnsi="arial" w:cs="arial"/>
          <w:color w:val="000000"/>
          <w:sz w:val="20"/>
          <w:lang w:val="en-US" w:eastAsia="en-US" w:bidi="ar-SA"/>
        </w:rPr>
        <w:t>  Esson J.A. interpreted this as follows at p. 227 of A.G.:</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In that passage, it is stated that there can be no liability if the discretion is exercised with due care. In my view, "due care" in that context does not refer to the degree of care required by the general law of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In the sense in which the term is there employed, there will have been want of due care only if there has been a failure to carry out the duty to consider the matter, or if the conclusion reached is so unreasonable as to show a failure to carry out the duty.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117</w:t>
      </w:r>
      <w:r>
        <w:rPr>
          <w:rFonts w:ascii="arial" w:eastAsia="arial" w:hAnsi="arial" w:cs="arial"/>
          <w:color w:val="000000"/>
          <w:sz w:val="20"/>
          <w:lang w:val="en-US" w:eastAsia="en-US" w:bidi="ar-SA"/>
        </w:rPr>
        <w:t xml:space="preserve">  Included within this degree of care is the element of good faith. As the House of Lords said in Anns, the discretion must be </w:t>
      </w:r>
      <w:r>
        <w:rPr>
          <w:rFonts w:ascii="arial" w:eastAsia="arial" w:hAnsi="arial" w:cs="arial"/>
          <w:i/>
          <w:color w:val="000000"/>
          <w:sz w:val="20"/>
          <w:lang w:val="en-US" w:eastAsia="en-US" w:bidi="ar-SA"/>
        </w:rPr>
        <w:t>bona fide</w:t>
      </w:r>
      <w:r>
        <w:rPr>
          <w:rFonts w:ascii="arial" w:eastAsia="arial" w:hAnsi="arial" w:cs="arial"/>
          <w:color w:val="000000"/>
          <w:sz w:val="20"/>
          <w:lang w:val="en-US" w:eastAsia="en-US" w:bidi="ar-SA"/>
        </w:rPr>
        <w:t xml:space="preserve"> exercised.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118</w:t>
      </w:r>
      <w:r>
        <w:rPr>
          <w:rFonts w:ascii="arial" w:eastAsia="arial" w:hAnsi="arial" w:cs="arial"/>
          <w:color w:val="000000"/>
          <w:sz w:val="20"/>
          <w:lang w:val="en-US" w:eastAsia="en-US" w:bidi="ar-SA"/>
        </w:rPr>
        <w:t>  On the basis of these authorities, it is my opinion that the discretionary nature of the decision involved in this case does not negative a duty of care, but it reduces or limits the scope of the duty of care. Thus, the duty of care owed by the Ministry to L.C. is a duty to exercise its discretion with due care and in good faith.</w:t>
      </w:r>
      <w:r>
        <w:rPr>
          <w:rFonts w:ascii="arial" w:eastAsia="arial" w:hAnsi="arial" w:cs="arial"/>
          <w:sz w:val="20"/>
          <w:lang w:val="en-US" w:eastAsia="en-US" w:bidi="ar-SA"/>
        </w:rPr>
        <w:cr/>
      </w:r>
    </w:p>
    <w:p>
      <w:pPr>
        <w:numPr>
          <w:numId w:val="18"/>
        </w:numPr>
        <w:tabs>
          <w:tab w:val="num" w:pos="760"/>
          <w:tab w:val="clear" w:pos="1120"/>
        </w:tabs>
        <w:spacing w:before="120" w:line="260" w:lineRule="atLeast"/>
        <w:ind w:left="760"/>
        <w:jc w:val="both"/>
        <w:rPr>
          <w:rFonts w:ascii="arial" w:eastAsia="arial" w:hAnsi="arial" w:cs="arial"/>
          <w:sz w:val="20"/>
          <w:lang w:val="en-US" w:eastAsia="en-US" w:bidi="ar-SA"/>
        </w:rPr>
      </w:pPr>
      <w:r>
        <w:rPr>
          <w:rFonts w:ascii="arial" w:eastAsia="arial" w:hAnsi="arial" w:cs="arial"/>
          <w:color w:val="000000"/>
          <w:sz w:val="20"/>
          <w:lang w:val="en-US" w:eastAsia="en-US" w:bidi="ar-SA"/>
        </w:rPr>
        <w:t>Conflicting duties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119</w:t>
      </w:r>
      <w:r>
        <w:rPr>
          <w:rFonts w:ascii="arial" w:eastAsia="arial" w:hAnsi="arial" w:cs="arial"/>
          <w:color w:val="000000"/>
          <w:sz w:val="20"/>
          <w:lang w:val="en-US" w:eastAsia="en-US" w:bidi="ar-SA"/>
        </w:rPr>
        <w:t>  The Ministry submitted that questions of policy relevant to the proximity analysis should be addressed in the first stage of the Anns test, as described in Cooper. Counsel argued strenuously that to find a duty to parents who are suspected of child abuse would conflict with the duty the Ministry clearly owes to the child. I was referred to J.D. (F.C.) v. East Berkshire Community Health N.H.S. Trust and others and two other actions, [2005] U.K.H.L. 23, a recent decision of the House of Lords, as persuasive authority on this point.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120</w:t>
      </w:r>
      <w:r>
        <w:rPr>
          <w:rFonts w:ascii="arial" w:eastAsia="arial" w:hAnsi="arial" w:cs="arial"/>
          <w:color w:val="000000"/>
          <w:sz w:val="20"/>
          <w:lang w:val="en-US" w:eastAsia="en-US" w:bidi="ar-SA"/>
        </w:rPr>
        <w:t>  This policy issue is of considerable importance. It may be the kind of broad consideration that is more appropriately addressed at the second stage of the test. However, there is no practical difference in considering this issue at either the first or second stages. As the Supreme Court said in Cooper at para. 27:</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Provided the proper balancing of the factors relevant to a duty of care are considered, it may not matter, so far as a particular case is concerned, at which "stage" it occurs.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121</w:t>
      </w:r>
      <w:r>
        <w:rPr>
          <w:rFonts w:ascii="arial" w:eastAsia="arial" w:hAnsi="arial" w:cs="arial"/>
          <w:color w:val="000000"/>
          <w:sz w:val="20"/>
          <w:lang w:val="en-US" w:eastAsia="en-US" w:bidi="ar-SA"/>
        </w:rPr>
        <w:t xml:space="preserve">  In, J.D., the House of Lords refused to recognize a duty of care in favour of parents. The decision, which was based on a preliminary point of law, applied to three cases where a parent was incorrectly suspected of child abuse. In each case the parent brought proceedings against the health trust and in one instance against a physician personally, claiming damages for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in the clinical investigation, diagnosis and reporting of the child's condition. The primary question was whether physicians and, vicariously or directly, health trusts, were liable in damages to a parent in such a case. A parallel question concerned the liability of a local authority in respect of its investigation of suspected child abuse.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122</w:t>
      </w:r>
      <w:r>
        <w:rPr>
          <w:rFonts w:ascii="arial" w:eastAsia="arial" w:hAnsi="arial" w:cs="arial"/>
          <w:color w:val="000000"/>
          <w:sz w:val="20"/>
          <w:lang w:val="en-US" w:eastAsia="en-US" w:bidi="ar-SA"/>
        </w:rPr>
        <w:t>  In a four-to-one decision, the majority determined that the duty owed by a physician or other health professional to a child in making decisions regarding child abuse should not be clouded by imposing a conflicting duty in favour of parents or others suspected of having abused the child.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123</w:t>
      </w:r>
      <w:r>
        <w:rPr>
          <w:rFonts w:ascii="arial" w:eastAsia="arial" w:hAnsi="arial" w:cs="arial"/>
          <w:color w:val="000000"/>
          <w:sz w:val="20"/>
          <w:lang w:val="en-US" w:eastAsia="en-US" w:bidi="ar-SA"/>
        </w:rPr>
        <w:t>  Lord Bingham, in dissent, expressed the opposite view at para. 44, that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far from presuming a conflict between the interests of the child and parent the law generally presumes that they are consonant with each other or at any rate, if not consonant, not so dissonant that healthcare professionals should proceed without fully informing and consulting the parents. There are of course occasions when emergency action must be taken without informing the parents, and when information must be for a time withheld. But there is no reason why the occasional need for healthcare professionals to act in this way should displace a general rule that they should have close regard to the interests of the parents as people with, in the ordinary way, the closest concern for the welfare of their children.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124</w:t>
      </w:r>
      <w:r>
        <w:rPr>
          <w:rFonts w:ascii="arial" w:eastAsia="arial" w:hAnsi="arial" w:cs="arial"/>
          <w:color w:val="000000"/>
          <w:sz w:val="20"/>
          <w:lang w:val="en-US" w:eastAsia="en-US" w:bidi="ar-SA"/>
        </w:rPr>
        <w:t>  Lord Nicholls expressed the counter-argument to this at para. 88:</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claimants sought to meet this conflict of interest' point by noting that the suggested duty owed to the parents has the same content as the duty owed to the child: to exercise due skill and care in investigating the possibility of abuse. This response is not adequate. The time when the presence or absence of a conflict of interest matters is when the doctor is carrying out his investigation. At that time the doctor does not know whether there has been abuse by the parent. But he knows that when he is considering this possibility the interests of parent and child are diametrically opposed. The interests of the child are that the doctor should report any suspicions he may have and that he should carry out further investigation in consultation with other child care professionals. The interests of the parent do not favour either of these steps. This difference of interest in the outcome is an unsatisfactory basis for imposing a duty of care on a doctor in favour of a parent.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125</w:t>
      </w:r>
      <w:r>
        <w:rPr>
          <w:rFonts w:ascii="arial" w:eastAsia="arial" w:hAnsi="arial" w:cs="arial"/>
          <w:color w:val="000000"/>
          <w:sz w:val="20"/>
          <w:lang w:val="en-US" w:eastAsia="en-US" w:bidi="ar-SA"/>
        </w:rPr>
        <w:t>  The House of Lords' analysis of this issue in J.D. was primarily based on the common law liability of physicians, not on the liability of social workers exercising a statutory discretion. The plaintiffs had claimed, essentially, that doctors owed to the parents a duty sounding in damages if they acted in good faith, but carelessly, by failing to exercise reasonable and proper care in making a diagnosis of child abuse. At para. 74, Lord Nicholls stated: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 Clearly, health professionals must act in good faith. They must not act recklessly, that is, without caring whether an allegation of abuse is well-founded or not. Acting recklessly is not acting in good faith. But are health professionals liable to the suspected parents if they fall short of the standards of skill and care expected of any reasonable professional in the circumstances? Are they exposed to claims by the parents for professional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Put differently and more widely, what is the appropriate level of protection for a person erroneously suspected of child abuse? Should he be protected against professional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by those charged with protecting the child? Or only against lack of good faith?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126</w:t>
      </w:r>
      <w:r>
        <w:rPr>
          <w:rFonts w:ascii="arial" w:eastAsia="arial" w:hAnsi="arial" w:cs="arial"/>
          <w:color w:val="000000"/>
          <w:sz w:val="20"/>
          <w:lang w:val="en-US" w:eastAsia="en-US" w:bidi="ar-SA"/>
        </w:rPr>
        <w:t>  Lord Nicholls concluded that the level of protection to be afforded persons erroneously suspected of child abuse was that clinical and other investigations must be conducted in good faith. He equated this with the level of protection afforded generally to persons suspected of committing crimes. This is the only legal recourse for a person suspected of child abuse in the absence of a common law duty of good faith arising from a statutory duty.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127</w:t>
      </w:r>
      <w:r>
        <w:rPr>
          <w:rFonts w:ascii="arial" w:eastAsia="arial" w:hAnsi="arial" w:cs="arial"/>
          <w:color w:val="000000"/>
          <w:sz w:val="20"/>
          <w:lang w:val="en-US" w:eastAsia="en-US" w:bidi="ar-SA"/>
        </w:rPr>
        <w:t>  An earlier decision of the House of Lords, X (Minors) v. Bedfordshire County Council, [1995] H.L.J. No. 29, addressed the issue in the context of statutory duties. Five appeals were considered. Two of them involved allegations that public authorities negligently carried out, or failed to carry out, their statutory duties in child protection matters. In one of these cases, the child had been abused, but the social worker and the doctor had wrongly identified the mother's boyfriend as the perpetrator. They concluded that the mother was not able to protect the child, and the child was removed from the home. When the error was discovered almost a year later, the child was returned to the mother.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128</w:t>
      </w:r>
      <w:r>
        <w:rPr>
          <w:rFonts w:ascii="arial" w:eastAsia="arial" w:hAnsi="arial" w:cs="arial"/>
          <w:color w:val="000000"/>
          <w:sz w:val="20"/>
          <w:lang w:val="en-US" w:eastAsia="en-US" w:bidi="ar-SA"/>
        </w:rPr>
        <w:t>  Lord Browne Wilkinson discussed the conflict issue briefly, expressing concern that local authorities would adopt a more cautious approach in child protection matters. In considering the exercise of a statutory discretion generally, he reiterated the law as established in Home Office and Anns. However, with respect to the child protection cases, he held that, as a matter of policy, it was not just and equitable to impose a common law duty on local authorities to children or parents in respect of the performance of their statutory duties to protect children. He based this on a number of considerations related to the statutory system set up to protect children at risk. In J.D., it was acknowledged that this proposition was stated too broadly, and that local authorities may owe common law duties to children in the exercise of their child protection duties.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129</w:t>
      </w:r>
      <w:r>
        <w:rPr>
          <w:rFonts w:ascii="arial" w:eastAsia="arial" w:hAnsi="arial" w:cs="arial"/>
          <w:color w:val="000000"/>
          <w:sz w:val="20"/>
          <w:lang w:val="en-US" w:eastAsia="en-US" w:bidi="ar-SA"/>
        </w:rPr>
        <w:t xml:space="preserve">  I agree with the Ministry that to place a duty towards parents in these circumstances may subject the Ministry and its delegates to potentially conflicting duties. These decisions of the House of Lords are compelling. However, the analysis in J.D. was not made in the context of a statutory duty, but rather in the context of professional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 (Minors) denied a general duty based on policy considerations that were pertinent to the child welfare system in England, which Lord Browne-Wilkinson described as interdisciplinary, involving the participation of the police, educational bodies, doctors and others, and involving joint discussions, joint recommendations and joint decisions. He considered that it would be manifestly unfair to introduce into such a system a common law duty of care enforceable against only one of the participant bodies.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130</w:t>
      </w:r>
      <w:r>
        <w:rPr>
          <w:rFonts w:ascii="arial" w:eastAsia="arial" w:hAnsi="arial" w:cs="arial"/>
          <w:color w:val="000000"/>
          <w:sz w:val="20"/>
          <w:lang w:val="en-US" w:eastAsia="en-US" w:bidi="ar-SA"/>
        </w:rPr>
        <w:t>  Considering the limited scope of the duty of care as I have outlined above, I do not consider that the imposition of such a duty to a parent places the Ministry in a conflict of sufficient magnitude that would negative the imposition of any duty. Provided its delegates exercise their discretion in child protection investigations in good faith, and with due care, no liability will ensue.</w:t>
      </w:r>
      <w:r>
        <w:rPr>
          <w:rFonts w:ascii="arial" w:eastAsia="arial" w:hAnsi="arial" w:cs="arial"/>
          <w:sz w:val="20"/>
          <w:lang w:val="en-US" w:eastAsia="en-US" w:bidi="ar-SA"/>
        </w:rPr>
        <w:cr/>
      </w:r>
    </w:p>
    <w:p>
      <w:pPr>
        <w:numPr>
          <w:numId w:val="19"/>
        </w:numPr>
        <w:tabs>
          <w:tab w:val="num" w:pos="760"/>
          <w:tab w:val="clear" w:pos="1480"/>
        </w:tabs>
        <w:spacing w:before="120" w:line="260" w:lineRule="atLeast"/>
        <w:ind w:left="760"/>
        <w:jc w:val="both"/>
        <w:rPr>
          <w:rFonts w:ascii="arial" w:eastAsia="arial" w:hAnsi="arial" w:cs="arial"/>
          <w:sz w:val="20"/>
          <w:lang w:val="en-US" w:eastAsia="en-US" w:bidi="ar-SA"/>
        </w:rPr>
      </w:pPr>
      <w:r>
        <w:rPr>
          <w:rFonts w:ascii="arial" w:eastAsia="arial" w:hAnsi="arial" w:cs="arial"/>
          <w:color w:val="000000"/>
          <w:sz w:val="20"/>
          <w:lang w:val="en-US" w:eastAsia="en-US" w:bidi="ar-SA"/>
        </w:rPr>
        <w:t>If the Ministry owes a private law duty of care,</w:t>
      </w:r>
    </w:p>
    <w:p>
      <w:pPr>
        <w:numPr>
          <w:numId w:val="2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what is the standard of care for its delegates or employees in the exercise of their statutory duties?</w:t>
      </w:r>
    </w:p>
    <w:p>
      <w:pPr>
        <w:numPr>
          <w:numId w:val="2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did the Ministry's delegates or employees breach the standard of care in the circumstances of this case?</w:t>
      </w:r>
    </w:p>
    <w:p>
      <w:pPr>
        <w:numPr>
          <w:numId w:val="22"/>
        </w:numPr>
        <w:tabs>
          <w:tab w:val="num" w:pos="760"/>
          <w:tab w:val="clear" w:pos="1480"/>
        </w:tabs>
        <w:spacing w:before="120" w:line="260" w:lineRule="atLeast"/>
        <w:ind w:left="760"/>
        <w:jc w:val="both"/>
        <w:rPr>
          <w:rFonts w:ascii="arial" w:eastAsia="arial" w:hAnsi="arial" w:cs="arial"/>
          <w:sz w:val="20"/>
          <w:lang w:val="en-US" w:eastAsia="en-US" w:bidi="ar-SA"/>
        </w:rPr>
      </w:pPr>
      <w:r>
        <w:rPr>
          <w:rFonts w:ascii="arial" w:eastAsia="arial" w:hAnsi="arial" w:cs="arial"/>
          <w:color w:val="000000"/>
          <w:sz w:val="20"/>
          <w:lang w:val="en-US" w:eastAsia="en-US" w:bidi="ar-SA"/>
        </w:rPr>
        <w:t>The standard of care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131</w:t>
      </w:r>
      <w:r>
        <w:rPr>
          <w:rFonts w:ascii="arial" w:eastAsia="arial" w:hAnsi="arial" w:cs="arial"/>
          <w:color w:val="000000"/>
          <w:sz w:val="20"/>
          <w:lang w:val="en-US" w:eastAsia="en-US" w:bidi="ar-SA"/>
        </w:rPr>
        <w:t>  The standard of care equates with the scope of the duty of care. As outlined above, the standard of care is that set out in Home Office, which the Court of Appeal applied in A.G.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132</w:t>
      </w:r>
      <w:r>
        <w:rPr>
          <w:rFonts w:ascii="arial" w:eastAsia="arial" w:hAnsi="arial" w:cs="arial"/>
          <w:color w:val="000000"/>
          <w:sz w:val="20"/>
          <w:lang w:val="en-US" w:eastAsia="en-US" w:bidi="ar-SA"/>
        </w:rPr>
        <w:t xml:space="preserve">  Both parties agreed that this is the applicable standard of care. As Lowry J. (as he then was) noted in J.H. v. British Columbia, </w:t>
      </w:r>
      <w:hyperlink r:id="rId86" w:history="1">
        <w:r>
          <w:rPr>
            <w:rFonts w:ascii="arial" w:eastAsia="arial" w:hAnsi="arial" w:cs="arial"/>
            <w:i/>
            <w:color w:val="0077CC"/>
            <w:sz w:val="20"/>
            <w:u w:val="single"/>
            <w:shd w:val="clear" w:color="auto" w:fill="FFFFFF"/>
            <w:lang w:val="en-US" w:eastAsia="en-US" w:bidi="ar-SA"/>
          </w:rPr>
          <w:t>[1998] B.C.J. No. 2926</w:t>
        </w:r>
      </w:hyperlink>
      <w:r>
        <w:rPr>
          <w:rFonts w:ascii="arial" w:eastAsia="arial" w:hAnsi="arial" w:cs="arial"/>
          <w:color w:val="000000"/>
          <w:sz w:val="20"/>
          <w:lang w:val="en-US" w:eastAsia="en-US" w:bidi="ar-SA"/>
        </w:rPr>
        <w:t xml:space="preserve"> (S.C.), the principle in Home Office has the effect of substantially reducing the duty that would otherwise be owed in a case of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Decisions relating to child welfare are inherently difficult and liability cannot be founded on errors of judgment made in good faith: D.(B.), supra, at p. 217.</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133</w:t>
      </w:r>
      <w:r>
        <w:rPr>
          <w:rFonts w:ascii="arial" w:eastAsia="arial" w:hAnsi="arial" w:cs="arial"/>
          <w:color w:val="000000"/>
          <w:sz w:val="20"/>
          <w:lang w:val="en-US" w:eastAsia="en-US" w:bidi="ar-SA"/>
        </w:rPr>
        <w:t xml:space="preserve">  I pause here to say that narrowing the scope of the duty or lowering the standard of care is not consistent with the normal duty to take reasonable care in a cause of action for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However, this is the cause of action that courts have recognized and under which the analysis of a duty of care has generally been made.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134</w:t>
      </w:r>
      <w:r>
        <w:rPr>
          <w:rFonts w:ascii="arial" w:eastAsia="arial" w:hAnsi="arial" w:cs="arial"/>
          <w:color w:val="000000"/>
          <w:sz w:val="20"/>
          <w:lang w:val="en-US" w:eastAsia="en-US" w:bidi="ar-SA"/>
        </w:rPr>
        <w:t xml:space="preserve">  In conducting a child protection investigation, then, the Ministry's delegates must exercise their discretion with due care and in good faith. Only where there has been a failure to carry out the duty to consider the matter, or if the conclusion reached is so unreasonable as to show a failure to carry out the duty, will there be liability. With respect to good faith, they must honestly consider the facts as they know them or ought to know them before they make a decision: MacAlpine, supra, at para. 34, referring to Chaput v. Romain, </w:t>
      </w:r>
      <w:hyperlink r:id="rId87" w:history="1">
        <w:r>
          <w:rPr>
            <w:rFonts w:ascii="arial" w:eastAsia="arial" w:hAnsi="arial" w:cs="arial"/>
            <w:i/>
            <w:color w:val="0077CC"/>
            <w:sz w:val="20"/>
            <w:u w:val="single"/>
            <w:shd w:val="clear" w:color="auto" w:fill="FFFFFF"/>
            <w:lang w:val="en-US" w:eastAsia="en-US" w:bidi="ar-SA"/>
          </w:rPr>
          <w:t>[1955] S.C.R. 834</w:t>
        </w:r>
      </w:hyperlink>
      <w:r>
        <w:rPr>
          <w:rFonts w:ascii="arial" w:eastAsia="arial" w:hAnsi="arial" w:cs="arial"/>
          <w:color w:val="000000"/>
          <w:sz w:val="20"/>
          <w:lang w:val="en-US" w:eastAsia="en-US" w:bidi="ar-SA"/>
        </w:rPr>
        <w:t xml:space="preserve"> at 859.</w:t>
      </w:r>
      <w:r>
        <w:rPr>
          <w:rFonts w:ascii="arial" w:eastAsia="arial" w:hAnsi="arial" w:cs="arial"/>
          <w:sz w:val="20"/>
          <w:lang w:val="en-US" w:eastAsia="en-US" w:bidi="ar-SA"/>
        </w:rPr>
        <w:cr/>
      </w:r>
    </w:p>
    <w:p>
      <w:pPr>
        <w:numPr>
          <w:numId w:val="23"/>
        </w:numPr>
        <w:tabs>
          <w:tab w:val="num" w:pos="760"/>
          <w:tab w:val="clear" w:pos="1480"/>
        </w:tabs>
        <w:spacing w:before="120" w:line="260" w:lineRule="atLeast"/>
        <w:ind w:left="760"/>
        <w:jc w:val="both"/>
        <w:rPr>
          <w:rFonts w:ascii="arial" w:eastAsia="arial" w:hAnsi="arial" w:cs="arial"/>
          <w:sz w:val="20"/>
          <w:lang w:val="en-US" w:eastAsia="en-US" w:bidi="ar-SA"/>
        </w:rPr>
      </w:pPr>
      <w:r>
        <w:rPr>
          <w:rFonts w:ascii="arial" w:eastAsia="arial" w:hAnsi="arial" w:cs="arial"/>
          <w:color w:val="000000"/>
          <w:sz w:val="20"/>
          <w:lang w:val="en-US" w:eastAsia="en-US" w:bidi="ar-SA"/>
        </w:rPr>
        <w:t>Was there a breach of the standard of care?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135</w:t>
      </w:r>
      <w:r>
        <w:rPr>
          <w:rFonts w:ascii="arial" w:eastAsia="arial" w:hAnsi="arial" w:cs="arial"/>
          <w:color w:val="000000"/>
          <w:sz w:val="20"/>
          <w:lang w:val="en-US" w:eastAsia="en-US" w:bidi="ar-SA"/>
        </w:rPr>
        <w:t>  The plaintiffs say that the social workers were put on inquiry with respect to matters that may have affected their decision not to return D.C. to his parents, and that in this way they breached the standard of care. They were put on inquiry because of the conflict between the medical opinions of Dr. Hlady and Dr. Traverse. The plaintiffs say that the social workers had a duty to reconcile those conflicting opinions as best as they could before making the decision of May 29, 1997. Instead, they simply accepted Dr. Hlady's opinion without question. By doing so, they improperly delegated their authority to Dr. Hlady.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136</w:t>
      </w:r>
      <w:r>
        <w:rPr>
          <w:rFonts w:ascii="arial" w:eastAsia="arial" w:hAnsi="arial" w:cs="arial"/>
          <w:color w:val="000000"/>
          <w:sz w:val="20"/>
          <w:lang w:val="en-US" w:eastAsia="en-US" w:bidi="ar-SA"/>
        </w:rPr>
        <w:t>  The Ministry admits that it is vicariously liable for the actionable conduct, if any, of the social workers who were involved with the C. family. However, it argued that all of the individuals involved met the standard of care. They carefully considered the information that was available to them, weighed it, and decided to err on the side of safety to the child. They did not delegate their decision-making function to anyone. They cannot be faulted for bringing the matter to court, as the Act clearly provides for this.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137</w:t>
      </w:r>
      <w:r>
        <w:rPr>
          <w:rFonts w:ascii="arial" w:eastAsia="arial" w:hAnsi="arial" w:cs="arial"/>
          <w:color w:val="000000"/>
          <w:sz w:val="20"/>
          <w:lang w:val="en-US" w:eastAsia="en-US" w:bidi="ar-SA"/>
        </w:rPr>
        <w:t>  The Ministry points to s. 48 of the Act, which gives the director discretionary authority to return a child before a protection hearing where the director:</w:t>
      </w:r>
      <w:r>
        <w:rPr>
          <w:rFonts w:ascii="arial" w:eastAsia="arial" w:hAnsi="arial" w:cs="arial"/>
          <w:sz w:val="20"/>
          <w:lang w:val="en-US" w:eastAsia="en-US" w:bidi="ar-SA"/>
        </w:rPr>
        <w:cr/>
      </w:r>
    </w:p>
    <w:p>
      <w:pPr>
        <w:numPr>
          <w:numId w:val="2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makes an agreement with the parent that the director considers adequate to protect the child, or</w:t>
      </w:r>
    </w:p>
    <w:p>
      <w:pPr>
        <w:numPr>
          <w:numId w:val="2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considers that circumstances have changed so that the child no longer needs protection.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138</w:t>
      </w:r>
      <w:r>
        <w:rPr>
          <w:rFonts w:ascii="arial" w:eastAsia="arial" w:hAnsi="arial" w:cs="arial"/>
          <w:color w:val="000000"/>
          <w:sz w:val="20"/>
          <w:lang w:val="en-US" w:eastAsia="en-US" w:bidi="ar-SA"/>
        </w:rPr>
        <w:t>  Counsel argued that the director could not have returned D.C. under this section because there was no change of circumstances at the time the decision was made to seek continuing custody and the social workers did not consider that D.C. was no longer in need of protection. As I understand the plaintiffs' position, they say the director ought to have acted under this provision and returned D.C. to his parents, instead of proceeding to court to seek continuing custody.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139</w:t>
      </w:r>
      <w:r>
        <w:rPr>
          <w:rFonts w:ascii="arial" w:eastAsia="arial" w:hAnsi="arial" w:cs="arial"/>
          <w:color w:val="000000"/>
          <w:sz w:val="20"/>
          <w:lang w:val="en-US" w:eastAsia="en-US" w:bidi="ar-SA"/>
        </w:rPr>
        <w:t>  I have considered the evidence in light of Judge Maltby's determination that D.C. was not a child in need of protection and on this basis, the decision of the social workers on May 29, 1997 was wrong. D.C. was returned to his parents in August 1998 and he remains with them today. Fortunately, he is doing well. He is in the fourth grade, in a special class, and he continues to receive therapy.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140</w:t>
      </w:r>
      <w:r>
        <w:rPr>
          <w:rFonts w:ascii="arial" w:eastAsia="arial" w:hAnsi="arial" w:cs="arial"/>
          <w:color w:val="000000"/>
          <w:sz w:val="20"/>
          <w:lang w:val="en-US" w:eastAsia="en-US" w:bidi="ar-SA"/>
        </w:rPr>
        <w:t>  I have carefully considered the evidence of the social workers as to the basis of the May 29, 1997 decision, as well as the information that they considered. While there was a substantial amount of documentary and other information available to them, the written medical opinions were somewhat terse, particularly those of Dr. Hlady. She was not asked to provide, in writing, a full explanation of her diagnosis and the basis for it. Despite this, I find that all of the Ministry's delegates and employees who were involved in the May 29, 1997 decision understood, as non-experts, the essence of Dr. Hlady's medical opinion, as well as the symptoms of shaken baby syndrome. I note that Ms. Holtby did meet with Dr. Hlady in person on November 15, 1996.</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141</w:t>
      </w:r>
      <w:r>
        <w:rPr>
          <w:rFonts w:ascii="arial" w:eastAsia="arial" w:hAnsi="arial" w:cs="arial"/>
          <w:color w:val="000000"/>
          <w:sz w:val="20"/>
          <w:lang w:val="en-US" w:eastAsia="en-US" w:bidi="ar-SA"/>
        </w:rPr>
        <w:t>  Dr. Traverse's opinion was somewhat more fulsome, but it did not provide a clear alternative diagnosis or explanation for the injury. He was equivocal as to whether a blow by a three-year-old could create such extensive brain damage. He raised as "conceivable" the possibility that repeated thumping on D.C.'s chest could have created an increase in intracranial pressure. He also stated that the delay between the time of the injury and the initiation of treatment allowed secondary brain damage to occur.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142</w:t>
      </w:r>
      <w:r>
        <w:rPr>
          <w:rFonts w:ascii="arial" w:eastAsia="arial" w:hAnsi="arial" w:cs="arial"/>
          <w:color w:val="000000"/>
          <w:sz w:val="20"/>
          <w:lang w:val="en-US" w:eastAsia="en-US" w:bidi="ar-SA"/>
        </w:rPr>
        <w:t>  Dr. Traverse agreed that the findings of retinal hemorrhages were consistent with shaken baby syndrome, but he questioned whether these findings could be consistent with cerebral edema instead of shaken baby. He suggested that "one may wish" to pursue this further. Counsel for the plaintiffs submitted that the social workers were put on inquiry due to this comment, and that none of them addressed it in their evidence. However, none of the Ministry witnesses were questioned about this specific comment, either in direct or cross-examination. They were asked, and each gave evidence about Dr. Traverse's answers to the three questions. The essence of their evidence is that they were of the view that they had all of the medical information that was available, and they had to assess it as best they could.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143</w:t>
      </w:r>
      <w:r>
        <w:rPr>
          <w:rFonts w:ascii="arial" w:eastAsia="arial" w:hAnsi="arial" w:cs="arial"/>
          <w:color w:val="000000"/>
          <w:sz w:val="20"/>
          <w:lang w:val="en-US" w:eastAsia="en-US" w:bidi="ar-SA"/>
        </w:rPr>
        <w:t>  Given the issues raised by Dr. Traverse, it would have been preferable if the Ministry had followed this up by sending Dr. Traverse's letter to Dr. Hlady for her written review and comment. However, I do not consider that this conflict in medical opinions put the social workers "on inquiry" in the sense that there were facts they ought to have known that would have affected their decision. Given what took place in the Provincial Court hearing - that Dr. Hlady was specifically asked about Dr. Traverse's comments and essentially maintained her opinion, and Dr. Boone, who the Ministry retained to provide an independent opinion, confirmed it - the Ministry's decision to seek continuing custody would not have changed had they done so. The evidence of Dr. Kuntz was not available to the Ministry before April 1998. As Judge Maltby noted, much of the explanation for D.C.'s injury evolved during the hearing. That is precisely the reason why the Act provides for a judicial determination of whether a child is in need of protection.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144</w:t>
      </w:r>
      <w:r>
        <w:rPr>
          <w:rFonts w:ascii="arial" w:eastAsia="arial" w:hAnsi="arial" w:cs="arial"/>
          <w:color w:val="000000"/>
          <w:sz w:val="20"/>
          <w:lang w:val="en-US" w:eastAsia="en-US" w:bidi="ar-SA"/>
        </w:rPr>
        <w:t>  Counsel for the plaintiffs argued that the social workers had a duty to investigate further. He suggested that they had a duty to investigate the controversy between the two opinions by going back to Dr. Hlady and to Dr. Traverse and asking the doctors to "educate" them. I did not understand counsel to suggest that the Ministry had a duty to seek out a further medical opinion. In any event, they did obtain Dr. Boone's opinion at the suggestion of Judge Maltby. They did not seek out someone with Dr. Kuntz's qualifications. Counsel did not go so far as to suggest that the Ministry ought to have done that. However, he argued that the standard for the social workers was the same as for a judge, in that they needed to understand the evidence and weigh it properly.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145</w:t>
      </w:r>
      <w:r>
        <w:rPr>
          <w:rFonts w:ascii="arial" w:eastAsia="arial" w:hAnsi="arial" w:cs="arial"/>
          <w:color w:val="000000"/>
          <w:sz w:val="20"/>
          <w:lang w:val="en-US" w:eastAsia="en-US" w:bidi="ar-SA"/>
        </w:rPr>
        <w:t>  I disagree. Clearly, the social workers had a duty under the Act to conduct an investigation. In doing so, they obtained what they considered to be the appropriate medical information. They are not doctors, and they cannot be expected to fully understand the intricacies of complex medical findings. They must rely on the opinions of the medical experts, and assess those opinions along with all of the other information they gather. They made a decision not to return D.C. to his parents and to bring the matter to court, because a considerable amount of the medical information was not consistent with the non-medical information. They are not judges. While their decision could be described as quasi-judicial in the sense that it had to be based on evidence, it was a clearly a discretionary decision.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146</w:t>
      </w:r>
      <w:r>
        <w:rPr>
          <w:rFonts w:ascii="arial" w:eastAsia="arial" w:hAnsi="arial" w:cs="arial"/>
          <w:color w:val="000000"/>
          <w:sz w:val="20"/>
          <w:lang w:val="en-US" w:eastAsia="en-US" w:bidi="ar-SA"/>
        </w:rPr>
        <w:t>  There was evidence of stress within the Ministry due in part to a shortage of staff and the reorganization that followed the 1995 Report of the Gove Inquiry. Some of the Ministry's documentation was inadequate, particularly with respect to the May 29, 1997 meeting and the follow-up telephone discussion with Dr. Hlady. Despite this, I find that the social workers responsible for this case conducted the investigation with due care.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147</w:t>
      </w:r>
      <w:r>
        <w:rPr>
          <w:rFonts w:ascii="arial" w:eastAsia="arial" w:hAnsi="arial" w:cs="arial"/>
          <w:color w:val="000000"/>
          <w:sz w:val="20"/>
          <w:lang w:val="en-US" w:eastAsia="en-US" w:bidi="ar-SA"/>
        </w:rPr>
        <w:t>  I also find that all of the Ministry social workers acted in good faith. Despite the turnover of staff on this case, they met together in a somewhat unprecedented meeting to ensure that each participant's knowledge and perspective was considered. Each of them clearly held an honest belief that the facts, as they understood them, justified the decision. It was a difficult one. A very young infant had suffered near-catastrophic injuries. They recognized the divergence between the medical information that suggested a shaking and impact injury inflicted by an adult, and the non-medical information, which pointed to a normal family with few, if any, risk factors. They were aware that one doctor questioned the diagnosis of another. They considered that this was a case that should be brought to court, and they proceeded on that basis. They were not of the view that the circumstances had changed such that D.C. was no longer in need of protection, and they did not consider that the plan of care that the family had put forward to Ms. Jones was adequate. They did make the decision quite quickly, but they felt it would not be reasonable to delay it any longer.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148</w:t>
      </w:r>
      <w:r>
        <w:rPr>
          <w:rFonts w:ascii="arial" w:eastAsia="arial" w:hAnsi="arial" w:cs="arial"/>
          <w:color w:val="000000"/>
          <w:sz w:val="20"/>
          <w:lang w:val="en-US" w:eastAsia="en-US" w:bidi="ar-SA"/>
        </w:rPr>
        <w:t>  The dilemma of the social workers in this case was very real: they either did too much or not enough. It they did too much, an innocent mother was considered to be guilty. If they did not do enough, there was a risk that D.C. could be injured again. They did not know what happened. They could only rely on the opinions of various experts, including the doctors, psychologists and consultant social workers.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149</w:t>
      </w:r>
      <w:r>
        <w:rPr>
          <w:rFonts w:ascii="arial" w:eastAsia="arial" w:hAnsi="arial" w:cs="arial"/>
          <w:color w:val="000000"/>
          <w:sz w:val="20"/>
          <w:lang w:val="en-US" w:eastAsia="en-US" w:bidi="ar-SA"/>
        </w:rPr>
        <w:t>  As noted above, this is an area where there is much room for differences of opinion and errors in judgment. I fully appreciate that the plaintiffs consider that the social workers made errors in judgment, and they may not be wrong. As I stated above, it would have been preferable if the social workers had followed up Dr. Traverse's comments more thoroughly with Dr. Hlady. However, they were not required to be right. I find that the social workers sufficiently informed themselves of the information necessary to make an honest, good faith decision.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150</w:t>
      </w:r>
      <w:r>
        <w:rPr>
          <w:rFonts w:ascii="arial" w:eastAsia="arial" w:hAnsi="arial" w:cs="arial"/>
          <w:color w:val="000000"/>
          <w:sz w:val="20"/>
          <w:lang w:val="en-US" w:eastAsia="en-US" w:bidi="ar-SA"/>
        </w:rPr>
        <w:t>  This was a very different situation than that in A.G., where significant errors of judgment had been made. Despite that, the court there concluded that the social workers did not fail to carry out their duty.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151</w:t>
      </w:r>
      <w:r>
        <w:rPr>
          <w:rFonts w:ascii="arial" w:eastAsia="arial" w:hAnsi="arial" w:cs="arial"/>
          <w:color w:val="000000"/>
          <w:sz w:val="20"/>
          <w:lang w:val="en-US" w:eastAsia="en-US" w:bidi="ar-SA"/>
        </w:rPr>
        <w:t>  Nor is this a case such as C.H., supra. There, the Ministry had removed C.H., who had significant behavioral problems, from the home of her mother and step-father. The court granted the Ministry a three-month temporary custody order. A social worker placed C.H. in the home of her biological father. The Ministry then withdrew its case under s. 48 of the Act on the basis that the biological father, the mother and step-father, and C.H. had agreed to this arrangement. The biological father physically and sexually assaulted C.H. while she was living with him.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152</w:t>
      </w:r>
      <w:r>
        <w:rPr>
          <w:rFonts w:ascii="arial" w:eastAsia="arial" w:hAnsi="arial" w:cs="arial"/>
          <w:color w:val="000000"/>
          <w:sz w:val="20"/>
          <w:lang w:val="en-US" w:eastAsia="en-US" w:bidi="ar-SA"/>
        </w:rPr>
        <w:t>  The trial judge found that the social worker did not sufficiently inform herself of the information necessary to make an honest, good faith decision as to the suitability of the biological father's home, that she had been put in inquiry with regard to several potential problems, and that she failed to take those factors into account in any meaningful way in deciding to withdraw without retaining some mechanism of supervision. Thus, she could not be said to have honestly considered the facts she knew or ought to have known. The judge held that the Ministry was negligent by withdrawing without providing for supervision, in circumstances where supervision was clearly necessary, and the social worker was not protected by the "good faith" defence in s. 101. The Court of Appeal upheld the decision.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153</w:t>
      </w:r>
      <w:r>
        <w:rPr>
          <w:rFonts w:ascii="arial" w:eastAsia="arial" w:hAnsi="arial" w:cs="arial"/>
          <w:color w:val="000000"/>
          <w:sz w:val="20"/>
          <w:lang w:val="en-US" w:eastAsia="en-US" w:bidi="ar-SA"/>
        </w:rPr>
        <w:t>  The plaintiffs here were also concerned that the Ministry social workers expressed strong views that L.C. was guilty right from the start. Some of them did hold that view. While some comments indicated that the family had an uphill struggle to convince the Ministry to return their child to them, there is no evidence that any of the individuals acted other than in good faith, and with the best interests of the D.C. in mind.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154</w:t>
      </w:r>
      <w:r>
        <w:rPr>
          <w:rFonts w:ascii="arial" w:eastAsia="arial" w:hAnsi="arial" w:cs="arial"/>
          <w:color w:val="000000"/>
          <w:sz w:val="20"/>
          <w:lang w:val="en-US" w:eastAsia="en-US" w:bidi="ar-SA"/>
        </w:rPr>
        <w:t>  There is no question that the entire experience was a very difficult one for the plaintiffs and their family. Both L.C. and L.S. are sincere and honest people. It is one thing to deal with such a serious injury to a young baby, but another altogether to be accused of having caused that injury and then to lose custody of your children as a consequence. But the social workers, who were confronted with a "kind of Solomon decision," made an honest effort, with grounds of substance, to do what they considered appropriate. That they were wrong was eventually determined through the court process. It is unfortunate for the plaintiffs that they had to endure the strain of this process, emotionally and financially, but that is the scheme under the Act. At the end of the day, the family was reunited. I hope that the plaintiffs will now be able to put this terrible experience behind them.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155</w:t>
      </w:r>
      <w:r>
        <w:rPr>
          <w:rFonts w:ascii="arial" w:eastAsia="arial" w:hAnsi="arial" w:cs="arial"/>
          <w:color w:val="000000"/>
          <w:sz w:val="20"/>
          <w:lang w:val="en-US" w:eastAsia="en-US" w:bidi="ar-SA"/>
        </w:rPr>
        <w:t>  I find that the Ministry's delegates and employees acted with due care and in good faith. They did not breach the standard of care required of them.</w:t>
      </w:r>
      <w:r>
        <w:rPr>
          <w:rFonts w:ascii="arial" w:eastAsia="arial" w:hAnsi="arial" w:cs="arial"/>
          <w:sz w:val="20"/>
          <w:lang w:val="en-US" w:eastAsia="en-US" w:bidi="ar-SA"/>
        </w:rPr>
        <w:cr/>
      </w:r>
    </w:p>
    <w:p>
      <w:pPr>
        <w:numPr>
          <w:numId w:val="25"/>
        </w:numPr>
        <w:tabs>
          <w:tab w:val="num" w:pos="760"/>
          <w:tab w:val="clear" w:pos="1480"/>
        </w:tabs>
        <w:spacing w:before="120" w:line="260" w:lineRule="atLeast"/>
        <w:ind w:left="760"/>
        <w:jc w:val="both"/>
        <w:rPr>
          <w:rFonts w:ascii="arial" w:eastAsia="arial" w:hAnsi="arial" w:cs="arial"/>
          <w:sz w:val="20"/>
          <w:lang w:val="en-US" w:eastAsia="en-US" w:bidi="ar-SA"/>
        </w:rPr>
      </w:pPr>
      <w:r>
        <w:rPr>
          <w:rFonts w:ascii="arial" w:eastAsia="arial" w:hAnsi="arial" w:cs="arial"/>
          <w:color w:val="000000"/>
          <w:sz w:val="20"/>
          <w:lang w:val="en-US" w:eastAsia="en-US" w:bidi="ar-SA"/>
        </w:rPr>
        <w:t>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156</w:t>
      </w:r>
      <w:r>
        <w:rPr>
          <w:rFonts w:ascii="arial" w:eastAsia="arial" w:hAnsi="arial" w:cs="arial"/>
          <w:color w:val="000000"/>
          <w:sz w:val="20"/>
          <w:lang w:val="en-US" w:eastAsia="en-US" w:bidi="ar-SA"/>
        </w:rPr>
        <w:t>  It is unnecessary to address the issue of damages. However, I note that there were considerable problems with causation and proof.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157</w:t>
      </w:r>
      <w:r>
        <w:rPr>
          <w:rFonts w:ascii="arial" w:eastAsia="arial" w:hAnsi="arial" w:cs="arial"/>
          <w:color w:val="000000"/>
          <w:sz w:val="20"/>
          <w:lang w:val="en-US" w:eastAsia="en-US" w:bidi="ar-SA"/>
        </w:rPr>
        <w:t>  One of the main claims was for legal costs. The C. family had retained a lawyer to represent L.C. early in the process and in the child protection hearing. That lawyer also assisted L.S. with a back-up plan for custody of D.C. Counsel for the plaintiffs advised that the lawyer's account was approximately $96,000. L.S. paid these costs, since L.C. could not afford to do so. L.S. also claimed $30,500 for interest on a bank loan she obtained to pay the legal costs. However, the legal accounts were not introduced into evidence, nor was there any documentary evidence regarding the bank loan. Moreover, counsel conceded that only the portion of the legal fees related to the protection hearing should be recoverable, yet there was no evidence as to that amount. Finally, there was evidence that L.S. received some funds from others - approximately $4000 - to assist her to pay the legal costs.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158</w:t>
      </w:r>
      <w:r>
        <w:rPr>
          <w:rFonts w:ascii="arial" w:eastAsia="arial" w:hAnsi="arial" w:cs="arial"/>
          <w:color w:val="000000"/>
          <w:sz w:val="20"/>
          <w:lang w:val="en-US" w:eastAsia="en-US" w:bidi="ar-SA"/>
        </w:rPr>
        <w:t>  L.C. claimed a loss of income of $42,555. Counsel conceded that only a portion of this would be recoverable. There was no expert evidence regarding L.C.'s emotional state and no evidence proving causation. Counsel simply suggested recovery of one-third of this amount.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159</w:t>
      </w:r>
      <w:r>
        <w:rPr>
          <w:rFonts w:ascii="arial" w:eastAsia="arial" w:hAnsi="arial" w:cs="arial"/>
          <w:color w:val="000000"/>
          <w:sz w:val="20"/>
          <w:lang w:val="en-US" w:eastAsia="en-US" w:bidi="ar-SA"/>
        </w:rPr>
        <w:t>  L.S. claimed a loss of income of $7,240.57, for the period September 1997 to December 1998. L.S. testified that she was unable to return to work until December 1998 because she became depressed. This loss relates in part to a claim for emotional harm, which was not pleaded. There was no expert evidence and no evidence proving causation. She acknowledged that the Ministry paid her $574 per month for taking care of D.C. Counsel submitted that this should not be taken into account in determining her income loss.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160</w:t>
      </w:r>
      <w:r>
        <w:rPr>
          <w:rFonts w:ascii="arial" w:eastAsia="arial" w:hAnsi="arial" w:cs="arial"/>
          <w:color w:val="000000"/>
          <w:sz w:val="20"/>
          <w:lang w:val="en-US" w:eastAsia="en-US" w:bidi="ar-SA"/>
        </w:rPr>
        <w:t>  In my view, the plaintiffs did not prove their damages on the requisite balance of probabilities.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ORDER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161</w:t>
      </w:r>
      <w:r>
        <w:rPr>
          <w:rFonts w:ascii="arial" w:eastAsia="arial" w:hAnsi="arial" w:cs="arial"/>
          <w:color w:val="000000"/>
          <w:sz w:val="20"/>
          <w:lang w:val="en-US" w:eastAsia="en-US" w:bidi="ar-SA"/>
        </w:rPr>
        <w:t>  The plaintiffs' claim is dismissed. The defendant is entitled to costs.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FISHER J.</w:t>
      </w:r>
    </w:p>
    <w:p>
      <w:pPr>
        <w:spacing w:line="260" w:lineRule="atLeast"/>
        <w:jc w:val="center"/>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 * * *</w:t>
      </w:r>
    </w:p>
    <w:p>
      <w:pPr>
        <w:spacing w:line="260" w:lineRule="atLeast"/>
        <w:jc w:val="center"/>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CORRIGENDUM</w:t>
      </w:r>
    </w:p>
    <w:p>
      <w:pPr>
        <w:spacing w:line="260" w:lineRule="atLeast"/>
        <w:jc w:val="center"/>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Released: December 9, 2005.</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The words "Ban on Publication" are removed from the front page of the Reasons for Judgment.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On page 53, paragraph 154, second line, the word "were" is replaced with "are".</w:t>
      </w:r>
      <w:r>
        <w:rPr>
          <w:rFonts w:ascii="arial" w:eastAsia="arial" w:hAnsi="arial" w:cs="arial"/>
          <w:sz w:val="20"/>
          <w:lang w:val="en-US" w:eastAsia="en-US" w:bidi="ar-SA"/>
        </w:rPr>
        <w:cr/>
      </w:r>
    </w:p>
    <w:p>
      <w:pPr>
        <w:rPr>
          <w:rFonts w:ascii="arial" w:eastAsia="arial" w:hAnsi="arial" w:cs="arial"/>
          <w:sz w:val="20"/>
          <w:lang w:val="en-US" w:eastAsia="en-US" w:bidi="ar-SA"/>
        </w:rPr>
      </w:pPr>
    </w:p>
    <w:p>
      <w:pPr>
        <w:ind w:left="200"/>
        <w:rPr>
          <w:rFonts w:ascii="arial" w:eastAsia="arial" w:hAnsi="arial" w:cs="arial"/>
          <w:sz w:val="20"/>
          <w:lang w:val="en-US" w:eastAsia="en-US" w:bidi="ar-SA"/>
        </w:rPr>
        <w:sectPr>
          <w:type w:val="continuous"/>
          <w:pgMar w:top="840" w:right="1000" w:bottom="840" w:left="1000" w:header="400" w:footer="400"/>
          <w:pgNumType w:fmt="decimal"/>
          <w:cols w:space="720"/>
        </w:sectPr>
      </w:pPr>
      <w:r>
        <w:rPr>
          <w:rFonts w:ascii="arial" w:eastAsia="arial" w:hAnsi="arial" w:cs="arial"/>
          <w:sz w:val="20"/>
          <w:lang w:val="en-US" w:eastAsia="en-US" w:bidi="ar-SA"/>
        </w:rPr>
        <w:br/>
      </w:r>
      <w:r>
        <w:pict>
          <v:line id="_x0000_s1037" style="position:absolute;z-index:251762688" from="0,10pt" to="512pt,10pt" strokecolor="black" strokeweight="1pt">
            <v:stroke linestyle="single"/>
          </v:line>
        </w:pict>
      </w:r>
      <w:r>
        <w:rPr>
          <w:b/>
          <w:color w:val="767676"/>
          <w:sz w:val="16"/>
          <w:lang w:val="en-US" w:eastAsia="en-US" w:bidi="ar-SA"/>
        </w:rPr>
        <w:t>End of Document</w:t>
      </w:r>
    </w:p>
    <w:p>
      <w:pPr>
        <w:rPr>
          <w:rFonts w:ascii="arial" w:eastAsia="arial" w:hAnsi="arial" w:cs="arial"/>
          <w:sz w:val="20"/>
          <w:lang w:val="en-US" w:eastAsia="en-US" w:bidi="ar-SA"/>
        </w:rPr>
        <w:sectPr>
          <w:headerReference w:type="even" r:id="rId88"/>
          <w:headerReference w:type="default" r:id="rId89"/>
          <w:footerReference w:type="even" r:id="rId90"/>
          <w:footerReference w:type="default" r:id="rId91"/>
          <w:headerReference w:type="first" r:id="rId92"/>
          <w:footerReference w:type="first" r:id="rId93"/>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eastAsia="arial" w:hAnsi="Arial" w:cs="Arial"/>
          <w:b/>
          <w:bCs/>
          <w:kern w:val="32"/>
          <w:sz w:val="32"/>
          <w:szCs w:val="32"/>
          <w:lang w:val="en-US" w:eastAsia="en-US" w:bidi="ar-SA"/>
        </w:rPr>
      </w:pPr>
      <w:hyperlink r:id="rId94" w:history="1">
        <w:r>
          <w:rPr>
            <w:rFonts w:ascii="arial" w:eastAsia="arial" w:hAnsi="arial" w:cs="arial"/>
            <w:b/>
            <w:bCs/>
            <w:i/>
            <w:color w:val="0077CC"/>
            <w:kern w:val="32"/>
            <w:sz w:val="28"/>
            <w:szCs w:val="32"/>
            <w:u w:val="single"/>
            <w:shd w:val="clear" w:color="auto" w:fill="FFFFFF"/>
            <w:lang w:val="en-US" w:eastAsia="en-US" w:bidi="ar-SA"/>
          </w:rPr>
          <w:t>McGlone (Guardian ad litem of) v. Kelly, [2001] B.C.J. No. 2085</w:t>
        </w:r>
      </w:hyperlink>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Judgments</w:t>
      </w:r>
    </w:p>
    <w:p>
      <w:pPr>
        <w:rPr>
          <w:rFonts w:ascii="arial" w:eastAsia="arial" w:hAnsi="arial" w:cs="arial"/>
          <w:sz w:val="20"/>
          <w:lang w:val="en-US" w:eastAsia="en-US" w:bidi="ar-SA"/>
        </w:rPr>
      </w:pP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Victoria, British Columbia</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Shabbits J. (In Chambers)</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Heard: September 13, 2001.</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Judgment: September 25, 2001.</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Victoria Registry No. 99 4707</w:t>
      </w:r>
    </w:p>
    <w:p>
      <w:pPr>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r>
        <w:rPr>
          <w:rFonts w:ascii="arial" w:eastAsia="arial" w:hAnsi="arial" w:cs="arial"/>
          <w:b/>
          <w:color w:val="000000"/>
          <w:sz w:val="20"/>
          <w:lang w:val="en-US" w:eastAsia="en-US" w:bidi="ar-SA"/>
        </w:rPr>
        <w:t>[2001] B.C.J. No. 2085</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2001 BCSC 1329</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2001 BCSC 1432</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108 A.C.W.S. (3d) 805</w:t>
      </w:r>
    </w:p>
    <w:p>
      <w:pPr>
        <w:spacing w:before="120" w:line="260" w:lineRule="atLeast"/>
        <w:rPr>
          <w:rFonts w:ascii="arial" w:eastAsia="arial" w:hAnsi="arial" w:cs="arial"/>
          <w:sz w:val="20"/>
          <w:lang w:val="en-US" w:eastAsia="en-US" w:bidi="ar-SA"/>
        </w:rPr>
      </w:pPr>
      <w:r>
        <w:rPr>
          <w:rFonts w:ascii="arial" w:eastAsia="arial" w:hAnsi="arial" w:cs="arial"/>
          <w:color w:val="000000"/>
          <w:sz w:val="20"/>
          <w:lang w:val="en-US" w:eastAsia="en-US" w:bidi="ar-SA"/>
        </w:rPr>
        <w:t>Between Taylor McGlone (also known as Taylor Fleming), an infant, by her Guardian ad litem, Tracy McGlone, Tracy McGlone and Marc Fleming, plaintiffs, and Dr. Phillip Kelly, Dr. Manville, Dr. J. Balfour, Dr. J. Matthew, Nurse D. Groneberg, Nurse D. Margetts, Nurse John or Jane Doe and the Greater Victoria Hospital Society, and Nurse J. McMillan and Nurse C. Stafford, defendants</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(47 paras.)</w:t>
      </w:r>
    </w:p>
    <w:p>
      <w:pPr>
        <w:keepNext/>
        <w:spacing w:before="12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Case Summary</w:t>
      </w:r>
    </w:p>
    <w:p>
      <w:pPr>
        <w:spacing w:line="60" w:lineRule="exact"/>
        <w:rPr>
          <w:rFonts w:ascii="arial" w:eastAsia="arial" w:hAnsi="arial" w:cs="arial"/>
          <w:sz w:val="20"/>
          <w:lang w:val="en-US" w:eastAsia="en-US" w:bidi="ar-SA"/>
        </w:rPr>
      </w:pPr>
      <w:r>
        <w:pict>
          <v:line id="_x0000_s1038" style="position:absolute;z-index:251661312"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bookmarkStart w:id="17" w:name="Keywords_1"/>
      <w:bookmarkEnd w:id="17"/>
      <w:r>
        <w:rPr>
          <w:rFonts w:ascii="arial" w:eastAsia="arial" w:hAnsi="arial" w:cs="arial"/>
          <w:b/>
          <w:color w:val="000000"/>
          <w:sz w:val="20"/>
          <w:lang w:val="en-US" w:eastAsia="en-US" w:bidi="ar-SA"/>
        </w:rPr>
        <w:t>Practice — Pleadings — Amendment of pleadings — Prejudice or presumed prejudice, what constitutes — Adding new cause of action — Prohibition against adding new action which is statute-barred — To add claim by parents for children's loss — Statement of claim — Circumstances when amendment denied.</w:t>
      </w:r>
    </w:p>
    <w:p>
      <w:pPr>
        <w:rPr>
          <w:rFonts w:ascii="arial" w:eastAsia="arial" w:hAnsi="arial" w:cs="arial"/>
          <w:sz w:val="20"/>
          <w:lang w:val="en-US" w:eastAsia="en-US" w:bidi="ar-SA"/>
        </w:rPr>
      </w:pPr>
    </w:p>
    <w:tbl>
      <w:tblPr>
        <w:tblStyle w:val="TableNormal"/>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
      <w:tblGrid>
        <w:gridCol w:w="10225"/>
      </w:tblGrid>
      <w:tr>
        <w:tblPrEx>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Ex>
        <w:tc>
          <w:tcPr/>
          <w:p>
            <w:pPr>
              <w:rPr>
                <w:rFonts w:ascii="arial" w:eastAsia="arial" w:hAnsi="arial" w:cs="arial"/>
                <w:sz w:val="20"/>
                <w:lang w:val="en-US" w:eastAsia="en-US" w:bidi="ar-SA"/>
              </w:rPr>
            </w:pPr>
            <w:bookmarkStart w:id="18" w:name="Case Summary_1"/>
            <w:bookmarkEnd w:id="18"/>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Application by the plaintiffs, McGlone and her parents, for leave to amend their pleadings to assert causes of action for battery and failure to obtain the mother's informed consent to a course of treatment. McGlone and her parents brought an action for damages for injuries suffered as a result of the alleged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of the defendant doctors, nurses and hospital where McGlone was born. McGlone suffered from cerebral palsy and other disorders. To induce her birth, the doctors used a drug that was not yet approved for use in Canada. Her parents claimed that the administration of the drug was the cause of the injuries and that the hospital failed to secure the mother's informed consent to use the drug. They claimed that it was not until the doctor's examination for discovery that they determined that the drug was not approved. The hospital argued that the proposed amendments did not raise a reasonable cause of action. </w:t>
            </w:r>
            <w:r>
              <w:rPr>
                <w:rFonts w:ascii="arial" w:eastAsia="arial" w:hAnsi="arial" w:cs="arial"/>
                <w:sz w:val="20"/>
                <w:lang w:val="en-US" w:eastAsia="en-US" w:bidi="ar-SA"/>
              </w:rPr>
              <w:cr/>
            </w:r>
          </w:p>
          <w:p>
            <w:pPr>
              <w:spacing w:before="120" w:line="260" w:lineRule="atLeast"/>
              <w:ind w:left="240"/>
              <w:jc w:val="both"/>
              <w:rPr>
                <w:rFonts w:ascii="arial" w:eastAsia="arial" w:hAnsi="arial" w:cs="arial"/>
                <w:sz w:val="20"/>
                <w:lang w:val="en-US" w:eastAsia="en-US" w:bidi="ar-SA"/>
              </w:rPr>
            </w:pPr>
            <w:bookmarkStart w:id="19" w:name="Holdings of Court_1"/>
            <w:bookmarkEnd w:id="19"/>
            <w:r>
              <w:rPr>
                <w:rFonts w:ascii="arial" w:eastAsia="arial" w:hAnsi="arial" w:cs="arial"/>
                <w:color w:val="000000"/>
                <w:sz w:val="20"/>
                <w:lang w:val="en-US" w:eastAsia="en-US" w:bidi="ar-SA"/>
              </w:rPr>
              <w:t>HELD: Application allowed in part.</w:t>
            </w:r>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The amendments were allowed only to the extent that they particularized the details of the claim in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McGlone did not have a reasonable cause of action in battery. The mother's action based on a lack of informed consent was prima facie barred by the Limitation Act. The proposed amendments did not raise a cause of action against the hospital. The amendments would prejudice the defendants. </w:t>
            </w:r>
            <w:r>
              <w:rPr>
                <w:rFonts w:ascii="arial" w:eastAsia="arial" w:hAnsi="arial" w:cs="arial"/>
                <w:sz w:val="20"/>
                <w:lang w:val="en-US" w:eastAsia="en-US" w:bidi="ar-SA"/>
              </w:rPr>
              <w:cr/>
            </w:r>
          </w:p>
          <w:p>
            <w:pPr>
              <w:rPr>
                <w:rFonts w:ascii="arial" w:eastAsia="arial" w:hAnsi="arial" w:cs="arial"/>
                <w:sz w:val="20"/>
                <w:lang w:val="en-US" w:eastAsia="en-US" w:bidi="ar-SA"/>
              </w:rPr>
            </w:pPr>
          </w:p>
        </w:tc>
      </w:tr>
    </w:tbl>
    <w:p>
      <w:pPr>
        <w:jc w:val="both"/>
        <w:rPr>
          <w:rFonts w:ascii="arial" w:eastAsia="arial" w:hAnsi="arial" w:cs="arial"/>
          <w:sz w:val="20"/>
          <w:lang w:val="en-US" w:eastAsia="en-US" w:bidi="ar-SA"/>
        </w:rPr>
      </w:pPr>
      <w:bookmarkStart w:id="20" w:name="Legislation Cited_1"/>
      <w:bookmarkEnd w:id="20"/>
      <w:r>
        <w:rPr>
          <w:rFonts w:ascii="arial" w:eastAsia="arial" w:hAnsi="arial" w:cs="arial"/>
          <w:sz w:val="20"/>
          <w:lang w:val="en-US" w:eastAsia="en-US" w:bidi="ar-SA"/>
        </w:rPr>
        <w:br/>
      </w:r>
    </w:p>
    <w:p>
      <w:pPr>
        <w:keepNext/>
        <w:spacing w:before="24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Statutes, Regulations and Rules Cited:</w:t>
      </w:r>
    </w:p>
    <w:p>
      <w:pPr>
        <w:spacing w:line="60" w:lineRule="exact"/>
        <w:rPr>
          <w:rFonts w:ascii="arial" w:eastAsia="arial" w:hAnsi="arial" w:cs="arial"/>
          <w:sz w:val="20"/>
          <w:lang w:val="en-US" w:eastAsia="en-US" w:bidi="ar-SA"/>
        </w:rPr>
      </w:pPr>
      <w:r>
        <w:pict>
          <v:line id="_x0000_s1039" style="position:absolute;z-index:251712512"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Limitation Act, s. 6, 6(3)(i), 6(3)(j), 6(6).</w:t>
      </w:r>
      <w:r>
        <w:rPr>
          <w:rFonts w:ascii="arial" w:eastAsia="arial" w:hAnsi="arial" w:cs="arial"/>
          <w:sz w:val="20"/>
          <w:lang w:val="en-US" w:eastAsia="en-US" w:bidi="ar-SA"/>
        </w:rPr>
        <w:cr/>
      </w:r>
    </w:p>
    <w:p>
      <w:pPr>
        <w:keepNext/>
        <w:spacing w:before="240" w:line="340" w:lineRule="atLeast"/>
        <w:rPr>
          <w:rFonts w:ascii="arial" w:eastAsia="arial" w:hAnsi="arial" w:cs="arial"/>
          <w:sz w:val="20"/>
          <w:lang w:val="en-US" w:eastAsia="en-US" w:bidi="ar-SA"/>
        </w:rPr>
      </w:pPr>
      <w:bookmarkStart w:id="21" w:name="Counsel_2"/>
      <w:bookmarkEnd w:id="21"/>
      <w:r>
        <w:rPr>
          <w:rFonts w:ascii="arial" w:eastAsia="arial" w:hAnsi="arial" w:cs="arial"/>
          <w:b/>
          <w:color w:val="000000"/>
          <w:sz w:val="28"/>
          <w:lang w:val="en-US" w:eastAsia="en-US" w:bidi="ar-SA"/>
        </w:rPr>
        <w:t>Counsel</w:t>
      </w:r>
    </w:p>
    <w:p>
      <w:pPr>
        <w:spacing w:line="60" w:lineRule="exact"/>
        <w:rPr>
          <w:rFonts w:ascii="arial" w:eastAsia="arial" w:hAnsi="arial" w:cs="arial"/>
          <w:sz w:val="20"/>
          <w:lang w:val="en-US" w:eastAsia="en-US" w:bidi="ar-SA"/>
        </w:rPr>
      </w:pPr>
      <w:r>
        <w:pict>
          <v:line id="_x0000_s1040" style="position:absolute;z-index:251763712"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I.C. Faulkner and C. Parker, for the plaintiffs. C.L. Khanna, for the defendants, Drs. Kelly, Balfour and Matthew. C.L. Woods, for the defendants, Greater Victoria Hospital Society, Dr. Manville, Nurses Groneberg, Margetts, McMillan and Stafford.</w:t>
      </w:r>
      <w:r>
        <w:rPr>
          <w:rFonts w:ascii="arial" w:eastAsia="arial" w:hAnsi="arial" w:cs="arial"/>
          <w:sz w:val="20"/>
          <w:lang w:val="en-US" w:eastAsia="en-US" w:bidi="ar-SA"/>
        </w:rPr>
        <w:cr/>
      </w:r>
    </w:p>
    <w:p>
      <w:pPr>
        <w:spacing w:after="240"/>
        <w:rPr>
          <w:rFonts w:ascii="arial" w:eastAsia="arial" w:hAnsi="arial" w:cs="arial"/>
          <w:sz w:val="20"/>
          <w:lang w:val="en-US" w:eastAsia="en-US" w:bidi="ar-SA"/>
        </w:rPr>
      </w:pPr>
      <w:bookmarkStart w:id="22" w:name="Judgment_2"/>
      <w:bookmarkEnd w:id="22"/>
      <w:r>
        <w:pict>
          <v:line id="_x0000_s1041" style="position:absolute;z-index:251813888" from="0,12pt" to="512pt,12pt" strokecolor="#009ddb" strokeweight="1.5pt">
            <v:stroke linestyle="single"/>
          </v:line>
        </w:pict>
      </w:r>
    </w:p>
    <w:p>
      <w:pPr>
        <w:spacing w:before="120" w:line="240" w:lineRule="atLeast"/>
        <w:ind w:firstLine="240"/>
        <w:rPr>
          <w:rFonts w:ascii="arial" w:eastAsia="arial" w:hAnsi="arial" w:cs="arial"/>
          <w:sz w:val="20"/>
          <w:lang w:val="en-US" w:eastAsia="en-US" w:bidi="ar-SA"/>
        </w:rPr>
      </w:pPr>
      <w:r>
        <w:rPr>
          <w:rFonts w:ascii="arial" w:eastAsia="arial" w:hAnsi="arial" w:cs="arial"/>
          <w:color w:val="000000"/>
          <w:sz w:val="18"/>
          <w:lang w:val="en-US" w:eastAsia="en-US" w:bidi="ar-SA"/>
        </w:rPr>
        <w:t>[Quicklaw note: A Corrigendum was released by the Court October 16, 2001. The corrections have been made to the text and the Corrigendum is appended to this document.]</w:t>
      </w:r>
      <w:r>
        <w:rPr>
          <w:rFonts w:ascii="arial" w:eastAsia="arial" w:hAnsi="arial" w:cs="arial"/>
          <w:sz w:val="20"/>
          <w:lang w:val="en-US" w:eastAsia="en-US" w:bidi="ar-SA"/>
        </w:rPr>
        <w:cr/>
      </w:r>
    </w:p>
    <w:p>
      <w:pPr>
        <w:rPr>
          <w:rFonts w:ascii="arial" w:eastAsia="arial" w:hAnsi="arial" w:cs="arial"/>
          <w:sz w:val="20"/>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2137"/>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rFonts w:ascii="arial" w:eastAsia="arial" w:hAnsi="arial" w:cs="arial"/>
                <w:sz w:val="20"/>
                <w:lang w:val="en-US" w:eastAsia="en-US" w:bidi="ar-SA"/>
              </w:rPr>
            </w:pPr>
            <w:bookmarkStart w:id="23" w:name="SHABBITS J."/>
            <w:bookmarkEnd w:id="23"/>
            <w:r>
              <w:rPr>
                <w:rFonts w:ascii="arial" w:eastAsia="arial" w:hAnsi="arial" w:cs="arial"/>
                <w:b/>
                <w:color w:val="000000"/>
                <w:sz w:val="30"/>
                <w:lang w:val="en-US" w:eastAsia="en-US" w:bidi="ar-SA"/>
              </w:rPr>
              <w:t>SHABBITS J.</w:t>
            </w:r>
          </w:p>
        </w:tc>
      </w:tr>
    </w:tbl>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Taylor Fleming was born on October 16, 1997. She suffers from cerebral palsy and other disorders. On October 13, 1999, this action was brought on her behalf by her mother, Tracy McGlone. Taylor Fleming's parents, Tracy McGlone and Mark Fleming, are the other plaintiffs.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xml:space="preserve">  This proceeding is in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It lies in allegations of medical malpractice. The plaintiffs allege that the defendants were negligent in respect of the events surrounding Taylor Fleming's birth. The damages sought are consequential to that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Misoprostal was used to induce Taylor Fleming's birth. The plaintiffs have in this proceeding always alleged that the administration of Misoprostal to Tracey McGlone was a cause of Taylor Fleming's injuries, and that its use was negligent. With this application, the plaintiffs seek to add new causes of action to their claims. They now claim that the defendants Dr. Kelly and the Greater Victoria Hospital Society failed to secure the informed consent of Tracey McGlone for the administration to her of Misoprostal. The plaintiffs also claim that the administration of the Misoprostal was a battery upon Tracy McGlone.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Separate Causes of Action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xml:space="preserve">  In Karsanjii Estate v. Roque (B.C.), </w:t>
      </w:r>
      <w:hyperlink r:id="rId95" w:history="1">
        <w:r>
          <w:rPr>
            <w:rFonts w:ascii="arial" w:eastAsia="arial" w:hAnsi="arial" w:cs="arial"/>
            <w:i/>
            <w:color w:val="0077CC"/>
            <w:sz w:val="20"/>
            <w:u w:val="single"/>
            <w:shd w:val="clear" w:color="auto" w:fill="FFFFFF"/>
            <w:lang w:val="en-US" w:eastAsia="en-US" w:bidi="ar-SA"/>
          </w:rPr>
          <w:t>[1990] 3 W.W.R. 612</w:t>
        </w:r>
      </w:hyperlink>
      <w:r>
        <w:rPr>
          <w:rFonts w:ascii="arial" w:eastAsia="arial" w:hAnsi="arial" w:cs="arial"/>
          <w:color w:val="000000"/>
          <w:sz w:val="20"/>
          <w:lang w:val="en-US" w:eastAsia="en-US" w:bidi="ar-SA"/>
        </w:rPr>
        <w:t xml:space="preserve"> Taylor J.A., in discussing section 6 of the Limitation Act, said this at page 637:</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Section 6(3)(i) speaks of postponement of the running of time in respect of an action on "the cause of action". It seems to me that each cause of action which lies is a separate matter for the purpose of the limitation period. The claim for what is broadly described as "want of informed consent" in this case is based on a different event occurring at a different time, and involves different considerations from that based on negligent choice of procedure and negligent performance of the procedures in fact adopted. I think they must constitute separate causes of action for the present purpose.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xml:space="preserve">  In Nandha v. Singh et al, unreported, April 27, 2001, New Westminster Registry </w:t>
      </w:r>
      <w:hyperlink r:id="rId96" w:history="1">
        <w:r>
          <w:rPr>
            <w:rFonts w:ascii="arial" w:eastAsia="arial" w:hAnsi="arial" w:cs="arial"/>
            <w:i/>
            <w:color w:val="0077CC"/>
            <w:sz w:val="20"/>
            <w:u w:val="single"/>
            <w:shd w:val="clear" w:color="auto" w:fill="FFFFFF"/>
            <w:lang w:val="en-US" w:eastAsia="en-US" w:bidi="ar-SA"/>
          </w:rPr>
          <w:t>2001 BCSC 638</w:t>
        </w:r>
      </w:hyperlink>
      <w:r>
        <w:rPr>
          <w:rFonts w:ascii="arial" w:eastAsia="arial" w:hAnsi="arial" w:cs="arial"/>
          <w:color w:val="000000"/>
          <w:sz w:val="20"/>
          <w:lang w:val="en-US" w:eastAsia="en-US" w:bidi="ar-SA"/>
        </w:rPr>
        <w:t>, Master Bolton said this at paragraph 17:</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Obviously, the old and new causes of action are closely linked with respect to time, the identity of the parties, and the consequences to the plaintiff. But as I understand it, there is little connection between the causes of action. On the existing action for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it is not necessary to know what the plaintiff was told about the procedures she was to undergo. The issue is simply whether the doctors did or did not meet the appropriate standard of care. But in an action based on lack of informed consent, the question of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is largely - perhaps entirely - irrelevant. The doctors may have been supremely competent but may nevertheless be liable if a foreseeable but unavoidable risk materialized that would have caused the plaintiff to decline the surgery if she had been fully informed of the risk in advance.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Thus, for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the exclusive focus is the performance of the surgery. For informed consent, it is largely the pre-surgery discussions that will determine liability, although the surgery itself will have to be considered in regard to foreseeable risk and perhaps the existence of an emergency foreclosing the possibility of consent from the patient.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xml:space="preserve">  In Reibl v. Hughes, </w:t>
      </w:r>
      <w:hyperlink r:id="rId97" w:history="1">
        <w:r>
          <w:rPr>
            <w:rFonts w:ascii="arial" w:eastAsia="arial" w:hAnsi="arial" w:cs="arial"/>
            <w:i/>
            <w:color w:val="0077CC"/>
            <w:sz w:val="20"/>
            <w:u w:val="single"/>
            <w:shd w:val="clear" w:color="auto" w:fill="FFFFFF"/>
            <w:lang w:val="en-US" w:eastAsia="en-US" w:bidi="ar-SA"/>
          </w:rPr>
          <w:t>[1980] 2 S.C.R. 880</w:t>
        </w:r>
      </w:hyperlink>
      <w:r>
        <w:rPr>
          <w:rFonts w:ascii="arial" w:eastAsia="arial" w:hAnsi="arial" w:cs="arial"/>
          <w:color w:val="000000"/>
          <w:sz w:val="20"/>
          <w:lang w:val="en-US" w:eastAsia="en-US" w:bidi="ar-SA"/>
        </w:rPr>
        <w:t>, Laskin C.J., writing for the Supreme Court of Canada, said this at p. 890:</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well-known statement of Cardozo J. in Schloendorff v. Society of New York Hospital, at pp. 129-30 and at p. 93 respectively, that "Every human being of adult years and sound mind has a right to determine what shall be done with his own body; and a surgeon who performs an operation without his patient's consent commits an assault, for which he is liable in damages" cannot be taken beyond the compass of its words to support an action of battery where there has been consent to the very surgical procedure carried out upon a patient but there has been a breach of the duty of disclosure of attendant risks. In my opinion, actions of battery in respect of surgical or other medical treatment should be confined to cases where surgery or treatment has been performed or given to which there has been no consent at all or where, emergency situations aside, surgery or treatment has been performed or given beyond that to which there was consent.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This standard would comprehend cases where there was misrepresentation of the surgery or treatment for which consent was elicited and a different surgical procedure or treatment was carried out.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 .</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In situations where the allegation is that attendant risks which should have been disclosed were not communicated to the patient and yet the surgery or other medical treatment carried out was that to which the plaintiff consented (there being no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basis of liability for the recommended surgery or treatment to deal with the patient's condition), I do not understand how it can be said that the consent was vitiated by the failure of disclosure so as to make the surgery or other treatment an unprivileged, unconsented to and intentional invasion of the patient's bodily integrity. I can appreciate the temptation to say that the genuineness of consent to medical treatment depends on proper disclosure of the risks which it entails, but in my view, unless there has been misrepresentation or fraud to secure consent to the treatment, a failure to disclose the attendant risks, however serious, should go to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rather than to battery. Although such a failure relates to an informed choice of submitting to or refusing recommended and appropriate treatment, it arises as the breach of an anterior duty of due care, comparable in legal obligation to the duty of due care in carrying out the particular treatment to which the patient has consented. It is not a test of the validity of the consent.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xml:space="preserve">  It seems clear that the present allegations are that Tracy McGlone consented to the very procedure that was used to induce the birth of her child, but that there was a breach of the duty of disclosure of attendant risks. Such allegations go to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rather than battery. However, that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is anterior to the claim of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on which this suit was brought. It refers to a different event which occurred at a different time. I am of the opinion that the amendments sought by the plaintiffs relate to different and separate causes of actions from those on which the proceeding has thus far been prosecuted. That is so, whether what is sought to be added is a claim in anterior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or in battery.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The Limitation Act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Taylor Fleming is an infant. There is no limitation period which is yet of effect to any of her claims.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The limitation period may have expired in respect of the further claims of Tracy McGlone. The plaintiffs submit that the running of time in respect of those claims has been postponed by s. 6 (3)(i) and (j) of the Limitation Act.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One of the foundations of this application is the plaintiffs' allegation that it was not until the examination for discovery of Dr. Kelly, on January 22, 2001, that they became aware that on October 13, 1997, Misoprostal was being used in a pilot study at the Victoria General Hospital.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The plaintiffs refer to Halushka v. University of Saskatchewan (1965), 52 W.W.R. 608 (Sask. C.A.). It is authority for the proposition that a higher level of disclosure of information is required if treatment is for research, then if it is therapeutic in nature. The plaintiffs submit that before January of this year, they were not aware that this higher level of disclosure was of application.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When this proceeding was brought, the plaintiffs pleaded that Misoprostal was not approved for use for the induction of labour in Canada. When particularizing the details of their claim of medical malpractice, they alleged that the defendants were negligent in failing to induce labour by alternative and safer means than the use of Misoprostal.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xml:space="preserve">  This action was brought on October 13, 1999. At that time, Tracy McGlone knew that Misoprostal had been used to induce her labour, and she knew that she had not consented to its use for that purpose. She believed that Misoprostal had not been approved for use in Canada for the induction of labour. She alleged that there were alternative and safer means to induce labour, and she alleged that the use of Misoprostal was an act of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for which the defendants are liable in 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The proposed cause of action is that Misoprostal was used without Tracy McGlone's consent. That Misoprostal was the subject of a pilot study was surely a consideration which had a bearing on the issue of whether it ought to have been used to induce Tracy McGlone's labour, and it surely bore on the issue whether, if asked, she or a reasonable person in her position would have agreed to its use, but it is not of itself the cause of action.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w:t>
      </w:r>
      <w:r>
        <w:rPr>
          <w:rFonts w:ascii="arial" w:eastAsia="arial" w:hAnsi="arial" w:cs="arial"/>
          <w:color w:val="000000"/>
          <w:sz w:val="20"/>
          <w:lang w:val="en-US" w:eastAsia="en-US" w:bidi="ar-SA"/>
        </w:rPr>
        <w:t>  Sec. 6 of the Limitation Act, reads in part as follows:</w:t>
      </w:r>
      <w:r>
        <w:rPr>
          <w:rFonts w:ascii="arial" w:eastAsia="arial" w:hAnsi="arial" w:cs="arial"/>
          <w:sz w:val="20"/>
          <w:lang w:val="en-US" w:eastAsia="en-US" w:bidi="ar-SA"/>
        </w:rPr>
        <w:cr/>
      </w:r>
    </w:p>
    <w:p>
      <w:pPr>
        <w:numPr>
          <w:numId w:val="3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Time does not begin to run against a plaintiff with respect to an action referred to in subsection (3) until the identity of the defendant is known to the plaintiff and those facts within the plaintiff's means of knowledge are such that a reasonable person, knowing those facts and having taken the appropriate advice a reasonable person would seek on those facts, would regard those facts as showing that</w:t>
      </w:r>
    </w:p>
    <w:p>
      <w:pPr>
        <w:numPr>
          <w:numId w:val="2"/>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an action on the cause of action would, apart from the effect of the expiration of a limitation period, have a reasonable prospect of success, and</w:t>
      </w:r>
    </w:p>
    <w:p>
      <w:pPr>
        <w:numPr>
          <w:numId w:val="2"/>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the person whose means of knowledge is in question ought, in the person's own interest and taking the person's circumstances into account, to be able to bring an action.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w:t>
      </w:r>
      <w:r>
        <w:rPr>
          <w:rFonts w:ascii="arial" w:eastAsia="arial" w:hAnsi="arial" w:cs="arial"/>
          <w:color w:val="000000"/>
          <w:sz w:val="20"/>
          <w:lang w:val="en-US" w:eastAsia="en-US" w:bidi="ar-SA"/>
        </w:rPr>
        <w:t>  In my opinion, the statement of claim filed October 13, 1999, demonstrates that by October 13, 1999, Tracy McGlone had the "means of knowledge" referred to in s. 6 of the Limitation Act. She believed that an unauthorized medication had been administered to her. She was by then able to bring an action for its use upon her without her consent.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w:t>
      </w:r>
      <w:r>
        <w:rPr>
          <w:rFonts w:ascii="arial" w:eastAsia="arial" w:hAnsi="arial" w:cs="arial"/>
          <w:color w:val="000000"/>
          <w:sz w:val="20"/>
          <w:lang w:val="en-US" w:eastAsia="en-US" w:bidi="ar-SA"/>
        </w:rPr>
        <w:t>  I accept that it is unlikely that Tracy McGlone had that means of knowledge on the date of her child's birth. It is likely that Tracy McGlone could establish that the commencement of time for the application of the limitation period was postponed to a time between October 16, 1997 and October 13, 1999. Under s. 6(6) of the Limitation Act, the burden of proving the running of time has been postponed is on the person claiming the benefit of the postponement.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w:t>
      </w:r>
      <w:r>
        <w:rPr>
          <w:rFonts w:ascii="arial" w:eastAsia="arial" w:hAnsi="arial" w:cs="arial"/>
          <w:color w:val="000000"/>
          <w:sz w:val="20"/>
          <w:lang w:val="en-US" w:eastAsia="en-US" w:bidi="ar-SA"/>
        </w:rPr>
        <w:t>  The evidence in front of me does not establish the extent to which the running of time was postponed. There is no apparent reason to consider that that postponement would be of relevance to this application. Whatever the extent of the postponement, there has been significant delay in the bringing of this application.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w:t>
      </w:r>
      <w:r>
        <w:rPr>
          <w:rFonts w:ascii="arial" w:eastAsia="arial" w:hAnsi="arial" w:cs="arial"/>
          <w:color w:val="000000"/>
          <w:sz w:val="20"/>
          <w:lang w:val="en-US" w:eastAsia="en-US" w:bidi="ar-SA"/>
        </w:rPr>
        <w:t>  This application is being considered on the basis that Tracy McGlone's cause of action in battery and/or lack of informed consent is prima facie barred by the operation of the Limitation Act. The plaintiffs have not shown, for the purposes of this application, that the running of time was postponed.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Would the proposed amendments benefit Taylor Fleming's claims?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w:t>
      </w:r>
      <w:r>
        <w:rPr>
          <w:rFonts w:ascii="arial" w:eastAsia="arial" w:hAnsi="arial" w:cs="arial"/>
          <w:color w:val="000000"/>
          <w:sz w:val="20"/>
          <w:lang w:val="en-US" w:eastAsia="en-US" w:bidi="ar-SA"/>
        </w:rPr>
        <w:t>  The defendants submit that the intended amendments relate to causes of action which could be of benefit to Tracy McGlone alone. They submit that the amendments relate to causes of action that are personal to her.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w:t>
      </w:r>
      <w:r>
        <w:rPr>
          <w:rFonts w:ascii="arial" w:eastAsia="arial" w:hAnsi="arial" w:cs="arial"/>
          <w:color w:val="000000"/>
          <w:sz w:val="20"/>
          <w:lang w:val="en-US" w:eastAsia="en-US" w:bidi="ar-SA"/>
        </w:rPr>
        <w:t xml:space="preserve">  The plaintiffs abandoned their submission that Taylor Fleming could have a cause of action for a battery committed to her mother when she was as yet unborn. It is problematic whether Taylor Fleming might have a cause of action if the claim in respect of lack of informed consent is based in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This was alluded to by counsel for the plaintiffs, who submitted that such a claim might "partially" entitle Taylor Fleming to 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w:t>
      </w:r>
      <w:r>
        <w:rPr>
          <w:rFonts w:ascii="arial" w:eastAsia="arial" w:hAnsi="arial" w:cs="arial"/>
          <w:color w:val="000000"/>
          <w:sz w:val="20"/>
          <w:lang w:val="en-US" w:eastAsia="en-US" w:bidi="ar-SA"/>
        </w:rPr>
        <w:t xml:space="preserve">  The factual basis on which the anterior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claim for compensation for Tracy Fleming might be advanced was not presented on this application. In the result, it seems to me unlikely, but possible, that an anterior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cause of action could assist the infant plaintiff's suit.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The Proceeding against Greater Victoria Hospital Society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w:t>
      </w:r>
      <w:r>
        <w:rPr>
          <w:rFonts w:ascii="arial" w:eastAsia="arial" w:hAnsi="arial" w:cs="arial"/>
          <w:color w:val="000000"/>
          <w:sz w:val="20"/>
          <w:lang w:val="en-US" w:eastAsia="en-US" w:bidi="ar-SA"/>
        </w:rPr>
        <w:t>  The defendant, Greater Victoria Hospital Society, submits that the proposed amendments do not raise a reasonable cause of action as against it. It submits that the amendments ought not to be allowed to permit these further claims as against it.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w:t>
      </w:r>
      <w:r>
        <w:rPr>
          <w:rFonts w:ascii="arial" w:eastAsia="arial" w:hAnsi="arial" w:cs="arial"/>
          <w:color w:val="000000"/>
          <w:sz w:val="20"/>
          <w:lang w:val="en-US" w:eastAsia="en-US" w:bidi="ar-SA"/>
        </w:rPr>
        <w:t xml:space="preserve">  The defendants refer to McNaughton v. Baker </w:t>
      </w:r>
      <w:hyperlink r:id="rId98" w:history="1">
        <w:r>
          <w:rPr>
            <w:rFonts w:ascii="arial" w:eastAsia="arial" w:hAnsi="arial" w:cs="arial"/>
            <w:i/>
            <w:color w:val="0077CC"/>
            <w:sz w:val="20"/>
            <w:u w:val="single"/>
            <w:shd w:val="clear" w:color="auto" w:fill="FFFFFF"/>
            <w:lang w:val="en-US" w:eastAsia="en-US" w:bidi="ar-SA"/>
          </w:rPr>
          <w:t>(1988), 25 B.C.L.R. (2d) 17</w:t>
        </w:r>
      </w:hyperlink>
      <w:r>
        <w:rPr>
          <w:rFonts w:ascii="arial" w:eastAsia="arial" w:hAnsi="arial" w:cs="arial"/>
          <w:color w:val="000000"/>
          <w:sz w:val="20"/>
          <w:lang w:val="en-US" w:eastAsia="en-US" w:bidi="ar-SA"/>
        </w:rPr>
        <w:t>, in which McLachlin, J.A., (as she then was), said that the first question in considering proposed amendments is whether they raise a reasonable cause of action.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w:t>
      </w:r>
      <w:r>
        <w:rPr>
          <w:rFonts w:ascii="arial" w:eastAsia="arial" w:hAnsi="arial" w:cs="arial"/>
          <w:color w:val="000000"/>
          <w:sz w:val="20"/>
          <w:lang w:val="en-US" w:eastAsia="en-US" w:bidi="ar-SA"/>
        </w:rPr>
        <w:t>  The Society submits that the law is clear that the duty to obtain informed consent lies solely with the health professional that will be performing the treatment at issue.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w:t>
      </w:r>
      <w:r>
        <w:rPr>
          <w:rFonts w:ascii="arial" w:eastAsia="arial" w:hAnsi="arial" w:cs="arial"/>
          <w:color w:val="000000"/>
          <w:sz w:val="20"/>
          <w:lang w:val="en-US" w:eastAsia="en-US" w:bidi="ar-SA"/>
        </w:rPr>
        <w:t>  An analogous submission is advanced in respect of the claim in battery. The Society submits that it did not administer any course of treatment to Tracy McGlone, and that that cause of action, as against it, is frivolous with no prospect of success.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w:t>
      </w:r>
      <w:r>
        <w:rPr>
          <w:rFonts w:ascii="arial" w:eastAsia="arial" w:hAnsi="arial" w:cs="arial"/>
          <w:color w:val="000000"/>
          <w:sz w:val="20"/>
          <w:lang w:val="en-US" w:eastAsia="en-US" w:bidi="ar-SA"/>
        </w:rPr>
        <w:t xml:space="preserve">  I was referred to an array of jurisprudence, which suggests that a hospital owes no independent duty with regard to the obtaining of informed consent. These include Hayes v. Royal Columbia Hospital et al., </w:t>
      </w:r>
      <w:hyperlink r:id="rId99" w:history="1">
        <w:r>
          <w:rPr>
            <w:rFonts w:ascii="arial" w:eastAsia="arial" w:hAnsi="arial" w:cs="arial"/>
            <w:i/>
            <w:color w:val="0077CC"/>
            <w:sz w:val="20"/>
            <w:u w:val="single"/>
            <w:shd w:val="clear" w:color="auto" w:fill="FFFFFF"/>
            <w:lang w:val="en-US" w:eastAsia="en-US" w:bidi="ar-SA"/>
          </w:rPr>
          <w:t>[2001] B.C.J. No. 1463</w:t>
        </w:r>
      </w:hyperlink>
      <w:r>
        <w:rPr>
          <w:rFonts w:ascii="arial" w:eastAsia="arial" w:hAnsi="arial" w:cs="arial"/>
          <w:color w:val="000000"/>
          <w:sz w:val="20"/>
          <w:lang w:val="en-US" w:eastAsia="en-US" w:bidi="ar-SA"/>
        </w:rPr>
        <w:t xml:space="preserve">, </w:t>
      </w:r>
      <w:hyperlink r:id="rId100" w:history="1">
        <w:r>
          <w:rPr>
            <w:rFonts w:ascii="arial" w:eastAsia="arial" w:hAnsi="arial" w:cs="arial"/>
            <w:i/>
            <w:color w:val="0077CC"/>
            <w:sz w:val="20"/>
            <w:u w:val="single"/>
            <w:shd w:val="clear" w:color="auto" w:fill="FFFFFF"/>
            <w:lang w:val="en-US" w:eastAsia="en-US" w:bidi="ar-SA"/>
          </w:rPr>
          <w:t>2000 BCSC 1047</w:t>
        </w:r>
      </w:hyperlink>
      <w:r>
        <w:rPr>
          <w:rFonts w:ascii="arial" w:eastAsia="arial" w:hAnsi="arial" w:cs="arial"/>
          <w:color w:val="000000"/>
          <w:sz w:val="20"/>
          <w:lang w:val="en-US" w:eastAsia="en-US" w:bidi="ar-SA"/>
        </w:rPr>
        <w:t xml:space="preserve">, and Coughlin v. Kuntz </w:t>
      </w:r>
      <w:hyperlink r:id="rId101" w:history="1">
        <w:r>
          <w:rPr>
            <w:rFonts w:ascii="arial" w:eastAsia="arial" w:hAnsi="arial" w:cs="arial"/>
            <w:i/>
            <w:color w:val="0077CC"/>
            <w:sz w:val="20"/>
            <w:u w:val="single"/>
            <w:shd w:val="clear" w:color="auto" w:fill="FFFFFF"/>
            <w:lang w:val="en-US" w:eastAsia="en-US" w:bidi="ar-SA"/>
          </w:rPr>
          <w:t>[1987] B.C.J. No. 1869</w:t>
        </w:r>
      </w:hyperlink>
      <w:r>
        <w:rPr>
          <w:rFonts w:ascii="arial" w:eastAsia="arial" w:hAnsi="arial" w:cs="arial"/>
          <w:color w:val="000000"/>
          <w:sz w:val="20"/>
          <w:lang w:val="en-US" w:eastAsia="en-US" w:bidi="ar-SA"/>
        </w:rPr>
        <w:t>, and others.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w:t>
      </w:r>
      <w:r>
        <w:rPr>
          <w:rFonts w:ascii="arial" w:eastAsia="arial" w:hAnsi="arial" w:cs="arial"/>
          <w:color w:val="000000"/>
          <w:sz w:val="20"/>
          <w:lang w:val="en-US" w:eastAsia="en-US" w:bidi="ar-SA"/>
        </w:rPr>
        <w:t>  I am of the opinion that the plaintiffs have not shown that they have a reasonable cause of action as against the Greater Victoria Hospital Society in battery or for failure to obtain Tracy McGlone's informed consent to her treatment. For that reason alone, the application to include the Hospital Society as a defendant in those causes of actions must fail.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w:t>
      </w:r>
      <w:r>
        <w:rPr>
          <w:rFonts w:ascii="arial" w:eastAsia="arial" w:hAnsi="arial" w:cs="arial"/>
          <w:color w:val="000000"/>
          <w:sz w:val="20"/>
          <w:lang w:val="en-US" w:eastAsia="en-US" w:bidi="ar-SA"/>
        </w:rPr>
        <w:t xml:space="preserve">  The amendments, which the plaintiffs seek, are set out in Schedule A to the Notice of Motion dated August 9, 2001. They include some amendments relating to the existing cause of action. The proposed amendments particularize or allege further acts of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against the defendant Society within the present proceeding.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w:t>
      </w:r>
      <w:r>
        <w:rPr>
          <w:rFonts w:ascii="arial" w:eastAsia="arial" w:hAnsi="arial" w:cs="arial"/>
          <w:color w:val="000000"/>
          <w:sz w:val="20"/>
          <w:lang w:val="en-US" w:eastAsia="en-US" w:bidi="ar-SA"/>
        </w:rPr>
        <w:t>  For example, in paragraph 14 of the proposed second further statement of claim, the plaintiffs say:</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 . . the hospital protocols relating to the use of Misoprostal were insufficient.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w:t>
      </w:r>
      <w:r>
        <w:rPr>
          <w:rFonts w:ascii="arial" w:eastAsia="arial" w:hAnsi="arial" w:cs="arial"/>
          <w:color w:val="000000"/>
          <w:sz w:val="20"/>
          <w:lang w:val="en-US" w:eastAsia="en-US" w:bidi="ar-SA"/>
        </w:rPr>
        <w:t>  In 37(k), it is alleged that in breach of its contract, the defendant Society:</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...failed to institute adequate policies with respect to the use of the drug Misoprostal.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w:t>
      </w:r>
      <w:r>
        <w:rPr>
          <w:rFonts w:ascii="arial" w:eastAsia="arial" w:hAnsi="arial" w:cs="arial"/>
          <w:color w:val="000000"/>
          <w:sz w:val="20"/>
          <w:lang w:val="en-US" w:eastAsia="en-US" w:bidi="ar-SA"/>
        </w:rPr>
        <w:t>  I would allow the application to amend to the extent that it particularizes or details the present claims in medical malpractice.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Prejudice to the respondent Dr. Kelly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w:t>
      </w:r>
      <w:r>
        <w:rPr>
          <w:rFonts w:ascii="arial" w:eastAsia="arial" w:hAnsi="arial" w:cs="arial"/>
          <w:color w:val="000000"/>
          <w:sz w:val="20"/>
          <w:lang w:val="en-US" w:eastAsia="en-US" w:bidi="ar-SA"/>
        </w:rPr>
        <w:t xml:space="preserve">  The governing legal principles relating to a claim based in failure to obtain a fully informed consent, were the subject of comment by Sinclair Prowse, J. in Brito (Guardian ad litem of) v. Woolley et al. </w:t>
      </w:r>
      <w:hyperlink r:id="rId102" w:history="1">
        <w:r>
          <w:rPr>
            <w:rFonts w:ascii="arial" w:eastAsia="arial" w:hAnsi="arial" w:cs="arial"/>
            <w:i/>
            <w:color w:val="0077CC"/>
            <w:sz w:val="20"/>
            <w:u w:val="single"/>
            <w:shd w:val="clear" w:color="auto" w:fill="FFFFFF"/>
            <w:lang w:val="en-US" w:eastAsia="en-US" w:bidi="ar-SA"/>
          </w:rPr>
          <w:t>2001 BCSC 1178</w:t>
        </w:r>
      </w:hyperlink>
      <w:r>
        <w:rPr>
          <w:rFonts w:ascii="arial" w:eastAsia="arial" w:hAnsi="arial" w:cs="arial"/>
          <w:color w:val="000000"/>
          <w:sz w:val="20"/>
          <w:lang w:val="en-US" w:eastAsia="en-US" w:bidi="ar-SA"/>
        </w:rPr>
        <w:t xml:space="preserve">, </w:t>
      </w:r>
      <w:hyperlink r:id="rId102" w:history="1">
        <w:r>
          <w:rPr>
            <w:rFonts w:ascii="arial" w:eastAsia="arial" w:hAnsi="arial" w:cs="arial"/>
            <w:i/>
            <w:color w:val="0077CC"/>
            <w:sz w:val="20"/>
            <w:u w:val="single"/>
            <w:shd w:val="clear" w:color="auto" w:fill="FFFFFF"/>
            <w:lang w:val="en-US" w:eastAsia="en-US" w:bidi="ar-SA"/>
          </w:rPr>
          <w:t>[2001] B.C.J. No. 1692</w:t>
        </w:r>
      </w:hyperlink>
      <w:r>
        <w:rPr>
          <w:rFonts w:ascii="arial" w:eastAsia="arial" w:hAnsi="arial" w:cs="arial"/>
          <w:color w:val="000000"/>
          <w:sz w:val="20"/>
          <w:lang w:val="en-US" w:eastAsia="en-US" w:bidi="ar-SA"/>
        </w:rPr>
        <w:t>. In paragraphs 132 to 137, Sinclair Prowse, J. said this: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A patient cannot be taken to have consented to a particular treatment or medical procedure unless he or she has been fully informed as to the material risks of that treatment or procedure, and informed of alternative treatments or procedure, if any: Reibl v Hughes, </w:t>
      </w:r>
      <w:hyperlink r:id="rId97" w:history="1">
        <w:r>
          <w:rPr>
            <w:rFonts w:ascii="arial" w:eastAsia="arial" w:hAnsi="arial" w:cs="arial"/>
            <w:i/>
            <w:color w:val="0077CC"/>
            <w:sz w:val="20"/>
            <w:u w:val="single"/>
            <w:shd w:val="clear" w:color="auto" w:fill="FFFFFF"/>
            <w:lang w:val="en-US" w:eastAsia="en-US" w:bidi="ar-SA"/>
          </w:rPr>
          <w:t>[1980] 2 S.C.R. 880</w:t>
        </w:r>
      </w:hyperlink>
      <w:r>
        <w:rPr>
          <w:rFonts w:ascii="arial" w:eastAsia="arial" w:hAnsi="arial" w:cs="arial"/>
          <w:color w:val="000000"/>
          <w:sz w:val="20"/>
          <w:lang w:val="en-US" w:eastAsia="en-US" w:bidi="ar-SA"/>
        </w:rPr>
        <w:t xml:space="preserve">; Arndt v. Smith, </w:t>
      </w:r>
      <w:hyperlink r:id="rId103" w:history="1">
        <w:r>
          <w:rPr>
            <w:rFonts w:ascii="arial" w:eastAsia="arial" w:hAnsi="arial" w:cs="arial"/>
            <w:i/>
            <w:color w:val="0077CC"/>
            <w:sz w:val="20"/>
            <w:u w:val="single"/>
            <w:shd w:val="clear" w:color="auto" w:fill="FFFFFF"/>
            <w:lang w:val="en-US" w:eastAsia="en-US" w:bidi="ar-SA"/>
          </w:rPr>
          <w:t>[1997] 2 S.C.R. 539</w:t>
        </w:r>
      </w:hyperlink>
      <w:r>
        <w:rPr>
          <w:rFonts w:ascii="arial" w:eastAsia="arial" w:hAnsi="arial" w:cs="arial"/>
          <w:color w:val="000000"/>
          <w:sz w:val="20"/>
          <w:lang w:val="en-US" w:eastAsia="en-US" w:bidi="ar-SA"/>
        </w:rPr>
        <w:t xml:space="preserve">; Hopp v Lepp, </w:t>
      </w:r>
      <w:hyperlink r:id="rId104" w:history="1">
        <w:r>
          <w:rPr>
            <w:rFonts w:ascii="arial" w:eastAsia="arial" w:hAnsi="arial" w:cs="arial"/>
            <w:i/>
            <w:color w:val="0077CC"/>
            <w:sz w:val="20"/>
            <w:u w:val="single"/>
            <w:shd w:val="clear" w:color="auto" w:fill="FFFFFF"/>
            <w:lang w:val="en-US" w:eastAsia="en-US" w:bidi="ar-SA"/>
          </w:rPr>
          <w:t>[1980] 2 S.C.R. 192</w:t>
        </w:r>
      </w:hyperlink>
      <w:r>
        <w:rPr>
          <w:rFonts w:ascii="arial" w:eastAsia="arial" w:hAnsi="arial" w:cs="arial"/>
          <w:color w:val="000000"/>
          <w:sz w:val="20"/>
          <w:lang w:val="en-US" w:eastAsia="en-US" w:bidi="ar-SA"/>
        </w:rPr>
        <w:t xml:space="preserve">; Bauer (Litigation Guardian of) v. Seager, </w:t>
      </w:r>
      <w:hyperlink r:id="rId105" w:history="1">
        <w:r>
          <w:rPr>
            <w:rFonts w:ascii="arial" w:eastAsia="arial" w:hAnsi="arial" w:cs="arial"/>
            <w:i/>
            <w:color w:val="0077CC"/>
            <w:sz w:val="20"/>
            <w:u w:val="single"/>
            <w:shd w:val="clear" w:color="auto" w:fill="FFFFFF"/>
            <w:lang w:val="en-US" w:eastAsia="en-US" w:bidi="ar-SA"/>
          </w:rPr>
          <w:t>[2000] 11 W.W.R. 621</w:t>
        </w:r>
      </w:hyperlink>
      <w:r>
        <w:rPr>
          <w:rFonts w:ascii="arial" w:eastAsia="arial" w:hAnsi="arial" w:cs="arial"/>
          <w:color w:val="000000"/>
          <w:sz w:val="20"/>
          <w:lang w:val="en-US" w:eastAsia="en-US" w:bidi="ar-SA"/>
        </w:rPr>
        <w:t xml:space="preserve">, </w:t>
      </w:r>
      <w:hyperlink r:id="rId105" w:history="1">
        <w:r>
          <w:rPr>
            <w:rFonts w:ascii="arial" w:eastAsia="arial" w:hAnsi="arial" w:cs="arial"/>
            <w:i/>
            <w:color w:val="0077CC"/>
            <w:sz w:val="20"/>
            <w:u w:val="single"/>
            <w:shd w:val="clear" w:color="auto" w:fill="FFFFFF"/>
            <w:lang w:val="en-US" w:eastAsia="en-US" w:bidi="ar-SA"/>
          </w:rPr>
          <w:t>2000 MBQB 113</w:t>
        </w:r>
      </w:hyperlink>
      <w:r>
        <w:rPr>
          <w:rFonts w:ascii="arial" w:eastAsia="arial" w:hAnsi="arial" w:cs="arial"/>
          <w:color w:val="000000"/>
          <w:sz w:val="20"/>
          <w:lang w:val="en-US" w:eastAsia="en-US" w:bidi="ar-SA"/>
        </w:rPr>
        <w:t xml:space="preserve"> (Man. Q.B.); Mangalji (Next Friend of) v. Graham (1997), </w:t>
      </w:r>
      <w:hyperlink r:id="rId106" w:history="1">
        <w:r>
          <w:rPr>
            <w:rFonts w:ascii="arial" w:eastAsia="arial" w:hAnsi="arial" w:cs="arial"/>
            <w:i/>
            <w:color w:val="0077CC"/>
            <w:sz w:val="20"/>
            <w:u w:val="single"/>
            <w:shd w:val="clear" w:color="auto" w:fill="FFFFFF"/>
            <w:lang w:val="en-US" w:eastAsia="en-US" w:bidi="ar-SA"/>
          </w:rPr>
          <w:t>47 Alta. L.R. (3d) 19</w:t>
        </w:r>
      </w:hyperlink>
      <w:r>
        <w:rPr>
          <w:rFonts w:ascii="arial" w:eastAsia="arial" w:hAnsi="arial" w:cs="arial"/>
          <w:color w:val="000000"/>
          <w:sz w:val="20"/>
          <w:lang w:val="en-US" w:eastAsia="en-US" w:bidi="ar-SA"/>
        </w:rPr>
        <w:t xml:space="preserve"> (Q.B.); Rhine v. Millan, </w:t>
      </w:r>
      <w:hyperlink r:id="rId107" w:history="1">
        <w:r>
          <w:rPr>
            <w:rFonts w:ascii="arial" w:eastAsia="arial" w:hAnsi="arial" w:cs="arial"/>
            <w:i/>
            <w:color w:val="0077CC"/>
            <w:sz w:val="20"/>
            <w:u w:val="single"/>
            <w:shd w:val="clear" w:color="auto" w:fill="FFFFFF"/>
            <w:lang w:val="en-US" w:eastAsia="en-US" w:bidi="ar-SA"/>
          </w:rPr>
          <w:t>[2000] 7 W.W.R. 136</w:t>
        </w:r>
      </w:hyperlink>
      <w:r>
        <w:rPr>
          <w:rFonts w:ascii="arial" w:eastAsia="arial" w:hAnsi="arial" w:cs="arial"/>
          <w:color w:val="000000"/>
          <w:sz w:val="20"/>
          <w:lang w:val="en-US" w:eastAsia="en-US" w:bidi="ar-SA"/>
        </w:rPr>
        <w:t xml:space="preserve">, </w:t>
      </w:r>
      <w:hyperlink r:id="rId107" w:history="1">
        <w:r>
          <w:rPr>
            <w:rFonts w:ascii="arial" w:eastAsia="arial" w:hAnsi="arial" w:cs="arial"/>
            <w:i/>
            <w:color w:val="0077CC"/>
            <w:sz w:val="20"/>
            <w:u w:val="single"/>
            <w:shd w:val="clear" w:color="auto" w:fill="FFFFFF"/>
            <w:lang w:val="en-US" w:eastAsia="en-US" w:bidi="ar-SA"/>
          </w:rPr>
          <w:t>2000 ABQB 212</w:t>
        </w:r>
      </w:hyperlink>
      <w:r>
        <w:rPr>
          <w:rFonts w:ascii="arial" w:eastAsia="arial" w:hAnsi="arial" w:cs="arial"/>
          <w:color w:val="000000"/>
          <w:sz w:val="20"/>
          <w:lang w:val="en-US" w:eastAsia="en-US" w:bidi="ar-SA"/>
        </w:rPr>
        <w:t xml:space="preserve"> (Alta. Q.B.). Every physician owes a duty to their patient to independently disclose any special, material, or unusual risks associated with the treatment or procedure being recommended and, in certain circumstances, to disclose alternative treatments reasonably available to the patient.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What constitutes a special, material, or unusual risk will depend on the particular facts of the case. A mere possibility will be included as a material risk if the occurrence of that mere possibility is serious, for example, if it can result in paralysis or death: Reibl v. Hughes, supra; Puranen v. Thomson </w:t>
      </w:r>
      <w:hyperlink r:id="rId108" w:history="1">
        <w:r>
          <w:rPr>
            <w:rFonts w:ascii="arial" w:eastAsia="arial" w:hAnsi="arial" w:cs="arial"/>
            <w:i/>
            <w:color w:val="0077CC"/>
            <w:sz w:val="20"/>
            <w:u w:val="single"/>
            <w:shd w:val="clear" w:color="auto" w:fill="FFFFFF"/>
            <w:lang w:val="en-US" w:eastAsia="en-US" w:bidi="ar-SA"/>
          </w:rPr>
          <w:t>(1987), 46 Man. R. (2d) 55</w:t>
        </w:r>
      </w:hyperlink>
      <w:r>
        <w:rPr>
          <w:rFonts w:ascii="arial" w:eastAsia="arial" w:hAnsi="arial" w:cs="arial"/>
          <w:color w:val="000000"/>
          <w:sz w:val="20"/>
          <w:lang w:val="en-US" w:eastAsia="en-US" w:bidi="ar-SA"/>
        </w:rPr>
        <w:t xml:space="preserve"> (Q.B.). Material risks include those risks which the doctor knows, or ought to know, that a reasonable person in the patient's position would consider in deciding whether to undergo a procedure or treatment: Ciarlariello v. Schacter, </w:t>
      </w:r>
      <w:hyperlink r:id="rId109" w:history="1">
        <w:r>
          <w:rPr>
            <w:rFonts w:ascii="arial" w:eastAsia="arial" w:hAnsi="arial" w:cs="arial"/>
            <w:i/>
            <w:color w:val="0077CC"/>
            <w:sz w:val="20"/>
            <w:u w:val="single"/>
            <w:shd w:val="clear" w:color="auto" w:fill="FFFFFF"/>
            <w:lang w:val="en-US" w:eastAsia="en-US" w:bidi="ar-SA"/>
          </w:rPr>
          <w:t>[1993] 2 S.C.R. 119</w:t>
        </w:r>
      </w:hyperlink>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professional standards of physicians as to whether a risk is material are not in themselves determinative of this issue. Specifically, expert medical evidence as to whether a particular risk should normally be explained to a patient is relevant but not conclusive: Puranen v. Thomson, supra. Rather, this evidence is simply a factor to be considered together with the evidence of the patient and his or her circumstances.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Evidence of a physician's practice in providing information to patients when securing their consent to a treatment or procedure is both admissible and important in deciding whether the physician did so on any particular occasion: E.I. Pichard &amp; G.B. Robertson, Legal Liability of Doctors and Hospitals in Canada, 3d ed. (Scarborough: Carswell 1996) at 157.</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If there was a material risk, and if the physician failed to disclose that risk to the plaintiff, the Court must then determine if the risk materialized and caused the plaintiff's injury; Hopp v. Lepp, supra. If so, the Court must then decide both whether the plaintiff, and whether a reasonable patient in the plaintiff's position, would have foregone the recommended procedure in favour of the alternative treatment: Arndt v. Smith, supra; Riebl v. Hughes, supra</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In determining whether a reasonable patient would have chosen the alternative treatment, the particular circumstances and concerns of the plaintiff must be considered and must be given reasonable weight: Arndt v. Smith, supra; Riebl v. Hughes, supra.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34</w:t>
      </w:r>
      <w:r>
        <w:rPr>
          <w:rFonts w:ascii="arial" w:eastAsia="arial" w:hAnsi="arial" w:cs="arial"/>
          <w:color w:val="000000"/>
          <w:sz w:val="20"/>
          <w:lang w:val="en-US" w:eastAsia="en-US" w:bidi="ar-SA"/>
        </w:rPr>
        <w:t>  Unless it is adjourned, this trial will commence on October 22, 2001. There is no application for adjournment; the parties wish it to be heard.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35</w:t>
      </w:r>
      <w:r>
        <w:rPr>
          <w:rFonts w:ascii="arial" w:eastAsia="arial" w:hAnsi="arial" w:cs="arial"/>
          <w:color w:val="000000"/>
          <w:sz w:val="20"/>
          <w:lang w:val="en-US" w:eastAsia="en-US" w:bidi="ar-SA"/>
        </w:rPr>
        <w:t>  It was submitted that the claims in battery and in lack of informed consent could be tried without adjournment of the trial.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36</w:t>
      </w:r>
      <w:r>
        <w:rPr>
          <w:rFonts w:ascii="arial" w:eastAsia="arial" w:hAnsi="arial" w:cs="arial"/>
          <w:color w:val="000000"/>
          <w:sz w:val="20"/>
          <w:lang w:val="en-US" w:eastAsia="en-US" w:bidi="ar-SA"/>
        </w:rPr>
        <w:t>  I am of the opinion that to do so would be highly prejudicial to the respondent Dr. Kelly. At issue is what ought to have been disclosed to Tracy McGlone. At issue is whether the plaintiff, and a reasonable patient in her position, would have consented to the use of Misoprostal. Expert medical evidence, although not conclusive, is relevant and admissible. The practice of other physicians who were involved in the pilot study may be admissible and of relevance. Evidence as to whether there were any particular reasons for this plaintiff to decline induction by Misoprostal, and whether any other persons in the position of the plaintiff declined to the use of Misoprostal, may be admissible.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37</w:t>
      </w:r>
      <w:r>
        <w:rPr>
          <w:rFonts w:ascii="arial" w:eastAsia="arial" w:hAnsi="arial" w:cs="arial"/>
          <w:color w:val="000000"/>
          <w:sz w:val="20"/>
          <w:lang w:val="en-US" w:eastAsia="en-US" w:bidi="ar-SA"/>
        </w:rPr>
        <w:t>  Although it is true that the plaintiffs warned Dr. Kelly earlier this year that they would apply to amend, they did not apply until August 9, 2001. It is reasonable that Dr. Kelly would not take the steps required to investigate and defend before amendment. Those steps would likely require applications to disclose particulars of events concerning other persons, and the obtaining of expert medical opinions. These could involve applications to deal with the privacy rights of others. I think it unlikely that the claims forming the subject of the proposed amendments could be fully investigated before the date of the trial. In my opinion, allowing the amendments would prejudice Dr. Kelly in his defence.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Conclusion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38</w:t>
      </w:r>
      <w:r>
        <w:rPr>
          <w:rFonts w:ascii="arial" w:eastAsia="arial" w:hAnsi="arial" w:cs="arial"/>
          <w:color w:val="000000"/>
          <w:sz w:val="20"/>
          <w:lang w:val="en-US" w:eastAsia="en-US" w:bidi="ar-SA"/>
        </w:rPr>
        <w:t>  This application is one by the plaintiffs to advance new causes of action.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39</w:t>
      </w:r>
      <w:r>
        <w:rPr>
          <w:rFonts w:ascii="arial" w:eastAsia="arial" w:hAnsi="arial" w:cs="arial"/>
          <w:color w:val="000000"/>
          <w:sz w:val="20"/>
          <w:lang w:val="en-US" w:eastAsia="en-US" w:bidi="ar-SA"/>
        </w:rPr>
        <w:t>  The application is made on the eve of trial.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40</w:t>
      </w:r>
      <w:r>
        <w:rPr>
          <w:rFonts w:ascii="arial" w:eastAsia="arial" w:hAnsi="arial" w:cs="arial"/>
          <w:color w:val="000000"/>
          <w:sz w:val="20"/>
          <w:lang w:val="en-US" w:eastAsia="en-US" w:bidi="ar-SA"/>
        </w:rPr>
        <w:t>  The plaintiffs have not shown that there is a reasonable cause of action as against the defendant Hospital Society.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41</w:t>
      </w:r>
      <w:r>
        <w:rPr>
          <w:rFonts w:ascii="arial" w:eastAsia="arial" w:hAnsi="arial" w:cs="arial"/>
          <w:color w:val="000000"/>
          <w:sz w:val="20"/>
          <w:lang w:val="en-US" w:eastAsia="en-US" w:bidi="ar-SA"/>
        </w:rPr>
        <w:t>  The plaintiffs have not shown that the infant plaintiff has a reasonable cause of action in battery.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42</w:t>
      </w:r>
      <w:r>
        <w:rPr>
          <w:rFonts w:ascii="arial" w:eastAsia="arial" w:hAnsi="arial" w:cs="arial"/>
          <w:color w:val="000000"/>
          <w:sz w:val="20"/>
          <w:lang w:val="en-US" w:eastAsia="en-US" w:bidi="ar-SA"/>
        </w:rPr>
        <w:t xml:space="preserve">  If the claim of lack of informed consent is based on anterior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the infant plaintiff may have a claim for damages based on that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but the evidence on this application did not set out the factual basis on which she may have thereby suffered 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43</w:t>
      </w:r>
      <w:r>
        <w:rPr>
          <w:rFonts w:ascii="arial" w:eastAsia="arial" w:hAnsi="arial" w:cs="arial"/>
          <w:color w:val="000000"/>
          <w:sz w:val="20"/>
          <w:lang w:val="en-US" w:eastAsia="en-US" w:bidi="ar-SA"/>
        </w:rPr>
        <w:t>  The claim of Tracy McGlone is prima facia barred by the Limitation Act.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44</w:t>
      </w:r>
      <w:r>
        <w:rPr>
          <w:rFonts w:ascii="arial" w:eastAsia="arial" w:hAnsi="arial" w:cs="arial"/>
          <w:color w:val="000000"/>
          <w:sz w:val="20"/>
          <w:lang w:val="en-US" w:eastAsia="en-US" w:bidi="ar-SA"/>
        </w:rPr>
        <w:t>  Allowing the amendments would prejudice the defendant, Dr. Kelly, in the defence of the new claims.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45</w:t>
      </w:r>
      <w:r>
        <w:rPr>
          <w:rFonts w:ascii="arial" w:eastAsia="arial" w:hAnsi="arial" w:cs="arial"/>
          <w:color w:val="000000"/>
          <w:sz w:val="20"/>
          <w:lang w:val="en-US" w:eastAsia="en-US" w:bidi="ar-SA"/>
        </w:rPr>
        <w:t>  This proceeding was advanced on the basis of medical malpractice. At the time that it was commenced, the plaintiffs did not advance claims based in battery or lack of informed consent. They could have done so. The existing action includes the allegation that the defendants were negligent in using Misoprostal to induce Taylor Fleming's birth.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46</w:t>
      </w:r>
      <w:r>
        <w:rPr>
          <w:rFonts w:ascii="arial" w:eastAsia="arial" w:hAnsi="arial" w:cs="arial"/>
          <w:color w:val="000000"/>
          <w:sz w:val="20"/>
          <w:lang w:val="en-US" w:eastAsia="en-US" w:bidi="ar-SA"/>
        </w:rPr>
        <w:t>  My opinion is that in all of these circumstances, it is not just and convenient that the proposed amendments be allowed, save as in paragraph 32 above.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47</w:t>
      </w:r>
      <w:r>
        <w:rPr>
          <w:rFonts w:ascii="arial" w:eastAsia="arial" w:hAnsi="arial" w:cs="arial"/>
          <w:color w:val="000000"/>
          <w:sz w:val="20"/>
          <w:lang w:val="en-US" w:eastAsia="en-US" w:bidi="ar-SA"/>
        </w:rPr>
        <w:t>  The plaintiffs are not entitled to costs of this application as costs in the cause. The respondents to this application are entitled to costs as costs in the cause.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SHABBITS J.</w:t>
      </w:r>
    </w:p>
    <w:p>
      <w:pPr>
        <w:spacing w:line="260" w:lineRule="atLeast"/>
        <w:jc w:val="center"/>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 * * *</w:t>
      </w:r>
    </w:p>
    <w:p>
      <w:pPr>
        <w:spacing w:line="260" w:lineRule="atLeast"/>
        <w:jc w:val="center"/>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CORRIGENDUM</w:t>
      </w:r>
    </w:p>
    <w:p>
      <w:pPr>
        <w:spacing w:line="260" w:lineRule="atLeast"/>
        <w:jc w:val="center"/>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Released: October 16, 2001</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[1] This Corrigendum is issued with respect to my reasons for judgment published September 25, 2001.</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[2] There are two typographical errors contained in that decision that I wish to correct.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[3] Paragraph 1 the word "celebral" should be "cerebral".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[4] Paragraph 29 the word "defendant's sanity" should be "defendant Society."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SHABBITS J.</w:t>
      </w:r>
      <w:r>
        <w:rPr>
          <w:rFonts w:ascii="arial" w:eastAsia="arial" w:hAnsi="arial" w:cs="arial"/>
          <w:sz w:val="20"/>
          <w:lang w:val="en-US" w:eastAsia="en-US" w:bidi="ar-SA"/>
        </w:rPr>
        <w:cr/>
      </w:r>
    </w:p>
    <w:p>
      <w:pPr>
        <w:rPr>
          <w:rFonts w:ascii="arial" w:eastAsia="arial" w:hAnsi="arial" w:cs="arial"/>
          <w:sz w:val="20"/>
          <w:lang w:val="en-US" w:eastAsia="en-US" w:bidi="ar-SA"/>
        </w:rPr>
      </w:pPr>
    </w:p>
    <w:p>
      <w:pPr>
        <w:ind w:left="200"/>
        <w:rPr>
          <w:rFonts w:ascii="arial" w:eastAsia="arial" w:hAnsi="arial" w:cs="arial"/>
          <w:sz w:val="20"/>
          <w:lang w:val="en-US" w:eastAsia="en-US" w:bidi="ar-SA"/>
        </w:rPr>
        <w:sectPr>
          <w:type w:val="continuous"/>
          <w:pgMar w:top="840" w:right="1000" w:bottom="840" w:left="1000" w:header="400" w:footer="400"/>
          <w:pgNumType w:fmt="decimal"/>
          <w:cols w:space="720"/>
        </w:sectPr>
      </w:pPr>
      <w:r>
        <w:rPr>
          <w:rFonts w:ascii="arial" w:eastAsia="arial" w:hAnsi="arial" w:cs="arial"/>
          <w:sz w:val="20"/>
          <w:lang w:val="en-US" w:eastAsia="en-US" w:bidi="ar-SA"/>
        </w:rPr>
        <w:br/>
      </w:r>
      <w:r>
        <w:pict>
          <v:line id="_x0000_s1042" style="position:absolute;z-index:251863040" from="0,10pt" to="512pt,10pt" strokecolor="black" strokeweight="1pt">
            <v:stroke linestyle="single"/>
          </v:line>
        </w:pict>
      </w:r>
      <w:r>
        <w:rPr>
          <w:b/>
          <w:color w:val="767676"/>
          <w:sz w:val="16"/>
          <w:lang w:val="en-US" w:eastAsia="en-US" w:bidi="ar-SA"/>
        </w:rPr>
        <w:t>End of Document</w:t>
      </w:r>
    </w:p>
    <w:p>
      <w:pPr>
        <w:rPr>
          <w:rFonts w:ascii="arial" w:eastAsia="arial" w:hAnsi="arial" w:cs="arial"/>
          <w:sz w:val="20"/>
          <w:lang w:val="en-US" w:eastAsia="en-US" w:bidi="ar-SA"/>
        </w:rPr>
        <w:sectPr>
          <w:headerReference w:type="even" r:id="rId110"/>
          <w:headerReference w:type="default" r:id="rId111"/>
          <w:footerReference w:type="even" r:id="rId112"/>
          <w:footerReference w:type="default" r:id="rId113"/>
          <w:headerReference w:type="first" r:id="rId114"/>
          <w:footerReference w:type="first" r:id="rId115"/>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eastAsia="arial" w:hAnsi="Arial" w:cs="Arial"/>
          <w:b/>
          <w:bCs/>
          <w:kern w:val="32"/>
          <w:sz w:val="32"/>
          <w:szCs w:val="32"/>
          <w:lang w:val="en-US" w:eastAsia="en-US" w:bidi="ar-SA"/>
        </w:rPr>
      </w:pPr>
      <w:hyperlink r:id="rId116" w:history="1">
        <w:r>
          <w:rPr>
            <w:rFonts w:ascii="arial" w:eastAsia="arial" w:hAnsi="arial" w:cs="arial"/>
            <w:b/>
            <w:bCs/>
            <w:i/>
            <w:color w:val="0077CC"/>
            <w:kern w:val="32"/>
            <w:sz w:val="28"/>
            <w:szCs w:val="32"/>
            <w:u w:val="single"/>
            <w:shd w:val="clear" w:color="auto" w:fill="FFFFFF"/>
            <w:lang w:val="en-US" w:eastAsia="en-US" w:bidi="ar-SA"/>
          </w:rPr>
          <w:t>Prairie Hydraulic Equipment Ltd. v. Lakes District Maintenance Ltd., [2001] B.C.J. No. 1194</w:t>
        </w:r>
      </w:hyperlink>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Judgments</w:t>
      </w:r>
    </w:p>
    <w:p>
      <w:pPr>
        <w:rPr>
          <w:rFonts w:ascii="arial" w:eastAsia="arial" w:hAnsi="arial" w:cs="arial"/>
          <w:sz w:val="20"/>
          <w:lang w:val="en-US" w:eastAsia="en-US" w:bidi="ar-SA"/>
        </w:rPr>
      </w:pP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Vancouver, British Columbia</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Chamberlist J. (In Chambers)</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Heard: November 27, 2000.</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Judgment: May 31, 2001.</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Vancouver Registry No. 24039</w:t>
      </w:r>
    </w:p>
    <w:p>
      <w:pPr>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r>
        <w:rPr>
          <w:rFonts w:ascii="arial" w:eastAsia="arial" w:hAnsi="arial" w:cs="arial"/>
          <w:b/>
          <w:color w:val="000000"/>
          <w:sz w:val="20"/>
          <w:lang w:val="en-US" w:eastAsia="en-US" w:bidi="ar-SA"/>
        </w:rPr>
        <w:t>[2001] B.C.J. No. 1194</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2001 BCSC 796</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91 B.C.L.R. (3d) 148</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6 C.P.C. (5th) 202</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105 A.C.W.S. (3d) 838</w:t>
      </w:r>
    </w:p>
    <w:p>
      <w:pPr>
        <w:spacing w:before="120" w:line="260" w:lineRule="atLeast"/>
        <w:rPr>
          <w:rFonts w:ascii="arial" w:eastAsia="arial" w:hAnsi="arial" w:cs="arial"/>
          <w:sz w:val="20"/>
          <w:lang w:val="en-US" w:eastAsia="en-US" w:bidi="ar-SA"/>
        </w:rPr>
      </w:pPr>
      <w:r>
        <w:rPr>
          <w:rFonts w:ascii="arial" w:eastAsia="arial" w:hAnsi="arial" w:cs="arial"/>
          <w:color w:val="000000"/>
          <w:sz w:val="20"/>
          <w:lang w:val="en-US" w:eastAsia="en-US" w:bidi="ar-SA"/>
        </w:rPr>
        <w:t>Between Prairie Hydraulic Equipment Ltd., plaintiff, defendant by counterclaim, and Lakes District Maintenance Ltd. and Bulkley Valley Maintenance Ltd., defendants, plaintiffs by counterclaim, and Basic Technologies Corporation, third party to counterclaim, and Everest Equipment Inc. also known as Les Equipments Everest Inc. and Navistar International Corporation Canada, fourth parties at the instance of Basic Technologies Corporation</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(32 paras.)</w:t>
      </w:r>
    </w:p>
    <w:p>
      <w:pPr>
        <w:keepNext/>
        <w:spacing w:before="12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Case Summary</w:t>
      </w:r>
    </w:p>
    <w:p>
      <w:pPr>
        <w:spacing w:line="60" w:lineRule="exact"/>
        <w:rPr>
          <w:rFonts w:ascii="arial" w:eastAsia="arial" w:hAnsi="arial" w:cs="arial"/>
          <w:sz w:val="20"/>
          <w:lang w:val="en-US" w:eastAsia="en-US" w:bidi="ar-SA"/>
        </w:rPr>
      </w:pPr>
      <w:r>
        <w:pict>
          <v:line id="_x0000_s1043" style="position:absolute;z-index:251662336"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bookmarkStart w:id="24" w:name="Keywords_2"/>
      <w:bookmarkEnd w:id="24"/>
      <w:r>
        <w:rPr>
          <w:rFonts w:ascii="arial" w:eastAsia="arial" w:hAnsi="arial" w:cs="arial"/>
          <w:b/>
          <w:color w:val="000000"/>
          <w:sz w:val="20"/>
          <w:lang w:val="en-US" w:eastAsia="en-US" w:bidi="ar-SA"/>
        </w:rPr>
        <w:t>Practice — Parties — Third party procedure — Fourth party notice — When available — Striking out.</w:t>
      </w:r>
    </w:p>
    <w:p>
      <w:pPr>
        <w:rPr>
          <w:rFonts w:ascii="arial" w:eastAsia="arial" w:hAnsi="arial" w:cs="arial"/>
          <w:sz w:val="20"/>
          <w:lang w:val="en-US" w:eastAsia="en-US" w:bidi="ar-SA"/>
        </w:rPr>
      </w:pPr>
    </w:p>
    <w:tbl>
      <w:tblPr>
        <w:tblStyle w:val="TableNormal"/>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
      <w:tblGrid>
        <w:gridCol w:w="10225"/>
      </w:tblGrid>
      <w:tr>
        <w:tblPrEx>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Ex>
        <w:tc>
          <w:tcPr/>
          <w:p>
            <w:pPr>
              <w:rPr>
                <w:rFonts w:ascii="arial" w:eastAsia="arial" w:hAnsi="arial" w:cs="arial"/>
                <w:sz w:val="20"/>
                <w:lang w:val="en-US" w:eastAsia="en-US" w:bidi="ar-SA"/>
              </w:rPr>
            </w:pPr>
            <w:bookmarkStart w:id="25" w:name="Case Summary_2"/>
            <w:bookmarkEnd w:id="25"/>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This was an application by the fourth party, Everest Equipment, for dismissal of the fourth party notice issued against it by the third party, Basic Technologies. Everest argued that there had been a final determination that it was not liable to the plaintiff, Prairie Hydraulic Equipment, as a result of a settlement agreement between Everest and Prairie. It argued that in the absence of such underlying liability, no claim for contribution or indemnity on the part of Basic against Everest could arise in law. Basic submitted that section 4 of the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Act provided it with an independent statutory right to seek contribution and indemnity from Everest if its breach of duty may have contributed to the loss sued on by Prairie. This right existed independently of and was not affected by the settlement agreement entered into between Prairie and Everest. </w:t>
            </w:r>
            <w:r>
              <w:rPr>
                <w:rFonts w:ascii="arial" w:eastAsia="arial" w:hAnsi="arial" w:cs="arial"/>
                <w:sz w:val="20"/>
                <w:lang w:val="en-US" w:eastAsia="en-US" w:bidi="ar-SA"/>
              </w:rPr>
              <w:cr/>
            </w:r>
          </w:p>
          <w:p>
            <w:pPr>
              <w:spacing w:before="120" w:line="260" w:lineRule="atLeast"/>
              <w:ind w:left="240"/>
              <w:jc w:val="both"/>
              <w:rPr>
                <w:rFonts w:ascii="arial" w:eastAsia="arial" w:hAnsi="arial" w:cs="arial"/>
                <w:sz w:val="20"/>
                <w:lang w:val="en-US" w:eastAsia="en-US" w:bidi="ar-SA"/>
              </w:rPr>
            </w:pPr>
            <w:bookmarkStart w:id="26" w:name="Holdings of Court_2"/>
            <w:bookmarkEnd w:id="26"/>
            <w:r>
              <w:rPr>
                <w:rFonts w:ascii="arial" w:eastAsia="arial" w:hAnsi="arial" w:cs="arial"/>
                <w:color w:val="000000"/>
                <w:sz w:val="20"/>
                <w:lang w:val="en-US" w:eastAsia="en-US" w:bidi="ar-SA"/>
              </w:rPr>
              <w:t>HELD: Application dismissed.</w:t>
            </w:r>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Section 4 of the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Act conferred upon Basic an independent right to seek contribution and indemnity from Everest regardless of the fact that Everest entered into a settlement agreement with Prairie by which its direct legal liability to Prairie had been extinguished. The fourth party proceeding was to be continued. </w:t>
            </w:r>
            <w:r>
              <w:rPr>
                <w:rFonts w:ascii="arial" w:eastAsia="arial" w:hAnsi="arial" w:cs="arial"/>
                <w:sz w:val="20"/>
                <w:lang w:val="en-US" w:eastAsia="en-US" w:bidi="ar-SA"/>
              </w:rPr>
              <w:cr/>
            </w:r>
          </w:p>
          <w:p>
            <w:pPr>
              <w:rPr>
                <w:rFonts w:ascii="arial" w:eastAsia="arial" w:hAnsi="arial" w:cs="arial"/>
                <w:sz w:val="20"/>
                <w:lang w:val="en-US" w:eastAsia="en-US" w:bidi="ar-SA"/>
              </w:rPr>
            </w:pPr>
          </w:p>
        </w:tc>
      </w:tr>
    </w:tbl>
    <w:p>
      <w:pPr>
        <w:jc w:val="both"/>
        <w:rPr>
          <w:rFonts w:ascii="arial" w:eastAsia="arial" w:hAnsi="arial" w:cs="arial"/>
          <w:sz w:val="20"/>
          <w:lang w:val="en-US" w:eastAsia="en-US" w:bidi="ar-SA"/>
        </w:rPr>
      </w:pPr>
      <w:bookmarkStart w:id="27" w:name="Legislation Cited_2"/>
      <w:bookmarkEnd w:id="27"/>
      <w:r>
        <w:rPr>
          <w:rFonts w:ascii="arial" w:eastAsia="arial" w:hAnsi="arial" w:cs="arial"/>
          <w:sz w:val="20"/>
          <w:lang w:val="en-US" w:eastAsia="en-US" w:bidi="ar-SA"/>
        </w:rPr>
        <w:br/>
      </w:r>
    </w:p>
    <w:p>
      <w:pPr>
        <w:keepNext/>
        <w:spacing w:before="24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Statutes, Regulations and Rules Cited:</w:t>
      </w:r>
    </w:p>
    <w:p>
      <w:pPr>
        <w:spacing w:line="60" w:lineRule="exact"/>
        <w:rPr>
          <w:rFonts w:ascii="arial" w:eastAsia="arial" w:hAnsi="arial" w:cs="arial"/>
          <w:sz w:val="20"/>
          <w:lang w:val="en-US" w:eastAsia="en-US" w:bidi="ar-SA"/>
        </w:rPr>
      </w:pPr>
      <w:r>
        <w:pict>
          <v:line id="_x0000_s1044" style="position:absolute;z-index:251713536"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 Rules, Rule 18A.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Act, s. 4.</w:t>
      </w:r>
      <w:r>
        <w:rPr>
          <w:rFonts w:ascii="arial" w:eastAsia="arial" w:hAnsi="arial" w:cs="arial"/>
          <w:sz w:val="20"/>
          <w:lang w:val="en-US" w:eastAsia="en-US" w:bidi="ar-SA"/>
        </w:rPr>
        <w:cr/>
      </w:r>
    </w:p>
    <w:p>
      <w:pPr>
        <w:keepNext/>
        <w:spacing w:before="240" w:line="340" w:lineRule="atLeast"/>
        <w:rPr>
          <w:rFonts w:ascii="arial" w:eastAsia="arial" w:hAnsi="arial" w:cs="arial"/>
          <w:sz w:val="20"/>
          <w:lang w:val="en-US" w:eastAsia="en-US" w:bidi="ar-SA"/>
        </w:rPr>
      </w:pPr>
      <w:bookmarkStart w:id="28" w:name="Counsel_3"/>
      <w:bookmarkEnd w:id="28"/>
      <w:r>
        <w:rPr>
          <w:rFonts w:ascii="arial" w:eastAsia="arial" w:hAnsi="arial" w:cs="arial"/>
          <w:b/>
          <w:color w:val="000000"/>
          <w:sz w:val="28"/>
          <w:lang w:val="en-US" w:eastAsia="en-US" w:bidi="ar-SA"/>
        </w:rPr>
        <w:t>Counsel</w:t>
      </w:r>
    </w:p>
    <w:p>
      <w:pPr>
        <w:spacing w:line="60" w:lineRule="exact"/>
        <w:rPr>
          <w:rFonts w:ascii="arial" w:eastAsia="arial" w:hAnsi="arial" w:cs="arial"/>
          <w:sz w:val="20"/>
          <w:lang w:val="en-US" w:eastAsia="en-US" w:bidi="ar-SA"/>
        </w:rPr>
      </w:pPr>
      <w:r>
        <w:pict>
          <v:line id="_x0000_s1045" style="position:absolute;z-index:251764736"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G.A.B. Ferris and M. Vesely, for Everest Equipment Inc. K.M. Guidera, for Basic Technologies Corporation.</w:t>
      </w:r>
      <w:r>
        <w:rPr>
          <w:rFonts w:ascii="arial" w:eastAsia="arial" w:hAnsi="arial" w:cs="arial"/>
          <w:sz w:val="20"/>
          <w:lang w:val="en-US" w:eastAsia="en-US" w:bidi="ar-SA"/>
        </w:rPr>
        <w:cr/>
      </w:r>
    </w:p>
    <w:p>
      <w:pPr>
        <w:spacing w:after="240"/>
        <w:rPr>
          <w:rFonts w:ascii="arial" w:eastAsia="arial" w:hAnsi="arial" w:cs="arial"/>
          <w:sz w:val="20"/>
          <w:lang w:val="en-US" w:eastAsia="en-US" w:bidi="ar-SA"/>
        </w:rPr>
      </w:pPr>
      <w:bookmarkStart w:id="29" w:name="Judgment_3"/>
      <w:bookmarkEnd w:id="29"/>
      <w:r>
        <w:pict>
          <v:line id="_x0000_s1046" style="position:absolute;z-index:251814912" from="0,12pt" to="512pt,12pt" strokecolor="#009ddb" strokeweight="1.5pt">
            <v:stroke linestyle="single"/>
          </v:line>
        </w:pict>
      </w:r>
    </w:p>
    <w:p>
      <w:pPr>
        <w:rPr>
          <w:rFonts w:ascii="arial" w:eastAsia="arial" w:hAnsi="arial" w:cs="arial"/>
          <w:sz w:val="20"/>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2787"/>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rFonts w:ascii="arial" w:eastAsia="arial" w:hAnsi="arial" w:cs="arial"/>
                <w:sz w:val="20"/>
                <w:lang w:val="en-US" w:eastAsia="en-US" w:bidi="ar-SA"/>
              </w:rPr>
            </w:pPr>
            <w:bookmarkStart w:id="30" w:name="CHAMBERLIST J."/>
            <w:bookmarkEnd w:id="30"/>
            <w:r>
              <w:rPr>
                <w:rFonts w:ascii="arial" w:eastAsia="arial" w:hAnsi="arial" w:cs="arial"/>
                <w:b/>
                <w:color w:val="000000"/>
                <w:sz w:val="30"/>
                <w:lang w:val="en-US" w:eastAsia="en-US" w:bidi="ar-SA"/>
              </w:rPr>
              <w:t>CHAMBERLIST J.</w:t>
            </w:r>
          </w:p>
        </w:tc>
      </w:tr>
    </w:tbl>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INTRODUCTION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The applicant, Everest Equipment Inc. ("Everest"), makes application for an order that the fourth party notice issued by Basic Technologies Corporation ("Basic") on April 5, 2000, and amended April 17, 2000 (the "fourth party notice"), be dismissed pursuant to R. 18A of the Rules of Court. The applicant submits that the fourth party notice should be dismissed as there has been a final determination that the applicant is not itself liable to Prairie Hydraulic Equipment Ltd. ("Prairie"), and in the absence of such underlying liability, no claim for contribution or indemnity on the part of Basic against the applicant can arise in law.</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The third party Basic maintains the position that the current law of this Province supports the right of Basic to issue a fourth party notice against the applicant despite the fact that Everest is not directly liable to the plaintiff because of a prior settlement agreement with the plaintiff which has been confirmed as binding in judicial proceedings in British Columbia.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xml:space="preserve">  It submits that foundation for its legal right to issue the fourth party notice against Everest is s. 4 of the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Act, R.S.B.C. 1996. It argues that the governing current B.C. case authorities establish the proposition that s. 4 of the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Act provides a litigant in the position of Basic with an independent statutory right to seek contribution and indemnity from another person whose breach of duty may have contributed to the loss sued on by the plaintiff. It submits that the statutory right to seek contribution and indemnity pursuant to s. 4 of the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Act exists independently of, and cannot be affected by, a settlement agreement entered into between a plaintiff and a proposed third or fourth party except in special circumstances which it says are not present in this case.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xml:space="preserve">  In the alternative, the third party Basic, submits that this court has a discretion to permit the fourth party proceedings to stand for procedural reasons only after balancing the relative convenience of the parties based on B.C. Ferry Corporation v. T&amp;N plc </w:t>
      </w:r>
      <w:hyperlink r:id="rId117" w:history="1">
        <w:r>
          <w:rPr>
            <w:rFonts w:ascii="arial" w:eastAsia="arial" w:hAnsi="arial" w:cs="arial"/>
            <w:i/>
            <w:color w:val="0077CC"/>
            <w:sz w:val="20"/>
            <w:u w:val="single"/>
            <w:shd w:val="clear" w:color="auto" w:fill="FFFFFF"/>
            <w:lang w:val="en-US" w:eastAsia="en-US" w:bidi="ar-SA"/>
          </w:rPr>
          <w:t>(1995), 16 B.C.L.R. (3d) 115</w:t>
        </w:r>
      </w:hyperlink>
      <w:r>
        <w:rPr>
          <w:rFonts w:ascii="arial" w:eastAsia="arial" w:hAnsi="arial" w:cs="arial"/>
          <w:color w:val="000000"/>
          <w:sz w:val="20"/>
          <w:lang w:val="en-US" w:eastAsia="en-US" w:bidi="ar-SA"/>
        </w:rPr>
        <w:t xml:space="preserve"> (C.A.), and Rurka v. JLG Industries Inc. </w:t>
      </w:r>
      <w:hyperlink r:id="rId118" w:history="1">
        <w:r>
          <w:rPr>
            <w:rFonts w:ascii="arial" w:eastAsia="arial" w:hAnsi="arial" w:cs="arial"/>
            <w:i/>
            <w:color w:val="0077CC"/>
            <w:sz w:val="20"/>
            <w:u w:val="single"/>
            <w:shd w:val="clear" w:color="auto" w:fill="FFFFFF"/>
            <w:lang w:val="en-US" w:eastAsia="en-US" w:bidi="ar-SA"/>
          </w:rPr>
          <w:t>(1999), 30 C.P.C. (4th) 34</w:t>
        </w:r>
      </w:hyperlink>
      <w:r>
        <w:rPr>
          <w:rFonts w:ascii="arial" w:eastAsia="arial" w:hAnsi="arial" w:cs="arial"/>
          <w:color w:val="000000"/>
          <w:sz w:val="20"/>
          <w:lang w:val="en-US" w:eastAsia="en-US" w:bidi="ar-SA"/>
        </w:rPr>
        <w:t xml:space="preserve"> (B.C.S.C.).</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BACKGROUND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Everest manufactures, inter alia, components for snow removal equipment including plows, hoppers and hitches. Generally, Everest sells these items to its network of dealers throughout North America who, in turn, install the equipment on a truck chassis and produce a snow removal truck. Everest does not sell its products to the end user of the snow removal truck but rather only to its dealers who themselves enter into contractual relationships with the end users.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The subject matter of this proceeding relates to an order for a product made by the plaintiff Prairie from Everest in late September and early October 1991. Prairie then ordered product from Everest that was to be installed on truck chassis by Prairie for the defendant Lakes District Maintenance Ltd. ("Lakes District") and Bulkley Valley Maintenance Ltd. ("Bulkley Valley"). Everest's supply of the product for this 1991 work proceeded normally and was completed in the fall of 1991. Payment in full for these products were received by Everest without any complaint from Prairie within the time limited for payment. At that time Prairie was not a dealer of Everest's product but shortly thereafter executed a dealer agreement with Everest.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The following year Prairie requested that Everest provide it with a $50,000 credit to their dealer account because Lakes District and Bulkley Valley had withheld payment for the snow removal trucks Prairie had supplied using amongst other items the equipment provided by Everest in 1991.</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In late 1992 Everest supplied Prairie with product for a second job. The product for the second job was supplied normally and without incident however, Prairie unilaterally withheld payment of a further sum of $50,000. Over the next 18 months Everest attempted to collect these amounts from Prairie without success.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Various legal proceedings have been commenced in three separate actions relative to monies alleged to be due to Everest by Prairie and the subject matter of the contracts between Lakes District and Bulkley Valley and Prairie. The following is a chronological summary of the key events in these proceedings to date:</w:t>
      </w:r>
      <w:r>
        <w:rPr>
          <w:rFonts w:ascii="arial" w:eastAsia="arial" w:hAnsi="arial" w:cs="arial"/>
          <w:sz w:val="20"/>
          <w:lang w:val="en-US" w:eastAsia="en-US" w:bidi="ar-SA"/>
        </w:rPr>
        <w:cr/>
      </w:r>
    </w:p>
    <w:p>
      <w:pPr>
        <w:numPr>
          <w:numId w:val="3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June 24, 1992: Prairie commences the present action (No. 24039) in the Prince George Registry against Lakes District and Bulkley Valley;</w:t>
      </w:r>
    </w:p>
    <w:p>
      <w:pPr>
        <w:numPr>
          <w:numId w:val="3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December 7, 1992: Lakes District and Bulkley Valley bring a counterclaim in the present action against Prairie;</w:t>
      </w:r>
    </w:p>
    <w:p>
      <w:pPr>
        <w:numPr>
          <w:numId w:val="3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September 24, 1994: Everest commences action No. 9401-130091 in the Alberta Court of Queen's Bench, Judicial District of Calgary against Prairie (the "Alberta Action");</w:t>
      </w:r>
    </w:p>
    <w:p>
      <w:pPr>
        <w:numPr>
          <w:numId w:val="3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November 16, 1994: Prairie commences action No. 29282 in British Columbia against Everest (the "B.C. Parallel Action");</w:t>
      </w:r>
    </w:p>
    <w:p>
      <w:pPr>
        <w:numPr>
          <w:numId w:val="3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November 24, 1994: Prairie brings a Third Party Notice in the present action against Everest and Basic;</w:t>
      </w:r>
    </w:p>
    <w:p>
      <w:pPr>
        <w:numPr>
          <w:numId w:val="3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November 29, 1994: Prairie brings a counterclaim in the Alberta Action against Everest;</w:t>
      </w:r>
    </w:p>
    <w:p>
      <w:pPr>
        <w:numPr>
          <w:numId w:val="3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May 2, 1995: Prairie and Everest enter into a settlement agreement in the Alberta Action;</w:t>
      </w:r>
    </w:p>
    <w:p>
      <w:pPr>
        <w:numPr>
          <w:numId w:val="3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March 13, 1996: A consent judgment is entered in the Alberta Action;</w:t>
      </w:r>
    </w:p>
    <w:p>
      <w:pPr>
        <w:numPr>
          <w:numId w:val="3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December 16, 1996: Meredith J. allows Everest's application, </w:t>
      </w:r>
      <w:hyperlink r:id="rId119" w:history="1">
        <w:r>
          <w:rPr>
            <w:rFonts w:ascii="arial" w:eastAsia="arial" w:hAnsi="arial" w:cs="arial"/>
            <w:i/>
            <w:color w:val="0077CC"/>
            <w:sz w:val="20"/>
            <w:u w:val="single"/>
            <w:shd w:val="clear" w:color="auto" w:fill="FFFFFF"/>
            <w:lang w:val="en-US" w:eastAsia="en-US" w:bidi="ar-SA"/>
          </w:rPr>
          <w:t>[1996] B.C.J. No. 2710</w:t>
        </w:r>
      </w:hyperlink>
      <w:r>
        <w:rPr>
          <w:rFonts w:ascii="arial" w:eastAsia="arial" w:hAnsi="arial" w:cs="arial"/>
          <w:color w:val="000000"/>
          <w:sz w:val="20"/>
          <w:lang w:val="en-US" w:eastAsia="en-US" w:bidi="ar-SA"/>
        </w:rPr>
        <w:t>, pursuant to Rule 19(24) to set aside the Third Party Notice brought by Prairie in the present action and dismiss the claim in the B.C. Parallel Action as res judicata and an abuse of process;</w:t>
      </w:r>
    </w:p>
    <w:p>
      <w:pPr>
        <w:numPr>
          <w:numId w:val="3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May 12, 1998: The Court of Appeal, </w:t>
      </w:r>
      <w:hyperlink r:id="rId120" w:history="1">
        <w:r>
          <w:rPr>
            <w:rFonts w:ascii="arial" w:eastAsia="arial" w:hAnsi="arial" w:cs="arial"/>
            <w:i/>
            <w:color w:val="0077CC"/>
            <w:sz w:val="20"/>
            <w:u w:val="single"/>
            <w:shd w:val="clear" w:color="auto" w:fill="FFFFFF"/>
            <w:lang w:val="en-US" w:eastAsia="en-US" w:bidi="ar-SA"/>
          </w:rPr>
          <w:t>[1998] B.C.J. No. 1121</w:t>
        </w:r>
      </w:hyperlink>
      <w:r>
        <w:rPr>
          <w:rFonts w:ascii="arial" w:eastAsia="arial" w:hAnsi="arial" w:cs="arial"/>
          <w:color w:val="000000"/>
          <w:sz w:val="20"/>
          <w:lang w:val="en-US" w:eastAsia="en-US" w:bidi="ar-SA"/>
        </w:rPr>
        <w:t>, sets aside the judgment of Meredith J. on the basis that the issue was not appropriate for disposition pursuant to Rule 19(24);</w:t>
      </w:r>
    </w:p>
    <w:p>
      <w:pPr>
        <w:numPr>
          <w:numId w:val="3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August 14, 1998: Chamberlist J. allows Everest's application pursuant to Rule 18A to dismiss the Third Party Notice brought by Prairie in the present action and the claim in the B.C. Parallel Action as res judicata, </w:t>
      </w:r>
      <w:hyperlink r:id="rId121" w:history="1">
        <w:r>
          <w:rPr>
            <w:rFonts w:ascii="arial" w:eastAsia="arial" w:hAnsi="arial" w:cs="arial"/>
            <w:i/>
            <w:color w:val="0077CC"/>
            <w:sz w:val="20"/>
            <w:u w:val="single"/>
            <w:shd w:val="clear" w:color="auto" w:fill="FFFFFF"/>
            <w:lang w:val="en-US" w:eastAsia="en-US" w:bidi="ar-SA"/>
          </w:rPr>
          <w:t>[1998] B.C.J. No. 2035</w:t>
        </w:r>
      </w:hyperlink>
      <w:r>
        <w:rPr>
          <w:rFonts w:ascii="arial" w:eastAsia="arial" w:hAnsi="arial" w:cs="arial"/>
          <w:color w:val="000000"/>
          <w:sz w:val="20"/>
          <w:lang w:val="en-US" w:eastAsia="en-US" w:bidi="ar-SA"/>
        </w:rPr>
        <w:t>;</w:t>
      </w:r>
    </w:p>
    <w:p>
      <w:pPr>
        <w:numPr>
          <w:numId w:val="3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October 8, 1999: The Court of Appeal upholds the decision of Chamberlist J., </w:t>
      </w:r>
      <w:hyperlink r:id="rId122" w:history="1">
        <w:r>
          <w:rPr>
            <w:rFonts w:ascii="arial" w:eastAsia="arial" w:hAnsi="arial" w:cs="arial"/>
            <w:i/>
            <w:color w:val="0077CC"/>
            <w:sz w:val="20"/>
            <w:u w:val="single"/>
            <w:shd w:val="clear" w:color="auto" w:fill="FFFFFF"/>
            <w:lang w:val="en-US" w:eastAsia="en-US" w:bidi="ar-SA"/>
          </w:rPr>
          <w:t>[1999] B.C.J. No. 2402</w:t>
        </w:r>
      </w:hyperlink>
      <w:r>
        <w:rPr>
          <w:rFonts w:ascii="arial" w:eastAsia="arial" w:hAnsi="arial" w:cs="arial"/>
          <w:color w:val="000000"/>
          <w:sz w:val="20"/>
          <w:lang w:val="en-US" w:eastAsia="en-US" w:bidi="ar-SA"/>
        </w:rPr>
        <w:t>;</w:t>
      </w:r>
    </w:p>
    <w:p>
      <w:pPr>
        <w:numPr>
          <w:numId w:val="3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April 5, 2000: Basic brings a Fourth Party Notice in the present action against Everest; and</w:t>
      </w:r>
    </w:p>
    <w:p>
      <w:pPr>
        <w:numPr>
          <w:numId w:val="3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July 24, 2000: Nine years after the events giving rise to the ligitation [sic], Everest brings the application currently before this Honourable Court to dismiss the Fourth Party Notice pursuant to Rule 18A.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DISCUSSION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xml:space="preserve">  Everest maintains that the fourth party proceedings against it cannot stand because it itself has been found in previous proceedings to not be liable to the plaintiff Prairie. It submits that it is well settled that a claim for contribution or indemnity can succeed only if the party for whom contribution or indemnity is sought is also itself liable to the plaintiff or other party bringing the underlying claim. Everest relies heavily on the decision of McLachlin J. (as she then was) in Westcoast Transmission Company Ltd. v. Interprovincial Steel and Pipe Corporation Ltd. et al </w:t>
      </w:r>
      <w:hyperlink r:id="rId123" w:history="1">
        <w:r>
          <w:rPr>
            <w:rFonts w:ascii="arial" w:eastAsia="arial" w:hAnsi="arial" w:cs="arial"/>
            <w:i/>
            <w:color w:val="0077CC"/>
            <w:sz w:val="20"/>
            <w:u w:val="single"/>
            <w:shd w:val="clear" w:color="auto" w:fill="FFFFFF"/>
            <w:lang w:val="en-US" w:eastAsia="en-US" w:bidi="ar-SA"/>
          </w:rPr>
          <w:t>(1985), 60 B.C.L.R. 368</w:t>
        </w:r>
      </w:hyperlink>
      <w:r>
        <w:rPr>
          <w:rFonts w:ascii="arial" w:eastAsia="arial" w:hAnsi="arial" w:cs="arial"/>
          <w:color w:val="000000"/>
          <w:sz w:val="20"/>
          <w:lang w:val="en-US" w:eastAsia="en-US" w:bidi="ar-SA"/>
        </w:rPr>
        <w:t xml:space="preserve"> (S.C.). There, McLachlin J. allowed an application to set aside a third party notice which claimed contribution and indemnity, brought by one defendant (IPSCO) against a co-defendant (Hanson) who had settled its action with the plaintiff (Westcoast). In doing so, her Ladyship held that, despite the joint and several liability imposed by s. 4 of the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Act, no successful claim for contribution or indemnity by IPSCO against Hanson could arise in the circumstances. At pp. 372-73, she said this: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 . . I arrive at the conclusion that s. 4 cannot, in the circumstances of this case, give rise to a claim for contribution or indemnity by Ipsco against Hanson. The right of Ipsco to claim indemnity against Hanson could only arise upon Westcoast recovering against Ipsco for the whole amount of the loss, including that attributable to Hanson. But this scenario is impossible. Westcoast is therefore debarred from recovering any amount on account of Hanson's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or breach of contract. That being the case, Ipsco could not be required to pay to Westcoast any portion of a judgment recovered which may be attributable to Hanson's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Unless it pays moneys out on account of Hanson's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or breach of contract, Ipsco has no claim to be indemnified by Hanson. Accordingly, there is no possibility with successful claim for contribution or indemnity by Ipsco against Hanson under s. 4 of the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xml:space="preserve">  That decision was applied by Rowles J. (as she then was) in Sylte v. Jackson Brothers Logging Co. Ltd. </w:t>
      </w:r>
      <w:hyperlink r:id="rId124" w:history="1">
        <w:r>
          <w:rPr>
            <w:rFonts w:ascii="arial" w:eastAsia="arial" w:hAnsi="arial" w:cs="arial"/>
            <w:i/>
            <w:color w:val="0077CC"/>
            <w:sz w:val="20"/>
            <w:u w:val="single"/>
            <w:shd w:val="clear" w:color="auto" w:fill="FFFFFF"/>
            <w:lang w:val="en-US" w:eastAsia="en-US" w:bidi="ar-SA"/>
          </w:rPr>
          <w:t>(1988), 27 B.C.L.R. (2d) 357</w:t>
        </w:r>
      </w:hyperlink>
      <w:r>
        <w:rPr>
          <w:rFonts w:ascii="arial" w:eastAsia="arial" w:hAnsi="arial" w:cs="arial"/>
          <w:color w:val="000000"/>
          <w:sz w:val="20"/>
          <w:lang w:val="en-US" w:eastAsia="en-US" w:bidi="ar-SA"/>
        </w:rPr>
        <w:t xml:space="preserve"> (S.C.), where her Ladyship held that insofar as the third party notice alleged on the part of the crown a failure to meet its duty of care to the plaintiffs, it was not open to the co-defendant to seek contribution or indemnity from the crown because the plaintiffs had extinguished the crown's liability to them.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xml:space="preserve">  Westcoast and Sylte, supra, were followed by Macdonell J. in Krusel v. Firth </w:t>
      </w:r>
      <w:hyperlink r:id="rId125" w:history="1">
        <w:r>
          <w:rPr>
            <w:rFonts w:ascii="arial" w:eastAsia="arial" w:hAnsi="arial" w:cs="arial"/>
            <w:i/>
            <w:color w:val="0077CC"/>
            <w:sz w:val="20"/>
            <w:u w:val="single"/>
            <w:shd w:val="clear" w:color="auto" w:fill="FFFFFF"/>
            <w:lang w:val="en-US" w:eastAsia="en-US" w:bidi="ar-SA"/>
          </w:rPr>
          <w:t>(1991), 54 B.C.L.R. (2d) 392</w:t>
        </w:r>
      </w:hyperlink>
      <w:r>
        <w:rPr>
          <w:rFonts w:ascii="arial" w:eastAsia="arial" w:hAnsi="arial" w:cs="arial"/>
          <w:color w:val="000000"/>
          <w:sz w:val="20"/>
          <w:lang w:val="en-US" w:eastAsia="en-US" w:bidi="ar-SA"/>
        </w:rPr>
        <w:t xml:space="preserve"> (S.C.), where his Lordship set aside a third party notice on the basis that a claim for contribution or indemnity could only succeed if the party from whom contribution or indemnity was sought was also itself liable to the plaintiff.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xml:space="preserve">  These three decisions have been subsequently followed in other decisions of this court, including Ridley Terminals Inc. v. Mitsubishi Canada Ltd. </w:t>
      </w:r>
      <w:hyperlink r:id="rId126" w:history="1">
        <w:r>
          <w:rPr>
            <w:rFonts w:ascii="arial" w:eastAsia="arial" w:hAnsi="arial" w:cs="arial"/>
            <w:i/>
            <w:color w:val="0077CC"/>
            <w:sz w:val="20"/>
            <w:u w:val="single"/>
            <w:shd w:val="clear" w:color="auto" w:fill="FFFFFF"/>
            <w:lang w:val="en-US" w:eastAsia="en-US" w:bidi="ar-SA"/>
          </w:rPr>
          <w:t>(1993), 16 C.L.R. (2d) 86</w:t>
        </w:r>
      </w:hyperlink>
      <w:r>
        <w:rPr>
          <w:rFonts w:ascii="arial" w:eastAsia="arial" w:hAnsi="arial" w:cs="arial"/>
          <w:color w:val="000000"/>
          <w:sz w:val="20"/>
          <w:lang w:val="en-US" w:eastAsia="en-US" w:bidi="ar-SA"/>
        </w:rPr>
        <w:t xml:space="preserve"> (B.C.S.C.); British Columbia v. R.B.O. Architecture Inc. </w:t>
      </w:r>
      <w:hyperlink r:id="rId127" w:history="1">
        <w:r>
          <w:rPr>
            <w:rFonts w:ascii="arial" w:eastAsia="arial" w:hAnsi="arial" w:cs="arial"/>
            <w:i/>
            <w:color w:val="0077CC"/>
            <w:sz w:val="20"/>
            <w:u w:val="single"/>
            <w:shd w:val="clear" w:color="auto" w:fill="FFFFFF"/>
            <w:lang w:val="en-US" w:eastAsia="en-US" w:bidi="ar-SA"/>
          </w:rPr>
          <w:t>(1996), 27 C.L.R. (2d) 26</w:t>
        </w:r>
      </w:hyperlink>
      <w:r>
        <w:rPr>
          <w:rFonts w:ascii="arial" w:eastAsia="arial" w:hAnsi="arial" w:cs="arial"/>
          <w:color w:val="000000"/>
          <w:sz w:val="20"/>
          <w:lang w:val="en-US" w:eastAsia="en-US" w:bidi="ar-SA"/>
        </w:rPr>
        <w:t xml:space="preserve"> (B.C.S.C.), and Mueck v. Overhill </w:t>
      </w:r>
      <w:hyperlink r:id="rId128" w:history="1">
        <w:r>
          <w:rPr>
            <w:rFonts w:ascii="arial" w:eastAsia="arial" w:hAnsi="arial" w:cs="arial"/>
            <w:i/>
            <w:color w:val="0077CC"/>
            <w:sz w:val="20"/>
            <w:u w:val="single"/>
            <w:shd w:val="clear" w:color="auto" w:fill="FFFFFF"/>
            <w:lang w:val="en-US" w:eastAsia="en-US" w:bidi="ar-SA"/>
          </w:rPr>
          <w:t>(1997), 42 B.C.L.R. (3d) 162</w:t>
        </w:r>
      </w:hyperlink>
      <w:r>
        <w:rPr>
          <w:rFonts w:ascii="arial" w:eastAsia="arial" w:hAnsi="arial" w:cs="arial"/>
          <w:color w:val="000000"/>
          <w:sz w:val="20"/>
          <w:lang w:val="en-US" w:eastAsia="en-US" w:bidi="ar-SA"/>
        </w:rPr>
        <w:t xml:space="preserve"> (S.C.).</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xml:space="preserve">  These three latter cases however do not contain reference to the decision of Tucker v. Asleson </w:t>
      </w:r>
      <w:hyperlink r:id="rId129" w:history="1">
        <w:r>
          <w:rPr>
            <w:rFonts w:ascii="arial" w:eastAsia="arial" w:hAnsi="arial" w:cs="arial"/>
            <w:i/>
            <w:color w:val="0077CC"/>
            <w:sz w:val="20"/>
            <w:u w:val="single"/>
            <w:shd w:val="clear" w:color="auto" w:fill="FFFFFF"/>
            <w:lang w:val="en-US" w:eastAsia="en-US" w:bidi="ar-SA"/>
          </w:rPr>
          <w:t>(1993), 78 B.C.L.R. (2d) 173</w:t>
        </w:r>
      </w:hyperlink>
      <w:r>
        <w:rPr>
          <w:rFonts w:ascii="arial" w:eastAsia="arial" w:hAnsi="arial" w:cs="arial"/>
          <w:color w:val="000000"/>
          <w:sz w:val="20"/>
          <w:lang w:val="en-US" w:eastAsia="en-US" w:bidi="ar-SA"/>
        </w:rPr>
        <w:t xml:space="preserve"> (C.A.), nor does it appear any reference is made to that decision. Having reviewed the Court of Appeal decision in Tucker, supra, I have concluded that it is helpful to deal with the trial level decision of Finch J. reported in Tucker v. Asleson </w:t>
      </w:r>
      <w:hyperlink r:id="rId130" w:history="1">
        <w:r>
          <w:rPr>
            <w:rFonts w:ascii="arial" w:eastAsia="arial" w:hAnsi="arial" w:cs="arial"/>
            <w:i/>
            <w:color w:val="0077CC"/>
            <w:sz w:val="20"/>
            <w:u w:val="single"/>
            <w:shd w:val="clear" w:color="auto" w:fill="FFFFFF"/>
            <w:lang w:val="en-US" w:eastAsia="en-US" w:bidi="ar-SA"/>
          </w:rPr>
          <w:t>(1991), 7 C.C.L.I. (2d) 217</w:t>
        </w:r>
      </w:hyperlink>
      <w:r>
        <w:rPr>
          <w:rFonts w:ascii="arial" w:eastAsia="arial" w:hAnsi="arial" w:cs="arial"/>
          <w:color w:val="000000"/>
          <w:sz w:val="20"/>
          <w:lang w:val="en-US" w:eastAsia="en-US" w:bidi="ar-SA"/>
        </w:rPr>
        <w:t xml:space="preserve"> (B.C.S.C.).</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w:t>
      </w:r>
      <w:r>
        <w:rPr>
          <w:rFonts w:ascii="arial" w:eastAsia="arial" w:hAnsi="arial" w:cs="arial"/>
          <w:color w:val="000000"/>
          <w:sz w:val="20"/>
          <w:lang w:val="en-US" w:eastAsia="en-US" w:bidi="ar-SA"/>
        </w:rPr>
        <w:t xml:space="preserve">  In Tucker, the infant plaintiff had been injured in a motor vehicle accident when the pickup truck driven by her mother collided with a tractor trailer on an icy stretch of highway. The infant plaintiff sued, in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both her mother and the Provincial Crown, who had contracted highway maintenance in the area to a private company. The plaintiff settled with her mother's insurer prior to trial. Finch J. (as he then was), explicitly refused to follow Westcoast Transmission, supra, Sylte, supra, or Krusel, supra. His Lordship found that s. 4 of the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Act of B.C. created an independent statutory right on the part of the defendant who wishes to assert that a loss claimed against him by a plaintiff was wholly or partly caused by the "fault" of others to seek contribution and indemnity from those others, regardless of whether those others have entered into settlement agreements extinguishing their liability to the plaintiff. At para. 138, p. 261, of the trial level decision, Finch J. said this: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I respectfully disagree with the Westcoast line of cases. If I were bound to follow them on principle of judicial comity (see Re: Hansard Spruce Mills Ltd., </w:t>
      </w:r>
      <w:hyperlink r:id="rId131" w:history="1">
        <w:r>
          <w:rPr>
            <w:rFonts w:ascii="arial" w:eastAsia="arial" w:hAnsi="arial" w:cs="arial"/>
            <w:i/>
            <w:color w:val="0077CC"/>
            <w:sz w:val="20"/>
            <w:u w:val="single"/>
            <w:shd w:val="clear" w:color="auto" w:fill="FFFFFF"/>
            <w:lang w:val="en-US" w:eastAsia="en-US" w:bidi="ar-SA"/>
          </w:rPr>
          <w:t>[1954] 4 D.L.R. 590</w:t>
        </w:r>
      </w:hyperlink>
      <w:r>
        <w:rPr>
          <w:rFonts w:ascii="arial" w:eastAsia="arial" w:hAnsi="arial" w:cs="arial"/>
          <w:color w:val="000000"/>
          <w:sz w:val="20"/>
          <w:lang w:val="en-US" w:eastAsia="en-US" w:bidi="ar-SA"/>
        </w:rPr>
        <w:t xml:space="preserve"> (B.C.S.C.)) I would do so only with the greatest of reluctance.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w:t>
      </w:r>
      <w:r>
        <w:rPr>
          <w:rFonts w:ascii="arial" w:eastAsia="arial" w:hAnsi="arial" w:cs="arial"/>
          <w:color w:val="000000"/>
          <w:sz w:val="20"/>
          <w:lang w:val="en-US" w:eastAsia="en-US" w:bidi="ar-SA"/>
        </w:rPr>
        <w:t>  His Lordship then proceeded to extensively canvass various decisions of the Supreme Court of Canada, of the British Columbia Court of Appeal and of this court, which were inconsistent with the reasoning and outcome of the "Westcoast line of cases". The rationale behind those cases led Finch J. to the conclusion that the principles of judicial comity did not oblige him to apply the Westcoast line of cases.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w:t>
      </w:r>
      <w:r>
        <w:rPr>
          <w:rFonts w:ascii="arial" w:eastAsia="arial" w:hAnsi="arial" w:cs="arial"/>
          <w:color w:val="000000"/>
          <w:sz w:val="20"/>
          <w:lang w:val="en-US" w:eastAsia="en-US" w:bidi="ar-SA"/>
        </w:rPr>
        <w:t xml:space="preserve">  The first basis of Finch J.'s decision not to follow the Westcoast line of cases was the ruling of the Supreme Court of Canada in County of Parkland v. Stetar </w:t>
      </w:r>
      <w:hyperlink r:id="rId132" w:history="1">
        <w:r>
          <w:rPr>
            <w:rFonts w:ascii="arial" w:eastAsia="arial" w:hAnsi="arial" w:cs="arial"/>
            <w:i/>
            <w:color w:val="0077CC"/>
            <w:sz w:val="20"/>
            <w:u w:val="single"/>
            <w:shd w:val="clear" w:color="auto" w:fill="FFFFFF"/>
            <w:lang w:val="en-US" w:eastAsia="en-US" w:bidi="ar-SA"/>
          </w:rPr>
          <w:t>(1975), 50 D.L.R. (3d) 376</w:t>
        </w:r>
      </w:hyperlink>
      <w:r>
        <w:rPr>
          <w:rFonts w:ascii="arial" w:eastAsia="arial" w:hAnsi="arial" w:cs="arial"/>
          <w:color w:val="000000"/>
          <w:sz w:val="20"/>
          <w:lang w:val="en-US" w:eastAsia="en-US" w:bidi="ar-SA"/>
        </w:rPr>
        <w:t xml:space="preserve"> (S.C.C.) in which a provision in the Alberta equivalent of the B.C.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Act was interpreted to impose full liability upon one of a plurality of potential defendants to pay 100% of a plaintiff's claim, notwithstanding the fact that the expiry of a limitation period against another person alleged to share responsibility for the plaintiff's loss meant that that other person was not directly liable to the plaintiff. This of course is inconsistent with the reasoning in Westcoast and the cases that followed it.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w:t>
      </w:r>
      <w:r>
        <w:rPr>
          <w:rFonts w:ascii="arial" w:eastAsia="arial" w:hAnsi="arial" w:cs="arial"/>
          <w:color w:val="000000"/>
          <w:sz w:val="20"/>
          <w:lang w:val="en-US" w:eastAsia="en-US" w:bidi="ar-SA"/>
        </w:rPr>
        <w:t xml:space="preserve">  The second principle basis of his Lordship's decision not to follow Westcoast is a group of decisions of our Court of Appeal containing reasoning which was fundamentally inconsistent with the reasoning in Westcoast including Reekie v. Messervey </w:t>
      </w:r>
      <w:hyperlink r:id="rId133" w:history="1">
        <w:r>
          <w:rPr>
            <w:rFonts w:ascii="arial" w:eastAsia="arial" w:hAnsi="arial" w:cs="arial"/>
            <w:i/>
            <w:color w:val="0077CC"/>
            <w:sz w:val="20"/>
            <w:u w:val="single"/>
            <w:shd w:val="clear" w:color="auto" w:fill="FFFFFF"/>
            <w:lang w:val="en-US" w:eastAsia="en-US" w:bidi="ar-SA"/>
          </w:rPr>
          <w:t>(1989), 36 B.C.L.R. (2d) 316</w:t>
        </w:r>
      </w:hyperlink>
      <w:r>
        <w:rPr>
          <w:rFonts w:ascii="arial" w:eastAsia="arial" w:hAnsi="arial" w:cs="arial"/>
          <w:color w:val="000000"/>
          <w:sz w:val="20"/>
          <w:lang w:val="en-US" w:eastAsia="en-US" w:bidi="ar-SA"/>
        </w:rPr>
        <w:t xml:space="preserve"> (C.A.) and Hong Kong Bank of Canada v. Touche Ross &amp; Co. </w:t>
      </w:r>
      <w:hyperlink r:id="rId134" w:history="1">
        <w:r>
          <w:rPr>
            <w:rFonts w:ascii="arial" w:eastAsia="arial" w:hAnsi="arial" w:cs="arial"/>
            <w:i/>
            <w:color w:val="0077CC"/>
            <w:sz w:val="20"/>
            <w:u w:val="single"/>
            <w:shd w:val="clear" w:color="auto" w:fill="FFFFFF"/>
            <w:lang w:val="en-US" w:eastAsia="en-US" w:bidi="ar-SA"/>
          </w:rPr>
          <w:t>(1989), 74 C.B.R. (N.S.) 164</w:t>
        </w:r>
      </w:hyperlink>
      <w:r>
        <w:rPr>
          <w:rFonts w:ascii="arial" w:eastAsia="arial" w:hAnsi="arial" w:cs="arial"/>
          <w:color w:val="000000"/>
          <w:sz w:val="20"/>
          <w:lang w:val="en-US" w:eastAsia="en-US" w:bidi="ar-SA"/>
        </w:rPr>
        <w:t xml:space="preserve"> (B.C.C.A.). His Lordship also referred to the unreported trial decision of Hardinge L.J.S.C. in Boyton Holdings Ltd. v. A Firm of Lawyers, </w:t>
      </w:r>
      <w:hyperlink r:id="rId135" w:history="1">
        <w:r>
          <w:rPr>
            <w:rFonts w:ascii="arial" w:eastAsia="arial" w:hAnsi="arial" w:cs="arial"/>
            <w:i/>
            <w:color w:val="0077CC"/>
            <w:sz w:val="20"/>
            <w:u w:val="single"/>
            <w:shd w:val="clear" w:color="auto" w:fill="FFFFFF"/>
            <w:lang w:val="en-US" w:eastAsia="en-US" w:bidi="ar-SA"/>
          </w:rPr>
          <w:t>[1988] B.C.J. No. 1664</w:t>
        </w:r>
      </w:hyperlink>
      <w:r>
        <w:rPr>
          <w:rFonts w:ascii="arial" w:eastAsia="arial" w:hAnsi="arial" w:cs="arial"/>
          <w:color w:val="000000"/>
          <w:sz w:val="20"/>
          <w:lang w:val="en-US" w:eastAsia="en-US" w:bidi="ar-SA"/>
        </w:rPr>
        <w:t>, April 12, 1988, (B.C.S.C.), wherein Hardinge J. also doubted the authority of Westcoast because the reasoning was inconsistent with prior decisions of the Supreme Court of Canada.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w:t>
      </w:r>
      <w:r>
        <w:rPr>
          <w:rFonts w:ascii="arial" w:eastAsia="arial" w:hAnsi="arial" w:cs="arial"/>
          <w:color w:val="000000"/>
          <w:sz w:val="20"/>
          <w:lang w:val="en-US" w:eastAsia="en-US" w:bidi="ar-SA"/>
        </w:rPr>
        <w:t>  It is to be noted that in his analysis at trial level, Finch J. took care to distinguish situations involving the voluntary settlement of a disputed claim from situations where the proposed third party's liability to the plaintiff was extinguished by a trial on the merits in which the factual allegations supporting a third or fourth party's liability for contributing to the loss sued on by the plaintiff had been finally and conclusively determined on the merits, favourably to the proposed third or fourth party.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w:t>
      </w:r>
      <w:r>
        <w:rPr>
          <w:rFonts w:ascii="arial" w:eastAsia="arial" w:hAnsi="arial" w:cs="arial"/>
          <w:color w:val="000000"/>
          <w:sz w:val="20"/>
          <w:lang w:val="en-US" w:eastAsia="en-US" w:bidi="ar-SA"/>
        </w:rPr>
        <w:t xml:space="preserve">  While Finch J.'s findings in relation to the division of liability between defendants were varied by the Court of Appeal, his analysis and decision with respect to s. 4 of the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Act was upheld. In written reasons by Southin J.A., concurred in with by Proudfoot J.A., Southin J.A. expressly approved of Finch J.'s reasoning and conclusions. At p. 219, Southin J.A., speaking for the court, said: </w:t>
      </w:r>
      <w:hyperlink r:id="rId129" w:history="1">
        <w:r>
          <w:rPr>
            <w:rFonts w:ascii="arial" w:eastAsia="arial" w:hAnsi="arial" w:cs="arial"/>
            <w:i/>
            <w:color w:val="0077CC"/>
            <w:sz w:val="20"/>
            <w:u w:val="single"/>
            <w:shd w:val="clear" w:color="auto" w:fill="FFFFFF"/>
            <w:lang w:val="en-US" w:eastAsia="en-US" w:bidi="ar-SA"/>
          </w:rPr>
          <w:t>[1993] B.C.J. No. 837</w:t>
        </w:r>
      </w:hyperlink>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It is unnecessary for me to consider whether the Westcoast Transmission case was rightly decided, for it was a case in which there were two parties with separate contractual duties and this case is about parties whose duties sound only in tort. It does, however follow from this decision that, to the extent that any of the judgments referred to by the learned trial judge in his reasons for judgment say that there is no independent right created by s. 4 of the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Act, those judgments were wrongly decided.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w:t>
      </w:r>
      <w:r>
        <w:rPr>
          <w:rFonts w:ascii="arial" w:eastAsia="arial" w:hAnsi="arial" w:cs="arial"/>
          <w:color w:val="000000"/>
          <w:sz w:val="20"/>
          <w:lang w:val="en-US" w:eastAsia="en-US" w:bidi="ar-SA"/>
        </w:rPr>
        <w:t xml:space="preserve">  It appears that the decision of the Court of Appeal in Tucker v. Asleson has never been questioned or overruled on the relevant proposition that it stands for and thus represents the current law of British Columbia although a five member panel of the Court of Appeal in Aiken v. Van Dyk, </w:t>
      </w:r>
      <w:hyperlink r:id="rId136" w:history="1">
        <w:r>
          <w:rPr>
            <w:rFonts w:ascii="arial" w:eastAsia="arial" w:hAnsi="arial" w:cs="arial"/>
            <w:i/>
            <w:color w:val="0077CC"/>
            <w:sz w:val="20"/>
            <w:u w:val="single"/>
            <w:shd w:val="clear" w:color="auto" w:fill="FFFFFF"/>
            <w:lang w:val="en-US" w:eastAsia="en-US" w:bidi="ar-SA"/>
          </w:rPr>
          <w:t>[1999] B.C.J. No. 1255</w:t>
        </w:r>
      </w:hyperlink>
      <w:r>
        <w:rPr>
          <w:rFonts w:ascii="arial" w:eastAsia="arial" w:hAnsi="arial" w:cs="arial"/>
          <w:color w:val="000000"/>
          <w:sz w:val="20"/>
          <w:lang w:val="en-US" w:eastAsia="en-US" w:bidi="ar-SA"/>
        </w:rPr>
        <w:t xml:space="preserve"> (B.C.C.A.), did recently refuse to follow Southin J.A.'s decision in Tucker v. Asleson but only on the issue of the scope of appellate review of a trial judge's findings of fact.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w:t>
      </w:r>
      <w:r>
        <w:rPr>
          <w:rFonts w:ascii="arial" w:eastAsia="arial" w:hAnsi="arial" w:cs="arial"/>
          <w:color w:val="000000"/>
          <w:sz w:val="20"/>
          <w:lang w:val="en-US" w:eastAsia="en-US" w:bidi="ar-SA"/>
        </w:rPr>
        <w:t>  It thus appears that Tucker v. Asleson represents the current law on this issue. I say this notwithstanding a more recent decision of our Court of Appeal in B.C. Ferry Corp. v. T&amp;N plc, supra. However, a careful reading of that decision and the underlying facts shows it to be one of the exceptions referred to by Finch J. in the trial level decision of Tucker v. Asleson. At p. 260, para. 137, his Lordship said: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Moreover, a party in jeopardy of paying twice has a means of protecting himself. In making a settlement with the plaintiff, a party could stipulate for a covenant from the plaintiff to indemnify him, to the extent of his payment, against any third party claims made by joint tortfeasors against him for contribution and indemnity. . . .</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w:t>
      </w:r>
      <w:r>
        <w:rPr>
          <w:rFonts w:ascii="arial" w:eastAsia="arial" w:hAnsi="arial" w:cs="arial"/>
          <w:color w:val="000000"/>
          <w:sz w:val="20"/>
          <w:lang w:val="en-US" w:eastAsia="en-US" w:bidi="ar-SA"/>
        </w:rPr>
        <w:t>  This is what occurred on the facts of B.C. Ferry Corp., supra, and explains the reason why the settlement agreement under consideration in that case had the affect it did.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w:t>
      </w:r>
      <w:r>
        <w:rPr>
          <w:rFonts w:ascii="arial" w:eastAsia="arial" w:hAnsi="arial" w:cs="arial"/>
          <w:color w:val="000000"/>
          <w:sz w:val="20"/>
          <w:lang w:val="en-US" w:eastAsia="en-US" w:bidi="ar-SA"/>
        </w:rPr>
        <w:t xml:space="preserve">  A similar result was found in the recent unreported decision of Williamson J. in T.W.N.A. v. Canada, </w:t>
      </w:r>
      <w:hyperlink r:id="rId137" w:history="1">
        <w:r>
          <w:rPr>
            <w:rFonts w:ascii="arial" w:eastAsia="arial" w:hAnsi="arial" w:cs="arial"/>
            <w:i/>
            <w:color w:val="0077CC"/>
            <w:sz w:val="20"/>
            <w:u w:val="single"/>
            <w:shd w:val="clear" w:color="auto" w:fill="FFFFFF"/>
            <w:lang w:val="en-US" w:eastAsia="en-US" w:bidi="ar-SA"/>
          </w:rPr>
          <w:t>[1999] B.C.J. No. 2585</w:t>
        </w:r>
      </w:hyperlink>
      <w:r>
        <w:rPr>
          <w:rFonts w:ascii="arial" w:eastAsia="arial" w:hAnsi="arial" w:cs="arial"/>
          <w:color w:val="000000"/>
          <w:sz w:val="20"/>
          <w:lang w:val="en-US" w:eastAsia="en-US" w:bidi="ar-SA"/>
        </w:rPr>
        <w:t xml:space="preserve">, B.C.S.C. November 16, 1999. In this "residential school" lawsuit for damages for personal injuries and the infliction of psychological harm, the plaintiff originally sued both the Crown in Right of Canada and the Anglican Church as operator of the "residential school". Consent dismissal judgments were granted to and entered on behalf of the Church. Subsequent, the Crown in Right of Canada issued a third party notice against the Church. The Church then moved to strike out the third party notice on the basis that the consent dismissal had extinguished the Church's direct liability to the plaintiffs thus extinguishing the Church's liability pursuant to s. 4 of the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Act to make contribution to the Crown in Right of Canada.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w:t>
      </w:r>
      <w:r>
        <w:rPr>
          <w:rFonts w:ascii="arial" w:eastAsia="arial" w:hAnsi="arial" w:cs="arial"/>
          <w:color w:val="000000"/>
          <w:sz w:val="20"/>
          <w:lang w:val="en-US" w:eastAsia="en-US" w:bidi="ar-SA"/>
        </w:rPr>
        <w:t>  Williamson J. dismissed the Church's motion. At para. 21-22, he said this: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I conclude, however, that the principle reason the third party notice should not be dismissed is that to do so would be to curtail Canada's statutory right to determine a claim for contribution and indemnity from the Church, a claim grounded upon s. 4 of the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Act . . . The principle has been articulated in this province in the case of Tucker (Public Trustee of) v. Asleson </w:t>
      </w:r>
      <w:hyperlink r:id="rId130" w:history="1">
        <w:r>
          <w:rPr>
            <w:rFonts w:ascii="arial" w:eastAsia="arial" w:hAnsi="arial" w:cs="arial"/>
            <w:i/>
            <w:color w:val="0077CC"/>
            <w:sz w:val="20"/>
            <w:u w:val="single"/>
            <w:shd w:val="clear" w:color="auto" w:fill="FFFFFF"/>
            <w:lang w:val="en-US" w:eastAsia="en-US" w:bidi="ar-SA"/>
          </w:rPr>
          <w:t>(1991) 62 B.C.L.R. (2d) 78</w:t>
        </w:r>
      </w:hyperlink>
      <w:r>
        <w:rPr>
          <w:rFonts w:ascii="arial" w:eastAsia="arial" w:hAnsi="arial" w:cs="arial"/>
          <w:color w:val="000000"/>
          <w:sz w:val="20"/>
          <w:lang w:val="en-US" w:eastAsia="en-US" w:bidi="ar-SA"/>
        </w:rPr>
        <w:t xml:space="preserve"> (B.C.S.C.), a decision upheld by the Court of Appeal at </w:t>
      </w:r>
      <w:hyperlink r:id="rId129" w:history="1">
        <w:r>
          <w:rPr>
            <w:rFonts w:ascii="arial" w:eastAsia="arial" w:hAnsi="arial" w:cs="arial"/>
            <w:i/>
            <w:color w:val="0077CC"/>
            <w:sz w:val="20"/>
            <w:u w:val="single"/>
            <w:shd w:val="clear" w:color="auto" w:fill="FFFFFF"/>
            <w:lang w:val="en-US" w:eastAsia="en-US" w:bidi="ar-SA"/>
          </w:rPr>
          <w:t>(1993), 78 B.C.L.R. (2d) 173</w:t>
        </w:r>
      </w:hyperlink>
      <w:r>
        <w:rPr>
          <w:rFonts w:ascii="arial" w:eastAsia="arial" w:hAnsi="arial" w:cs="arial"/>
          <w:color w:val="000000"/>
          <w:sz w:val="20"/>
          <w:lang w:val="en-US" w:eastAsia="en-US" w:bidi="ar-SA"/>
        </w:rPr>
        <w:t>. In the latter decision Madam Justice Southin, speaking for the majority (the Chief Justice dissented, but not on this issue) wrote, at p. 218:</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I think the right of contribution and indemnity among several concurrent tortfeasors is independent of what the injured person does if, in fact, damage or loss has been caused by the fault of two or more. A finding in an action between the person suffering the loss and one of the several concurrent tortfeasors that the latter has caused some part of the damage by his fault makes that person liable to the person suffering the loss for the whole of the loss, subject to deduction for what that person has received from the released tortfeasor, but does not prevent the tortfeasor who was sued from maintaining his claim for contribution, whether in that action or a separate action.</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In other words, the action of the plaintiff in consenting to an order dismissing its claim against the Church does not prevent Canada, should liability be found, from maintaining its claim for contribution and indemnity against the Church. That is what is being attempted in the third party proceedings.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w:t>
      </w:r>
      <w:r>
        <w:rPr>
          <w:rFonts w:ascii="arial" w:eastAsia="arial" w:hAnsi="arial" w:cs="arial"/>
          <w:color w:val="000000"/>
          <w:sz w:val="20"/>
          <w:lang w:val="en-US" w:eastAsia="en-US" w:bidi="ar-SA"/>
        </w:rPr>
        <w:t>  I do note at p. 218 of Tucker, Southin J.A. speaking for the Court distinguished the facts in Tucker from those in Westcoast by saying this: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There is also formidable argument to be made that the Act should have no application when the plaintiff's claims are essentially contractual. I am unable to see any reason why the manufacture of faulty pipe, if IPSCO was such (see Westcoast Transmission Co. v. Interprovincial Steel &amp; Pipe Corp. </w:t>
      </w:r>
      <w:hyperlink r:id="rId123" w:history="1">
        <w:r>
          <w:rPr>
            <w:rFonts w:ascii="arial" w:eastAsia="arial" w:hAnsi="arial" w:cs="arial"/>
            <w:i/>
            <w:color w:val="0077CC"/>
            <w:sz w:val="20"/>
            <w:u w:val="single"/>
            <w:shd w:val="clear" w:color="auto" w:fill="FFFFFF"/>
            <w:lang w:val="en-US" w:eastAsia="en-US" w:bidi="ar-SA"/>
          </w:rPr>
          <w:t>(1985), 60 B.C.L.R. 368</w:t>
        </w:r>
      </w:hyperlink>
      <w:r>
        <w:rPr>
          <w:rFonts w:ascii="arial" w:eastAsia="arial" w:hAnsi="arial" w:cs="arial"/>
          <w:color w:val="000000"/>
          <w:sz w:val="20"/>
          <w:lang w:val="en-US" w:eastAsia="en-US" w:bidi="ar-SA"/>
        </w:rPr>
        <w:t xml:space="preserve"> (S.C.)), should be able to claim contribution and indemnity from the inspector hired by the owner who did not discover the fault. The breaches of contract and concurrent torts were distinct.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w:t>
      </w:r>
      <w:r>
        <w:rPr>
          <w:rFonts w:ascii="arial" w:eastAsia="arial" w:hAnsi="arial" w:cs="arial"/>
          <w:color w:val="000000"/>
          <w:sz w:val="20"/>
          <w:lang w:val="en-US" w:eastAsia="en-US" w:bidi="ar-SA"/>
        </w:rPr>
        <w:t xml:space="preserve">  In the case at bar it is important to note that the fourth party notice which is the subject matter of this application alleges that Everest breached a duty of care owed to the plaintiff in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as well as in contract. The pertinent paragraphs of the fourth party notice, as amended, allege:</w:t>
      </w:r>
      <w:r>
        <w:rPr>
          <w:rFonts w:ascii="arial" w:eastAsia="arial" w:hAnsi="arial" w:cs="arial"/>
          <w:sz w:val="20"/>
          <w:lang w:val="en-US" w:eastAsia="en-US" w:bidi="ar-SA"/>
        </w:rPr>
        <w:cr/>
      </w:r>
    </w:p>
    <w:p>
      <w:pPr>
        <w:numPr>
          <w:numId w:val="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In breach of its contract with the Plaintiff, Everest failed to deliver its equipment to the Plaintiff in a timely manner.</w:t>
      </w:r>
    </w:p>
    <w:p>
      <w:pPr>
        <w:numPr>
          <w:numId w:val="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Further, or in the alternative, Everest was negligent in the performance of its contract with the Plaintiff in that it breached its duty of care owed to the Plaintiff by delivering its snow removal equipment late.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w:t>
      </w:r>
      <w:r>
        <w:rPr>
          <w:rFonts w:ascii="arial" w:eastAsia="arial" w:hAnsi="arial" w:cs="arial"/>
          <w:color w:val="000000"/>
          <w:sz w:val="20"/>
          <w:lang w:val="en-US" w:eastAsia="en-US" w:bidi="ar-SA"/>
        </w:rPr>
        <w:t>  In addition, it is important to note the circumstances under which the third party notice against Everest was dismissed in the previous proceedings in this action. The settlement agreement between Everest and the plaintiff was entered into for the purposes of resolving the Alberta lawsuit. The order I previously made, as upheld by the Court of Appeal, was that the consent judgment entered in the Alberta Court of Queens Bench, pursuant to that settlement, effectively extinguished any liability which Everest Equipment owed to the plaintiff.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w:t>
      </w:r>
      <w:r>
        <w:rPr>
          <w:rFonts w:ascii="arial" w:eastAsia="arial" w:hAnsi="arial" w:cs="arial"/>
          <w:color w:val="000000"/>
          <w:sz w:val="20"/>
          <w:lang w:val="en-US" w:eastAsia="en-US" w:bidi="ar-SA"/>
        </w:rPr>
        <w:t>  I find the principle enunciated both at the trial level and the appellate level in Tucker v. Asleson operates to confer validity on the fourth party notice because there has not been a trial on the merits. At the trial level of Tucker v. Asleson, Finch J. adopted as correct the following statement of principle from two Ontario decisions: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It is only after a trial on the merits where a person alleged to be a tortfeasor has been found not liable that such person cannot be sued for contribution by another tortfeasor.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DECISION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w:t>
      </w:r>
      <w:r>
        <w:rPr>
          <w:rFonts w:ascii="arial" w:eastAsia="arial" w:hAnsi="arial" w:cs="arial"/>
          <w:color w:val="000000"/>
          <w:sz w:val="20"/>
          <w:lang w:val="en-US" w:eastAsia="en-US" w:bidi="ar-SA"/>
        </w:rPr>
        <w:t xml:space="preserve">  I therefore conclude that s. 4 of the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Act of British Columbia confers upon the third party, Basic Technologies, an independent right to seek contribution and indemnity from the fourth party Everest, regardless of whether Everest has entered into a settlement agreement with another party to this litigation (Prairie) by which its direct legal liability to that party has been extinguished and regardless of whether the binding effect of that settlement agreement has been confirmed in these proceedings. This conclusion is founded on the decision of our Court of Appeal in Tucker v. Asleson and the very recent decision of my brother Williamson J. in T.W.N.A. v. Canada. I do not find the concepts of issue estoppel or res judicata to be applicable as there has not been a determination on the merits.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w:t>
      </w:r>
      <w:r>
        <w:rPr>
          <w:rFonts w:ascii="arial" w:eastAsia="arial" w:hAnsi="arial" w:cs="arial"/>
          <w:color w:val="000000"/>
          <w:sz w:val="20"/>
          <w:lang w:val="en-US" w:eastAsia="en-US" w:bidi="ar-SA"/>
        </w:rPr>
        <w:t>  In the circumstances, it is not necessary for me to consider whether or not I should exercise my discretion to permit the fourth party proceedings to be maintained on the basis of procedural purposes given that I find the substantive law in the Province to be that the third party has a right to maintain its fourth party proceedings against Everest.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w:t>
      </w:r>
      <w:r>
        <w:rPr>
          <w:rFonts w:ascii="arial" w:eastAsia="arial" w:hAnsi="arial" w:cs="arial"/>
          <w:color w:val="000000"/>
          <w:sz w:val="20"/>
          <w:lang w:val="en-US" w:eastAsia="en-US" w:bidi="ar-SA"/>
        </w:rPr>
        <w:t>  In the end result, the 18A application of Everest is dismissed.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CHAMBERLIST J.</w:t>
      </w:r>
      <w:r>
        <w:rPr>
          <w:rFonts w:ascii="arial" w:eastAsia="arial" w:hAnsi="arial" w:cs="arial"/>
          <w:sz w:val="20"/>
          <w:lang w:val="en-US" w:eastAsia="en-US" w:bidi="ar-SA"/>
        </w:rPr>
        <w:cr/>
      </w:r>
    </w:p>
    <w:p>
      <w:pPr>
        <w:rPr>
          <w:rFonts w:ascii="arial" w:eastAsia="arial" w:hAnsi="arial" w:cs="arial"/>
          <w:sz w:val="20"/>
          <w:lang w:val="en-US" w:eastAsia="en-US" w:bidi="ar-SA"/>
        </w:rPr>
      </w:pPr>
    </w:p>
    <w:p>
      <w:pPr>
        <w:ind w:left="200"/>
        <w:rPr>
          <w:rFonts w:ascii="arial" w:eastAsia="arial" w:hAnsi="arial" w:cs="arial"/>
          <w:sz w:val="20"/>
          <w:lang w:val="en-US" w:eastAsia="en-US" w:bidi="ar-SA"/>
        </w:rPr>
        <w:sectPr>
          <w:type w:val="continuous"/>
          <w:pgMar w:top="840" w:right="1000" w:bottom="840" w:left="1000" w:header="400" w:footer="400"/>
          <w:pgNumType w:fmt="decimal"/>
          <w:cols w:space="720"/>
        </w:sectPr>
      </w:pPr>
      <w:r>
        <w:rPr>
          <w:rFonts w:ascii="arial" w:eastAsia="arial" w:hAnsi="arial" w:cs="arial"/>
          <w:sz w:val="20"/>
          <w:lang w:val="en-US" w:eastAsia="en-US" w:bidi="ar-SA"/>
        </w:rPr>
        <w:br/>
      </w:r>
      <w:r>
        <w:pict>
          <v:line id="_x0000_s1047" style="position:absolute;z-index:251864064" from="0,10pt" to="512pt,10pt" strokecolor="black" strokeweight="1pt">
            <v:stroke linestyle="single"/>
          </v:line>
        </w:pict>
      </w:r>
      <w:r>
        <w:rPr>
          <w:b/>
          <w:color w:val="767676"/>
          <w:sz w:val="16"/>
          <w:lang w:val="en-US" w:eastAsia="en-US" w:bidi="ar-SA"/>
        </w:rPr>
        <w:t>End of Document</w:t>
      </w:r>
    </w:p>
    <w:p>
      <w:pPr>
        <w:rPr>
          <w:rFonts w:ascii="arial" w:eastAsia="arial" w:hAnsi="arial" w:cs="arial"/>
          <w:sz w:val="20"/>
          <w:lang w:val="en-US" w:eastAsia="en-US" w:bidi="ar-SA"/>
        </w:rPr>
        <w:sectPr>
          <w:headerReference w:type="even" r:id="rId138"/>
          <w:headerReference w:type="default" r:id="rId139"/>
          <w:footerReference w:type="even" r:id="rId140"/>
          <w:footerReference w:type="default" r:id="rId141"/>
          <w:headerReference w:type="first" r:id="rId142"/>
          <w:footerReference w:type="first" r:id="rId143"/>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eastAsia="arial" w:hAnsi="Arial" w:cs="Arial"/>
          <w:b/>
          <w:bCs/>
          <w:kern w:val="32"/>
          <w:sz w:val="32"/>
          <w:szCs w:val="32"/>
          <w:lang w:val="en-US" w:eastAsia="en-US" w:bidi="ar-SA"/>
        </w:rPr>
      </w:pPr>
      <w:hyperlink r:id="rId144" w:history="1">
        <w:r>
          <w:rPr>
            <w:rFonts w:ascii="arial" w:eastAsia="arial" w:hAnsi="arial" w:cs="arial"/>
            <w:b/>
            <w:bCs/>
            <w:i/>
            <w:color w:val="0077CC"/>
            <w:kern w:val="32"/>
            <w:sz w:val="28"/>
            <w:szCs w:val="32"/>
            <w:u w:val="single"/>
            <w:shd w:val="clear" w:color="auto" w:fill="FFFFFF"/>
            <w:lang w:val="en-US" w:eastAsia="en-US" w:bidi="ar-SA"/>
          </w:rPr>
          <w:t>Ross v. British Columbia Lottery Corp., [2014] B.C.J. No. 612</w:t>
        </w:r>
      </w:hyperlink>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Judgments</w:t>
      </w:r>
    </w:p>
    <w:p>
      <w:pPr>
        <w:rPr>
          <w:rFonts w:ascii="arial" w:eastAsia="arial" w:hAnsi="arial" w:cs="arial"/>
          <w:sz w:val="20"/>
          <w:lang w:val="en-US" w:eastAsia="en-US" w:bidi="ar-SA"/>
        </w:rPr>
      </w:pP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New Westminster, British Columbia</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J.D. Truscott J.</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Heard: October 1-5, 9-12, 15-19 and 22-24, 2012.</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Judgment: March 5, 2014.</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Docket: S129047</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Registry: New Westminster</w:t>
      </w:r>
    </w:p>
    <w:p>
      <w:pPr>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r>
        <w:rPr>
          <w:rFonts w:ascii="arial" w:eastAsia="arial" w:hAnsi="arial" w:cs="arial"/>
          <w:b/>
          <w:color w:val="000000"/>
          <w:sz w:val="20"/>
          <w:lang w:val="en-US" w:eastAsia="en-US" w:bidi="ar-SA"/>
        </w:rPr>
        <w:t>[2014] B.C.J. No. 612</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2014 BCSC 320</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242 A.C.W.S. (3d) 1000</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12 C.C.L.T. (4th) 57</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2014 CarswellBC 590</w:t>
      </w:r>
    </w:p>
    <w:p>
      <w:pPr>
        <w:spacing w:before="120" w:line="260" w:lineRule="atLeast"/>
        <w:rPr>
          <w:rFonts w:ascii="arial" w:eastAsia="arial" w:hAnsi="arial" w:cs="arial"/>
          <w:sz w:val="20"/>
          <w:lang w:val="en-US" w:eastAsia="en-US" w:bidi="ar-SA"/>
        </w:rPr>
      </w:pPr>
      <w:r>
        <w:rPr>
          <w:rFonts w:ascii="arial" w:eastAsia="arial" w:hAnsi="arial" w:cs="arial"/>
          <w:color w:val="000000"/>
          <w:sz w:val="20"/>
          <w:lang w:val="en-US" w:eastAsia="en-US" w:bidi="ar-SA"/>
        </w:rPr>
        <w:t>Between Joyce May Ross, Plaintiff, and British Columbia Lottery Corporation, Orangeville Raceway Limited and Gateway Casinos &amp; Entertainment Inc., Defendants</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(585 paras.)</w:t>
      </w:r>
    </w:p>
    <w:p>
      <w:pPr>
        <w:keepNext/>
        <w:spacing w:before="12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Case Summary</w:t>
      </w:r>
    </w:p>
    <w:p>
      <w:pPr>
        <w:spacing w:line="60" w:lineRule="exact"/>
        <w:rPr>
          <w:rFonts w:ascii="arial" w:eastAsia="arial" w:hAnsi="arial" w:cs="arial"/>
          <w:sz w:val="20"/>
          <w:lang w:val="en-US" w:eastAsia="en-US" w:bidi="ar-SA"/>
        </w:rPr>
      </w:pPr>
      <w:r>
        <w:pict>
          <v:line id="_x0000_s1048" style="position:absolute;z-index:251663360"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bookmarkStart w:id="31" w:name="Keywords_3"/>
      <w:bookmarkEnd w:id="31"/>
      <w:r>
        <w:rPr>
          <w:rFonts w:ascii="arial" w:eastAsia="arial" w:hAnsi="arial" w:cs="arial"/>
          <w:b/>
          <w:color w:val="000000"/>
          <w:sz w:val="20"/>
          <w:lang w:val="en-US" w:eastAsia="en-US" w:bidi="ar-SA"/>
        </w:rPr>
        <w:t xml:space="preserve">Government law — Gaming and betting — Casinos — Action by plaintiff relating to casino gambling losses dismissed — Plaintiff alleged that she lost $78,000 gambling at defendant casinos while participating in voluntary self-exclusion program designed by defendant British Columbia Lottery Corporation — She entered casinos many times during four-year period and was never identified as self-excluded person or asked to leave — There was no unjust enrichment, </w:t>
      </w:r>
      <w:r>
        <w:rPr>
          <w:rFonts w:ascii="arial" w:eastAsia="arial" w:hAnsi="arial" w:cs="arial"/>
          <w:b/>
          <w:i/>
          <w:color w:val="000000"/>
          <w:sz w:val="20"/>
          <w:u w:val="single"/>
          <w:lang w:val="en-US" w:eastAsia="en-US" w:bidi="ar-SA"/>
        </w:rPr>
        <w:t>negligence</w:t>
      </w:r>
      <w:r>
        <w:rPr>
          <w:rFonts w:ascii="arial" w:eastAsia="arial" w:hAnsi="arial" w:cs="arial"/>
          <w:b/>
          <w:color w:val="000000"/>
          <w:sz w:val="20"/>
          <w:lang w:val="en-US" w:eastAsia="en-US" w:bidi="ar-SA"/>
        </w:rPr>
        <w:t xml:space="preserve"> or fiduciary relationship.</w:t>
      </w:r>
    </w:p>
    <w:p>
      <w:pPr>
        <w:rPr>
          <w:rFonts w:ascii="arial" w:eastAsia="arial" w:hAnsi="arial" w:cs="arial"/>
          <w:sz w:val="20"/>
          <w:lang w:val="en-US" w:eastAsia="en-US" w:bidi="ar-SA"/>
        </w:rPr>
      </w:pPr>
    </w:p>
    <w:tbl>
      <w:tblPr>
        <w:tblStyle w:val="TableNormal"/>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
      <w:tblGrid>
        <w:gridCol w:w="10225"/>
      </w:tblGrid>
      <w:tr>
        <w:tblPrEx>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Ex>
        <w:tc>
          <w:tcPr/>
          <w:p>
            <w:pPr>
              <w:rPr>
                <w:rFonts w:ascii="arial" w:eastAsia="arial" w:hAnsi="arial" w:cs="arial"/>
                <w:sz w:val="20"/>
                <w:lang w:val="en-US" w:eastAsia="en-US" w:bidi="ar-SA"/>
              </w:rPr>
            </w:pPr>
            <w:bookmarkStart w:id="32" w:name="Case Summary_3"/>
            <w:bookmarkEnd w:id="32"/>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Action by the plaintiff relating to casino gambling losses. The plaintiff alleged that she lost $78,000 gambling at the two defendant casinos while participating in a voluntary self-exclusion program designed by the defendant British Columbia Lottery Corporation. She entered the casinos many times during a four-year period and was never identified as a self-excluded person or asked to leave. The voluntary self-exclusion form she signed stated that the defendants were not responsible for any breach of the self-exclusion. She claimed recovery on the basis of unjust enrichment,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and breach of fiduciary duty. </w:t>
            </w:r>
            <w:r>
              <w:rPr>
                <w:rFonts w:ascii="arial" w:eastAsia="arial" w:hAnsi="arial" w:cs="arial"/>
                <w:sz w:val="20"/>
                <w:lang w:val="en-US" w:eastAsia="en-US" w:bidi="ar-SA"/>
              </w:rPr>
              <w:cr/>
            </w:r>
          </w:p>
          <w:p>
            <w:pPr>
              <w:spacing w:before="120" w:line="260" w:lineRule="atLeast"/>
              <w:ind w:left="240"/>
              <w:jc w:val="both"/>
              <w:rPr>
                <w:rFonts w:ascii="arial" w:eastAsia="arial" w:hAnsi="arial" w:cs="arial"/>
                <w:sz w:val="20"/>
                <w:lang w:val="en-US" w:eastAsia="en-US" w:bidi="ar-SA"/>
              </w:rPr>
            </w:pPr>
            <w:bookmarkStart w:id="33" w:name="Holdings of Court_3"/>
            <w:bookmarkEnd w:id="33"/>
            <w:r>
              <w:rPr>
                <w:rFonts w:ascii="arial" w:eastAsia="arial" w:hAnsi="arial" w:cs="arial"/>
                <w:color w:val="000000"/>
                <w:sz w:val="20"/>
                <w:lang w:val="en-US" w:eastAsia="en-US" w:bidi="ar-SA"/>
              </w:rPr>
              <w:t>HELD: Action dismissed.</w:t>
            </w:r>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There was no unjust enrichment. The wagering contracts that the plaintiff entered into provided a juristic reason for the BCLC to retain the money. The Gaming Control Act allowed the BCLC to retain the money. Since a patron had the right to keep winnings won before being removed from a casino, she had to bear losses incurred before a removal. The plaintiff received consideration in the form of the chance to win before being removed and the enjoyment of gambling. She did not have clean hands, having breached her duty of self-exclusion. There was no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The plaintiff knew that the casinos' operational security and surveillance system might not be able to identify her. She knew that she had to be detected before being removed. The fact that a "time out" brochure stated that she would not be allowed to enter while self-excluded did not imply that she would be caught and removed. The defendants owed the plaintiff a duty of care to put in place a voluntary self-exclusion program that required the casinos to exercise due diligence to prevent and not knowingly allow her to enter, as required by the casino operational service agreements. The program met the standard of care in the industry at the time. A person who enrolled in it had to retain the primary obligation to control or cease her gambling. There was no fiduciary relationship. The plaintiff was not peculiarly vulnerable to or at the mercy of the defendants. </w:t>
            </w:r>
            <w:r>
              <w:rPr>
                <w:rFonts w:ascii="arial" w:eastAsia="arial" w:hAnsi="arial" w:cs="arial"/>
                <w:sz w:val="20"/>
                <w:lang w:val="en-US" w:eastAsia="en-US" w:bidi="ar-SA"/>
              </w:rPr>
              <w:cr/>
            </w:r>
          </w:p>
          <w:p>
            <w:pPr>
              <w:rPr>
                <w:rFonts w:ascii="arial" w:eastAsia="arial" w:hAnsi="arial" w:cs="arial"/>
                <w:sz w:val="20"/>
                <w:lang w:val="en-US" w:eastAsia="en-US" w:bidi="ar-SA"/>
              </w:rPr>
            </w:pPr>
          </w:p>
        </w:tc>
      </w:tr>
    </w:tbl>
    <w:p>
      <w:pPr>
        <w:jc w:val="both"/>
        <w:rPr>
          <w:rFonts w:ascii="arial" w:eastAsia="arial" w:hAnsi="arial" w:cs="arial"/>
          <w:sz w:val="20"/>
          <w:lang w:val="en-US" w:eastAsia="en-US" w:bidi="ar-SA"/>
        </w:rPr>
      </w:pPr>
      <w:bookmarkStart w:id="34" w:name="Legislation Cited_3"/>
      <w:bookmarkEnd w:id="34"/>
      <w:r>
        <w:rPr>
          <w:rFonts w:ascii="arial" w:eastAsia="arial" w:hAnsi="arial" w:cs="arial"/>
          <w:sz w:val="20"/>
          <w:lang w:val="en-US" w:eastAsia="en-US" w:bidi="ar-SA"/>
        </w:rPr>
        <w:br/>
      </w:r>
    </w:p>
    <w:p>
      <w:pPr>
        <w:keepNext/>
        <w:spacing w:before="24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Statutes, Regulations and Rules Cited:</w:t>
      </w:r>
    </w:p>
    <w:p>
      <w:pPr>
        <w:spacing w:line="60" w:lineRule="exact"/>
        <w:rPr>
          <w:rFonts w:ascii="arial" w:eastAsia="arial" w:hAnsi="arial" w:cs="arial"/>
          <w:sz w:val="20"/>
          <w:lang w:val="en-US" w:eastAsia="en-US" w:bidi="ar-SA"/>
        </w:rPr>
      </w:pPr>
      <w:r>
        <w:pict>
          <v:line id="_x0000_s1049" style="position:absolute;z-index:251714560"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Criminal Code, </w:t>
      </w:r>
      <w:hyperlink r:id="rId145" w:history="1">
        <w:r>
          <w:rPr>
            <w:rFonts w:ascii="arial" w:eastAsia="arial" w:hAnsi="arial" w:cs="arial"/>
            <w:i/>
            <w:color w:val="0077CC"/>
            <w:sz w:val="20"/>
            <w:u w:val="single"/>
            <w:shd w:val="clear" w:color="auto" w:fill="FFFFFF"/>
            <w:lang w:val="en-US" w:eastAsia="en-US" w:bidi="ar-SA"/>
          </w:rPr>
          <w:t>R.S.C. 1985, c. C-46, s. 207</w:t>
        </w:r>
      </w:hyperlink>
      <w:r>
        <w:rPr>
          <w:rFonts w:ascii="arial" w:eastAsia="arial" w:hAnsi="arial" w:cs="arial"/>
          <w:color w:val="000000"/>
          <w:sz w:val="20"/>
          <w:lang w:val="en-US" w:eastAsia="en-US" w:bidi="ar-SA"/>
        </w:rPr>
        <w:t>(1)</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Gaming Control Act, </w:t>
      </w:r>
      <w:hyperlink r:id="rId146" w:history="1">
        <w:r>
          <w:rPr>
            <w:rFonts w:ascii="arial" w:eastAsia="arial" w:hAnsi="arial" w:cs="arial"/>
            <w:i/>
            <w:color w:val="0077CC"/>
            <w:sz w:val="20"/>
            <w:u w:val="single"/>
            <w:shd w:val="clear" w:color="auto" w:fill="FFFFFF"/>
            <w:lang w:val="en-US" w:eastAsia="en-US" w:bidi="ar-SA"/>
          </w:rPr>
          <w:t>SBC 2002, CHAPTER 14, s. 3</w:t>
        </w:r>
      </w:hyperlink>
      <w:r>
        <w:rPr>
          <w:rFonts w:ascii="arial" w:eastAsia="arial" w:hAnsi="arial" w:cs="arial"/>
          <w:color w:val="000000"/>
          <w:sz w:val="20"/>
          <w:lang w:val="en-US" w:eastAsia="en-US" w:bidi="ar-SA"/>
        </w:rPr>
        <w:t>(1), s. 7(1), s. 7(1)(a), s. 7(1)(f), s. 7(1)(i), s. 7(1.1), s. 8(1)(a), s. 8(1) (g), Part 4, s. 27(1), s. 27(2), s. 27(2)(d), s. 28, s. 92, s. 92(b), s. 93, s. 93(1), s. 93(1)(c), s. 93(2), s. 93(3), s. 97, s. 97(1)(d), s. 97(2)(d), s. 98, s. 98(3)</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Jackpot Ineligibility Rules,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Regulations,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Rules,</w:t>
      </w:r>
      <w:r>
        <w:rPr>
          <w:rFonts w:ascii="arial" w:eastAsia="arial" w:hAnsi="arial" w:cs="arial"/>
          <w:sz w:val="20"/>
          <w:lang w:val="en-US" w:eastAsia="en-US" w:bidi="ar-SA"/>
        </w:rPr>
        <w:cr/>
      </w:r>
    </w:p>
    <w:p>
      <w:pPr>
        <w:keepNext/>
        <w:spacing w:before="240" w:line="340" w:lineRule="atLeast"/>
        <w:rPr>
          <w:rFonts w:ascii="arial" w:eastAsia="arial" w:hAnsi="arial" w:cs="arial"/>
          <w:sz w:val="20"/>
          <w:lang w:val="en-US" w:eastAsia="en-US" w:bidi="ar-SA"/>
        </w:rPr>
      </w:pPr>
      <w:bookmarkStart w:id="35" w:name="Counsel_4"/>
      <w:bookmarkEnd w:id="35"/>
      <w:r>
        <w:rPr>
          <w:rFonts w:ascii="arial" w:eastAsia="arial" w:hAnsi="arial" w:cs="arial"/>
          <w:b/>
          <w:color w:val="000000"/>
          <w:sz w:val="28"/>
          <w:lang w:val="en-US" w:eastAsia="en-US" w:bidi="ar-SA"/>
        </w:rPr>
        <w:t>Counsel</w:t>
      </w:r>
    </w:p>
    <w:p>
      <w:pPr>
        <w:spacing w:line="60" w:lineRule="exact"/>
        <w:rPr>
          <w:rFonts w:ascii="arial" w:eastAsia="arial" w:hAnsi="arial" w:cs="arial"/>
          <w:sz w:val="20"/>
          <w:lang w:val="en-US" w:eastAsia="en-US" w:bidi="ar-SA"/>
        </w:rPr>
      </w:pPr>
      <w:r>
        <w:pict>
          <v:line id="_x0000_s1050" style="position:absolute;z-index:251765760"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Counsel for the Plaintiff: J.A. Hanson and B.P. Trainor.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Counsel for the Defendant British Columbia Lottery Corporation: K.M. Stephens and M.S. Oulton, B.B. Olthuis, S.P. Ramsay.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Counsel for the Defendant Orangeville Raceway Limited: M.P. Katzalay and K.A. Reilly.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Counsel for the Defendant Gateway Casinos and Entertainment Inc.: E.A. Dolden and C.A. Becker.</w:t>
      </w:r>
      <w:r>
        <w:rPr>
          <w:rFonts w:ascii="arial" w:eastAsia="arial" w:hAnsi="arial" w:cs="arial"/>
          <w:sz w:val="20"/>
          <w:lang w:val="en-US" w:eastAsia="en-US" w:bidi="ar-SA"/>
        </w:rPr>
        <w:cr/>
      </w:r>
    </w:p>
    <w:p>
      <w:pPr>
        <w:spacing w:after="240"/>
        <w:rPr>
          <w:rFonts w:ascii="arial" w:eastAsia="arial" w:hAnsi="arial" w:cs="arial"/>
          <w:sz w:val="20"/>
          <w:lang w:val="en-US" w:eastAsia="en-US" w:bidi="ar-SA"/>
        </w:rPr>
      </w:pPr>
      <w:bookmarkStart w:id="36" w:name="Judgment_4"/>
      <w:bookmarkEnd w:id="36"/>
      <w:r>
        <w:pict>
          <v:line id="_x0000_s1051" style="position:absolute;z-index:251815936" from="0,12pt" to="512pt,12pt" strokecolor="#009ddb" strokeweight="1.5pt">
            <v:stroke linestyle="single"/>
          </v:line>
        </w:pict>
      </w:r>
    </w:p>
    <w:p>
      <w:pPr>
        <w:spacing w:before="120" w:line="260" w:lineRule="atLeast"/>
        <w:jc w:val="center"/>
        <w:rPr>
          <w:rFonts w:ascii="arial" w:eastAsia="arial" w:hAnsi="arial" w:cs="arial"/>
          <w:sz w:val="20"/>
          <w:lang w:val="en-US" w:eastAsia="en-US" w:bidi="ar-SA"/>
        </w:rPr>
      </w:pPr>
      <w:r>
        <w:rPr>
          <w:rFonts w:ascii="arial" w:eastAsia="arial" w:hAnsi="arial" w:cs="arial"/>
          <w:b/>
          <w:color w:val="000000"/>
          <w:sz w:val="20"/>
          <w:lang w:val="en-US" w:eastAsia="en-US" w:bidi="ar-SA"/>
        </w:rPr>
        <w:t>TABLE OF CONTENTS</w:t>
      </w:r>
      <w:r>
        <w:rPr>
          <w:rFonts w:ascii="arial" w:eastAsia="arial" w:hAnsi="arial" w:cs="arial"/>
          <w:sz w:val="20"/>
          <w:lang w:val="en-US" w:eastAsia="en-US" w:bidi="ar-SA"/>
        </w:rPr>
        <w:cr/>
      </w:r>
    </w:p>
    <w:p>
      <w:pPr>
        <w:spacing w:line="260" w:lineRule="atLeast"/>
        <w:rPr>
          <w:rFonts w:ascii="arial" w:eastAsia="arial" w:hAnsi="arial" w:cs="arial"/>
          <w:sz w:val="20"/>
          <w:lang w:val="en-US" w:eastAsia="en-US" w:bidi="ar-SA"/>
        </w:rPr>
      </w:pP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52" type="#_x0000_t75" style="width:395.31pt;height:586.58pt">
            <v:imagedata r:id="rId147" o:title=""/>
          </v:shape>
        </w:pict>
      </w:r>
      <w:r>
        <w:rPr>
          <w:rFonts w:ascii="arial" w:eastAsia="arial" w:hAnsi="arial" w:cs="arial"/>
          <w:sz w:val="20"/>
          <w:lang w:val="en-US" w:eastAsia="en-US" w:bidi="ar-SA"/>
        </w:rPr>
        <w:t xml:space="preserve">  </w:t>
      </w:r>
      <w:r>
        <w:pict>
          <v:shape id="_x0000_i1053" type="#_x0000_t75" style="width:432.06pt;height:290.29pt">
            <v:imagedata r:id="rId148" o:title=""/>
          </v:shape>
        </w:pict>
      </w:r>
    </w:p>
    <w:p>
      <w:pPr>
        <w:spacing w:line="260" w:lineRule="atLeast"/>
        <w:jc w:val="center"/>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Reasons for Judgment</w:t>
      </w:r>
      <w:r>
        <w:rPr>
          <w:rFonts w:ascii="arial" w:eastAsia="arial" w:hAnsi="arial" w:cs="arial"/>
          <w:sz w:val="20"/>
          <w:lang w:val="en-US" w:eastAsia="en-US" w:bidi="ar-SA"/>
        </w:rPr>
        <w:cr/>
      </w:r>
    </w:p>
    <w:p>
      <w:pPr>
        <w:rPr>
          <w:rFonts w:ascii="arial" w:eastAsia="arial" w:hAnsi="arial" w:cs="arial"/>
          <w:sz w:val="20"/>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2870"/>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rFonts w:ascii="arial" w:eastAsia="arial" w:hAnsi="arial" w:cs="arial"/>
                <w:sz w:val="20"/>
                <w:lang w:val="en-US" w:eastAsia="en-US" w:bidi="ar-SA"/>
              </w:rPr>
            </w:pPr>
            <w:bookmarkStart w:id="37" w:name="J.D. TRUSCOTT J."/>
            <w:bookmarkEnd w:id="37"/>
            <w:r>
              <w:rPr>
                <w:rFonts w:ascii="arial" w:eastAsia="arial" w:hAnsi="arial" w:cs="arial"/>
                <w:b/>
                <w:color w:val="000000"/>
                <w:sz w:val="30"/>
                <w:lang w:val="en-US" w:eastAsia="en-US" w:bidi="ar-SA"/>
              </w:rPr>
              <w:t>J.D. TRUSCOTT J.</w:t>
            </w:r>
          </w:p>
        </w:tc>
      </w:tr>
    </w:tbl>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I. BACKGROUND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The plaintiff is suing the defendants for approximately $78,000 that she alleges she lost in the casinos operated by Orangeville (Fraser Downs Casino) and Gateway (Cascades Casino) during the time period June 12, 2007 to June 12, 2010 when she was a participant in a voluntary self-exclusion (VSE) program designed by the British Columbia Lottery Corporation (BCLC) and put into place in all gaming facilities in British Columbia.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xml:space="preserve">  BCLC is an agent of the Provincial Government by authority of s. 3(1) of the </w:t>
      </w:r>
      <w:r>
        <w:rPr>
          <w:rFonts w:ascii="arial" w:eastAsia="arial" w:hAnsi="arial" w:cs="arial"/>
          <w:i/>
          <w:color w:val="000000"/>
          <w:sz w:val="20"/>
          <w:lang w:val="en-US" w:eastAsia="en-US" w:bidi="ar-SA"/>
        </w:rPr>
        <w:t>Gaming Control Act</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S.B.C. 2002, c. 14</w:t>
      </w:r>
      <w:r>
        <w:rPr>
          <w:rFonts w:ascii="arial" w:eastAsia="arial" w:hAnsi="arial" w:cs="arial"/>
          <w:color w:val="000000"/>
          <w:sz w:val="20"/>
          <w:lang w:val="en-US" w:eastAsia="en-US" w:bidi="ar-SA"/>
        </w:rPr>
        <w:t xml:space="preserve"> (the </w:t>
      </w:r>
      <w:r>
        <w:rPr>
          <w:rFonts w:ascii="arial" w:eastAsia="arial" w:hAnsi="arial" w:cs="arial"/>
          <w:i/>
          <w:color w:val="000000"/>
          <w:sz w:val="20"/>
          <w:lang w:val="en-US" w:eastAsia="en-US" w:bidi="ar-SA"/>
        </w:rPr>
        <w:t>Act</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xml:space="preserve">  Section 7(1) of the </w:t>
      </w:r>
      <w:r>
        <w:rPr>
          <w:rFonts w:ascii="arial" w:eastAsia="arial" w:hAnsi="arial" w:cs="arial"/>
          <w:i/>
          <w:color w:val="000000"/>
          <w:sz w:val="20"/>
          <w:lang w:val="en-US" w:eastAsia="en-US" w:bidi="ar-SA"/>
        </w:rPr>
        <w:t>Act</w:t>
      </w:r>
      <w:r>
        <w:rPr>
          <w:rFonts w:ascii="arial" w:eastAsia="arial" w:hAnsi="arial" w:cs="arial"/>
          <w:color w:val="000000"/>
          <w:sz w:val="20"/>
          <w:lang w:val="en-US" w:eastAsia="en-US" w:bidi="ar-SA"/>
        </w:rPr>
        <w:t xml:space="preserve"> holds BCLC "responsible for the conduct and management of gaming on behalf of the government" and ss. (a) authorizes it to "develop, undertake, organize, conduct, manage and operate provincial gaming on behalf the government."...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xml:space="preserve">  By authority of s. 7(1)(f), subject to ss. (1.1), BCLC is authorized to "enter into agreements with registered gaming service providers for services required in the conduct, management or operation of provincial gaming" and under s. 7(1)(i) "must monitor compliance by gaming service providers with this </w:t>
      </w:r>
      <w:r>
        <w:rPr>
          <w:rFonts w:ascii="arial" w:eastAsia="arial" w:hAnsi="arial" w:cs="arial"/>
          <w:i/>
          <w:color w:val="000000"/>
          <w:sz w:val="20"/>
          <w:lang w:val="en-US" w:eastAsia="en-US" w:bidi="ar-SA"/>
        </w:rPr>
        <w:t>Act</w:t>
      </w:r>
      <w:r>
        <w:rPr>
          <w:rFonts w:ascii="arial" w:eastAsia="arial" w:hAnsi="arial" w:cs="arial"/>
          <w:color w:val="000000"/>
          <w:sz w:val="20"/>
          <w:lang w:val="en-US" w:eastAsia="en-US" w:bidi="ar-SA"/>
        </w:rPr>
        <w:t>, the regulations and rules of the lottery corporation."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Subsection (1.1) stipulates that "an agreement described in ss. (1)(f) must require the gaming service provider to provide the services referred to in ss. (1)(f) under the control of the lottery corporation."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Section 8(1)(a) and (g) state: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lottery corporation may make rules for the purposes of this Part, including but not limited to rules</w:t>
      </w:r>
    </w:p>
    <w:p>
      <w:pPr>
        <w:numPr>
          <w:numId w:val="1"/>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requiring and governing books, accounts and other records to be kept by registered gaming services providers, ...</w:t>
      </w:r>
    </w:p>
    <w:p>
      <w:pPr>
        <w:numPr>
          <w:numId w:val="2"/>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respecting security and surveillance at gaming facilities or classes of gaming facilities.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The defendant Casino operators, Orangeville and Gateway, are two of the casino operators who have contracted with BCLC to provide the services required, under standard Casino Operational Service Agreements (COSAs).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Orangeville (Fraser Downs) operates in Surrey, British Columbia and Gateway (Cascades) operates in Langley, British Columbia.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The COSAs for Orangeville and Gateway include the following relevant terms:</w:t>
      </w:r>
      <w:r>
        <w:rPr>
          <w:rFonts w:ascii="arial" w:eastAsia="arial" w:hAnsi="arial" w:cs="arial"/>
          <w:sz w:val="20"/>
          <w:lang w:val="en-US" w:eastAsia="en-US" w:bidi="ar-SA"/>
        </w:rPr>
        <w:cr/>
      </w:r>
    </w:p>
    <w:p>
      <w:pPr>
        <w:numPr>
          <w:numId w:val="3"/>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BCLC retains the service provider as an independent contractor to supply operational services to BCLC;</w:t>
      </w:r>
    </w:p>
    <w:p>
      <w:pPr>
        <w:numPr>
          <w:numId w:val="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service provider agrees to supply the operational services in accordance with the COSA, the </w:t>
      </w:r>
      <w:r>
        <w:rPr>
          <w:rFonts w:ascii="arial" w:eastAsia="arial" w:hAnsi="arial" w:cs="arial"/>
          <w:i/>
          <w:color w:val="000000"/>
          <w:sz w:val="20"/>
          <w:lang w:val="en-US" w:eastAsia="en-US" w:bidi="ar-SA"/>
        </w:rPr>
        <w:t>Rules</w:t>
      </w:r>
      <w:r>
        <w:rPr>
          <w:rFonts w:ascii="arial" w:eastAsia="arial" w:hAnsi="arial" w:cs="arial"/>
          <w:color w:val="000000"/>
          <w:sz w:val="20"/>
          <w:lang w:val="en-US" w:eastAsia="en-US" w:bidi="ar-SA"/>
        </w:rPr>
        <w:t xml:space="preserve"> and </w:t>
      </w:r>
      <w:r>
        <w:rPr>
          <w:rFonts w:ascii="arial" w:eastAsia="arial" w:hAnsi="arial" w:cs="arial"/>
          <w:i/>
          <w:color w:val="000000"/>
          <w:sz w:val="20"/>
          <w:lang w:val="en-US" w:eastAsia="en-US" w:bidi="ar-SA"/>
        </w:rPr>
        <w:t>Regulations</w:t>
      </w:r>
      <w:r>
        <w:rPr>
          <w:rFonts w:ascii="arial" w:eastAsia="arial" w:hAnsi="arial" w:cs="arial"/>
          <w:color w:val="000000"/>
          <w:sz w:val="20"/>
          <w:lang w:val="en-US" w:eastAsia="en-US" w:bidi="ar-SA"/>
        </w:rPr>
        <w:t xml:space="preserve"> respecting lotteries and gaming of BCLC, the Casinos Standards, Policies and Procedures (CSPP) and such other instructions and directions of BCLC.</w:t>
      </w:r>
    </w:p>
    <w:p>
      <w:pPr>
        <w:numPr>
          <w:numId w:val="5"/>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 service provider agrees to supply and maintain gaming equipment and gaming supplies prescribed by BCLC.</w:t>
      </w:r>
    </w:p>
    <w:p>
      <w:pPr>
        <w:numPr>
          <w:numId w:val="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service provider agrees to supply and maintain security and surveillance equipment and personnel in the casino and train and certify security and surveillance personnel in accordance with the specifications and standards set out in the CSPP.</w:t>
      </w:r>
    </w:p>
    <w:p>
      <w:pPr>
        <w:numPr>
          <w:numId w:val="7"/>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 service provider agrees to exercise all due diligence to prevent and not knowingly permit any person who has been barred from a casino or barred from participating in casino games by the corporation from entering or being present in the casino or participating in casino games.</w:t>
      </w:r>
    </w:p>
    <w:p>
      <w:pPr>
        <w:numPr>
          <w:numId w:val="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service provider agrees that the service provider is not an employee, agent or representative, joint venture, or partner of BCLC.</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xml:space="preserve">  The </w:t>
      </w:r>
      <w:r>
        <w:rPr>
          <w:rFonts w:ascii="arial" w:eastAsia="arial" w:hAnsi="arial" w:cs="arial"/>
          <w:i/>
          <w:color w:val="000000"/>
          <w:sz w:val="20"/>
          <w:lang w:val="en-US" w:eastAsia="en-US" w:bidi="ar-SA"/>
        </w:rPr>
        <w:t>Act</w:t>
      </w:r>
      <w:r>
        <w:rPr>
          <w:rFonts w:ascii="arial" w:eastAsia="arial" w:hAnsi="arial" w:cs="arial"/>
          <w:color w:val="000000"/>
          <w:sz w:val="20"/>
          <w:lang w:val="en-US" w:eastAsia="en-US" w:bidi="ar-SA"/>
        </w:rPr>
        <w:t xml:space="preserve"> also sets up the Gaming Policy and Enforcement Branch (GPEB) under part 4 as an office of the Provincial Government under the direction of the general manager.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xml:space="preserve">  GPEB, which is not a party to this lawsuit, is made responsible under the </w:t>
      </w:r>
      <w:r>
        <w:rPr>
          <w:rFonts w:ascii="arial" w:eastAsia="arial" w:hAnsi="arial" w:cs="arial"/>
          <w:i/>
          <w:color w:val="000000"/>
          <w:sz w:val="20"/>
          <w:lang w:val="en-US" w:eastAsia="en-US" w:bidi="ar-SA"/>
        </w:rPr>
        <w:t>Act</w:t>
      </w:r>
      <w:r>
        <w:rPr>
          <w:rFonts w:ascii="arial" w:eastAsia="arial" w:hAnsi="arial" w:cs="arial"/>
          <w:color w:val="000000"/>
          <w:sz w:val="20"/>
          <w:lang w:val="en-US" w:eastAsia="en-US" w:bidi="ar-SA"/>
        </w:rPr>
        <w:t xml:space="preserve"> for the overall integrity of gaming in British Columbia.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xml:space="preserve">  Under s. 27(1) of the </w:t>
      </w:r>
      <w:r>
        <w:rPr>
          <w:rFonts w:ascii="arial" w:eastAsia="arial" w:hAnsi="arial" w:cs="arial"/>
          <w:i/>
          <w:color w:val="000000"/>
          <w:sz w:val="20"/>
          <w:lang w:val="en-US" w:eastAsia="en-US" w:bidi="ar-SA"/>
        </w:rPr>
        <w:t>Act</w:t>
      </w:r>
      <w:r>
        <w:rPr>
          <w:rFonts w:ascii="arial" w:eastAsia="arial" w:hAnsi="arial" w:cs="arial"/>
          <w:color w:val="000000"/>
          <w:sz w:val="20"/>
          <w:lang w:val="en-US" w:eastAsia="en-US" w:bidi="ar-SA"/>
        </w:rPr>
        <w:t xml:space="preserve"> the general manager of GPEB is charged with the responsibility under the direction of the Minister and with reference to GPEB's responsibility for the overall integrity of gaming, for the enforcement of the </w:t>
      </w:r>
      <w:r>
        <w:rPr>
          <w:rFonts w:ascii="arial" w:eastAsia="arial" w:hAnsi="arial" w:cs="arial"/>
          <w:i/>
          <w:color w:val="000000"/>
          <w:sz w:val="20"/>
          <w:lang w:val="en-US" w:eastAsia="en-US" w:bidi="ar-SA"/>
        </w:rPr>
        <w:t>Act.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Under ss. 2 the general manager:</w:t>
      </w:r>
      <w:r>
        <w:rPr>
          <w:rFonts w:ascii="arial" w:eastAsia="arial" w:hAnsi="arial" w:cs="arial"/>
          <w:sz w:val="20"/>
          <w:lang w:val="en-US" w:eastAsia="en-US" w:bidi="ar-SA"/>
        </w:rPr>
        <w:cr/>
      </w:r>
    </w:p>
    <w:p>
      <w:pPr>
        <w:numPr>
          <w:numId w:val="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Must advise the Minister on broad policy standards and regulatory issues.</w:t>
      </w:r>
    </w:p>
    <w:p>
      <w:pPr>
        <w:numPr>
          <w:numId w:val="1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Under the Minister's direction, must develop, manage and maintain the government's gaming policy.</w:t>
      </w:r>
    </w:p>
    <w:p>
      <w:pPr>
        <w:numPr>
          <w:numId w:val="1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May establish public interest standards for gaming operations, including types of activities allowed and policies to address problem gambling at gaming facilities.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xml:space="preserve">  Under s. 28 the general manager of GPEB may issue directions applicable to GPEB and to BCLC, or both, after first receiving the approval of the Minister, as to the carrying out of responsibilities under the </w:t>
      </w:r>
      <w:r>
        <w:rPr>
          <w:rFonts w:ascii="arial" w:eastAsia="arial" w:hAnsi="arial" w:cs="arial"/>
          <w:i/>
          <w:color w:val="000000"/>
          <w:sz w:val="20"/>
          <w:lang w:val="en-US" w:eastAsia="en-US" w:bidi="ar-SA"/>
        </w:rPr>
        <w:t>Act</w:t>
      </w:r>
      <w:r>
        <w:rPr>
          <w:rFonts w:ascii="arial" w:eastAsia="arial" w:hAnsi="arial" w:cs="arial"/>
          <w:color w:val="000000"/>
          <w:sz w:val="20"/>
          <w:lang w:val="en-US" w:eastAsia="en-US" w:bidi="ar-SA"/>
        </w:rPr>
        <w:t>, including directives respecting standards for security and surveillance at gaming facilities and in relation to gaming operations, and establishing policies to address problem gambling.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w:t>
      </w:r>
      <w:r>
        <w:rPr>
          <w:rFonts w:ascii="arial" w:eastAsia="arial" w:hAnsi="arial" w:cs="arial"/>
          <w:color w:val="000000"/>
          <w:sz w:val="20"/>
          <w:lang w:val="en-US" w:eastAsia="en-US" w:bidi="ar-SA"/>
        </w:rPr>
        <w:t xml:space="preserve">  Section 28 of the </w:t>
      </w:r>
      <w:r>
        <w:rPr>
          <w:rFonts w:ascii="arial" w:eastAsia="arial" w:hAnsi="arial" w:cs="arial"/>
          <w:i/>
          <w:color w:val="000000"/>
          <w:sz w:val="20"/>
          <w:lang w:val="en-US" w:eastAsia="en-US" w:bidi="ar-SA"/>
        </w:rPr>
        <w:t>Act</w:t>
      </w:r>
      <w:r>
        <w:rPr>
          <w:rFonts w:ascii="arial" w:eastAsia="arial" w:hAnsi="arial" w:cs="arial"/>
          <w:color w:val="000000"/>
          <w:sz w:val="20"/>
          <w:lang w:val="en-US" w:eastAsia="en-US" w:bidi="ar-SA"/>
        </w:rPr>
        <w:t xml:space="preserve"> requires BCLC to comply with the directives of the general manager that are applicable to the lottery corporation after the general manager has received the approval of the Minister to the directives.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w:t>
      </w:r>
      <w:r>
        <w:rPr>
          <w:rFonts w:ascii="arial" w:eastAsia="arial" w:hAnsi="arial" w:cs="arial"/>
          <w:color w:val="000000"/>
          <w:sz w:val="20"/>
          <w:lang w:val="en-US" w:eastAsia="en-US" w:bidi="ar-SA"/>
        </w:rPr>
        <w:t>  In June 2005, GPEB issued Security and Surveillance Standards for the BC gambling industry.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w:t>
      </w:r>
      <w:r>
        <w:rPr>
          <w:rFonts w:ascii="arial" w:eastAsia="arial" w:hAnsi="arial" w:cs="arial"/>
          <w:color w:val="000000"/>
          <w:sz w:val="20"/>
          <w:lang w:val="en-US" w:eastAsia="en-US" w:bidi="ar-SA"/>
        </w:rPr>
        <w:t>  These standards required security and surveillance at all casinos to keep under observation and record clear and unobstructed views of cash handling areas, cash counting areas and all public entrances to the gaming facilities.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w:t>
      </w:r>
      <w:r>
        <w:rPr>
          <w:rFonts w:ascii="arial" w:eastAsia="arial" w:hAnsi="arial" w:cs="arial"/>
          <w:color w:val="000000"/>
          <w:sz w:val="20"/>
          <w:lang w:val="en-US" w:eastAsia="en-US" w:bidi="ar-SA"/>
        </w:rPr>
        <w:t>  These standards also required security and surveillance at commercial gaming facilities to:</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Assist in identifying and denying access to individuals who are:</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Barred or voluntarily self-excluded from commercial gaming facilities; ...</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w:t>
      </w:r>
      <w:r>
        <w:rPr>
          <w:rFonts w:ascii="arial" w:eastAsia="arial" w:hAnsi="arial" w:cs="arial"/>
          <w:color w:val="000000"/>
          <w:sz w:val="20"/>
          <w:lang w:val="en-US" w:eastAsia="en-US" w:bidi="ar-SA"/>
        </w:rPr>
        <w:t xml:space="preserve">  In July 2005, the general manager of GPEB issued the Responsible Gambling Standards for the BC gambling industry under the authority of s. 27(2)(d) of the </w:t>
      </w:r>
      <w:r>
        <w:rPr>
          <w:rFonts w:ascii="arial" w:eastAsia="arial" w:hAnsi="arial" w:cs="arial"/>
          <w:i/>
          <w:color w:val="000000"/>
          <w:sz w:val="20"/>
          <w:lang w:val="en-US" w:eastAsia="en-US" w:bidi="ar-SA"/>
        </w:rPr>
        <w:t>Act</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w:t>
      </w:r>
      <w:r>
        <w:rPr>
          <w:rFonts w:ascii="arial" w:eastAsia="arial" w:hAnsi="arial" w:cs="arial"/>
          <w:color w:val="000000"/>
          <w:sz w:val="20"/>
          <w:lang w:val="en-US" w:eastAsia="en-US" w:bidi="ar-SA"/>
        </w:rPr>
        <w:t>  These Responsible Gambling Standards included a section on voluntary self-exclusion programs and under that section required that BCLC, and gaming service providers must: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6.1 Provide voluntary self-exclusion (VSE) programs;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6.3 Ensure policies and practices are in place to monitor premises for self-excluded customers and appropriate security procedures are designed to reduce the ability of excluded players to re-enter the venue; and ...</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w:t>
      </w:r>
      <w:r>
        <w:rPr>
          <w:rFonts w:ascii="arial" w:eastAsia="arial" w:hAnsi="arial" w:cs="arial"/>
          <w:color w:val="000000"/>
          <w:sz w:val="20"/>
          <w:lang w:val="en-US" w:eastAsia="en-US" w:bidi="ar-SA"/>
        </w:rPr>
        <w:t>  When the plaintiff entered the VSE program at Fraser Downs Casino on June 12, 2007, she signed a VSE form which is set out at Appendix 'A' to these reasons. This form included para. 5 stating that neither BCLC or any service providers are responsible for any breach of the self-exclusion or for failure to enforce the self-exclusion and BCLC and its service providers are released from any liability for claims related to her self-exclusion, including her failure to comply with the self-exclusion.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w:t>
      </w:r>
      <w:r>
        <w:rPr>
          <w:rFonts w:ascii="arial" w:eastAsia="arial" w:hAnsi="arial" w:cs="arial"/>
          <w:color w:val="000000"/>
          <w:sz w:val="20"/>
          <w:lang w:val="en-US" w:eastAsia="en-US" w:bidi="ar-SA"/>
        </w:rPr>
        <w:t xml:space="preserve">  Section 92 of the </w:t>
      </w:r>
      <w:r>
        <w:rPr>
          <w:rFonts w:ascii="arial" w:eastAsia="arial" w:hAnsi="arial" w:cs="arial"/>
          <w:i/>
          <w:color w:val="000000"/>
          <w:sz w:val="20"/>
          <w:lang w:val="en-US" w:eastAsia="en-US" w:bidi="ar-SA"/>
        </w:rPr>
        <w:t>Act</w:t>
      </w:r>
      <w:r>
        <w:rPr>
          <w:rFonts w:ascii="arial" w:eastAsia="arial" w:hAnsi="arial" w:cs="arial"/>
          <w:color w:val="000000"/>
          <w:sz w:val="20"/>
          <w:lang w:val="en-US" w:eastAsia="en-US" w:bidi="ar-SA"/>
        </w:rPr>
        <w:t xml:space="preserve"> states: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If the lottery corporation or a person acting on its behalf has reason to believe that the presence of a person on the premises of a gaming facility is undesirable or that the person on the premises is a participant in a voluntary self-exclusion program, the lottery corporation or person acting on its behalf may</w:t>
      </w:r>
    </w:p>
    <w:p>
      <w:pPr>
        <w:numPr>
          <w:numId w:val="1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request the person to leave the premises of the gaming facility immediately, or</w:t>
      </w:r>
    </w:p>
    <w:p>
      <w:pPr>
        <w:numPr>
          <w:numId w:val="1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by written notice delivered to the person, forbid him or her to enter the premises of the gaming facility at any time during a period specified in the notice.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w:t>
      </w:r>
      <w:r>
        <w:rPr>
          <w:rFonts w:ascii="arial" w:eastAsia="arial" w:hAnsi="arial" w:cs="arial"/>
          <w:color w:val="000000"/>
          <w:sz w:val="20"/>
          <w:lang w:val="en-US" w:eastAsia="en-US" w:bidi="ar-SA"/>
        </w:rPr>
        <w:t xml:space="preserve">  Section 93(1)(c) of the </w:t>
      </w:r>
      <w:r>
        <w:rPr>
          <w:rFonts w:ascii="arial" w:eastAsia="arial" w:hAnsi="arial" w:cs="arial"/>
          <w:i/>
          <w:color w:val="000000"/>
          <w:sz w:val="20"/>
          <w:lang w:val="en-US" w:eastAsia="en-US" w:bidi="ar-SA"/>
        </w:rPr>
        <w:t>Act</w:t>
      </w:r>
      <w:r>
        <w:rPr>
          <w:rFonts w:ascii="arial" w:eastAsia="arial" w:hAnsi="arial" w:cs="arial"/>
          <w:color w:val="000000"/>
          <w:sz w:val="20"/>
          <w:lang w:val="en-US" w:eastAsia="en-US" w:bidi="ar-SA"/>
        </w:rPr>
        <w:t xml:space="preserve"> states:</w:t>
      </w:r>
      <w:r>
        <w:rPr>
          <w:rFonts w:ascii="arial" w:eastAsia="arial" w:hAnsi="arial" w:cs="arial"/>
          <w:sz w:val="20"/>
          <w:lang w:val="en-US" w:eastAsia="en-US" w:bidi="ar-SA"/>
        </w:rPr>
        <w:cr/>
      </w:r>
    </w:p>
    <w:p>
      <w:pPr>
        <w:numPr>
          <w:numId w:val="14"/>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A person must not</w:t>
      </w:r>
    </w:p>
    <w:p>
      <w:pPr>
        <w:numPr>
          <w:numId w:val="15"/>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enter the premises of the gaming facility at any time during the period specified in a written notice referred to in section 92 (b) that has been delivered to the person in accordance with section 92 (b).</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w:t>
      </w:r>
      <w:r>
        <w:rPr>
          <w:rFonts w:ascii="arial" w:eastAsia="arial" w:hAnsi="arial" w:cs="arial"/>
          <w:color w:val="000000"/>
          <w:sz w:val="20"/>
          <w:lang w:val="en-US" w:eastAsia="en-US" w:bidi="ar-SA"/>
        </w:rPr>
        <w:t>  In this case the written notice referred to in s. 92(b) was the notice in the VSE form itself as it states in the form.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w:t>
      </w:r>
      <w:r>
        <w:rPr>
          <w:rFonts w:ascii="arial" w:eastAsia="arial" w:hAnsi="arial" w:cs="arial"/>
          <w:color w:val="000000"/>
          <w:sz w:val="20"/>
          <w:lang w:val="en-US" w:eastAsia="en-US" w:bidi="ar-SA"/>
        </w:rPr>
        <w:t xml:space="preserve">  As of June 3 2010, s. 93(3) of the </w:t>
      </w:r>
      <w:r>
        <w:rPr>
          <w:rFonts w:ascii="arial" w:eastAsia="arial" w:hAnsi="arial" w:cs="arial"/>
          <w:i/>
          <w:color w:val="000000"/>
          <w:sz w:val="20"/>
          <w:lang w:val="en-US" w:eastAsia="en-US" w:bidi="ar-SA"/>
        </w:rPr>
        <w:t>Act</w:t>
      </w:r>
      <w:r>
        <w:rPr>
          <w:rFonts w:ascii="arial" w:eastAsia="arial" w:hAnsi="arial" w:cs="arial"/>
          <w:color w:val="000000"/>
          <w:sz w:val="20"/>
          <w:lang w:val="en-US" w:eastAsia="en-US" w:bidi="ar-SA"/>
        </w:rPr>
        <w:t xml:space="preserve"> stated: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 person is not entitled to any prize or winnings as a result of the person's participation in gaming at a gaming facility if written notice referred to in section 92(b) has been delivered to the person in accordance with section 92(b).</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w:t>
      </w:r>
      <w:r>
        <w:rPr>
          <w:rFonts w:ascii="arial" w:eastAsia="arial" w:hAnsi="arial" w:cs="arial"/>
          <w:color w:val="000000"/>
          <w:sz w:val="20"/>
          <w:lang w:val="en-US" w:eastAsia="en-US" w:bidi="ar-SA"/>
        </w:rPr>
        <w:t>  The evidence is clear that the plaintiff entered gaming facilities, including the Gateway and Orangeville casinos, in British Columbia, for the purpose of gambling on many occasions while she was a participant in the VSE program in the period 2007-2010, and was never identified in any of those facilities as a self-excluded person and requested to leave.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w:t>
      </w:r>
      <w:r>
        <w:rPr>
          <w:rFonts w:ascii="arial" w:eastAsia="arial" w:hAnsi="arial" w:cs="arial"/>
          <w:color w:val="000000"/>
          <w:sz w:val="20"/>
          <w:lang w:val="en-US" w:eastAsia="en-US" w:bidi="ar-SA"/>
        </w:rPr>
        <w:t xml:space="preserve">  She now claims recovery of her alleged losses from gambling at the two defendant casinos, from all three defendants, on the legal grounds of unjust enrichment or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or breach of fiduciary duty.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w:t>
      </w:r>
      <w:r>
        <w:rPr>
          <w:rFonts w:ascii="arial" w:eastAsia="arial" w:hAnsi="arial" w:cs="arial"/>
          <w:color w:val="000000"/>
          <w:sz w:val="20"/>
          <w:lang w:val="en-US" w:eastAsia="en-US" w:bidi="ar-SA"/>
        </w:rPr>
        <w:t>  She seeks to avoid the consequences of her execution of the VSE form by initially relying on contract law exempting persons from the consequences of agreeing to exclusion from liability clauses, although she does not rely on the form being a contract. Later she relies on the VSE form as providing for no exchange of consideration to support a claim in contract, and for that reason being unenforceable.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II. THE EXPERT WITNESSES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A. Dr. Ladouceur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w:t>
      </w:r>
      <w:r>
        <w:rPr>
          <w:rFonts w:ascii="arial" w:eastAsia="arial" w:hAnsi="arial" w:cs="arial"/>
          <w:color w:val="000000"/>
          <w:sz w:val="20"/>
          <w:lang w:val="en-US" w:eastAsia="en-US" w:bidi="ar-SA"/>
        </w:rPr>
        <w:t>  Dr. Ladouceur is professor emeritus at the School of Psychology at Laval University in Quebec, Canada.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w:t>
      </w:r>
      <w:r>
        <w:rPr>
          <w:rFonts w:ascii="arial" w:eastAsia="arial" w:hAnsi="arial" w:cs="arial"/>
          <w:color w:val="000000"/>
          <w:sz w:val="20"/>
          <w:lang w:val="en-US" w:eastAsia="en-US" w:bidi="ar-SA"/>
        </w:rPr>
        <w:t>  His area of expertise is the psychology of gambling that covers four different areas:</w:t>
      </w:r>
      <w:r>
        <w:rPr>
          <w:rFonts w:ascii="arial" w:eastAsia="arial" w:hAnsi="arial" w:cs="arial"/>
          <w:sz w:val="20"/>
          <w:lang w:val="en-US" w:eastAsia="en-US" w:bidi="ar-SA"/>
        </w:rPr>
        <w:cr/>
      </w:r>
    </w:p>
    <w:p>
      <w:pPr>
        <w:numPr>
          <w:numId w:val="16"/>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Understanding the fundamental components of why people gamble.</w:t>
      </w:r>
    </w:p>
    <w:p>
      <w:pPr>
        <w:numPr>
          <w:numId w:val="17"/>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Identifying the prevalence of gambling behaviour and problem gambling among different sub groups.</w:t>
      </w:r>
    </w:p>
    <w:p>
      <w:pPr>
        <w:numPr>
          <w:numId w:val="18"/>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Developing, implementing and assessing different prevention or responsible gambling programs, including self-exclusion programs; and</w:t>
      </w:r>
    </w:p>
    <w:p>
      <w:pPr>
        <w:numPr>
          <w:numId w:val="1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Developing and assessing treatment programs for pathological gamblers.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w:t>
      </w:r>
      <w:r>
        <w:rPr>
          <w:rFonts w:ascii="arial" w:eastAsia="arial" w:hAnsi="arial" w:cs="arial"/>
          <w:color w:val="000000"/>
          <w:sz w:val="20"/>
          <w:lang w:val="en-US" w:eastAsia="en-US" w:bidi="ar-SA"/>
        </w:rPr>
        <w:t>  He was qualified at trial to give opinions as an expert in the treatment and prevention of pathological gambling and the study of responsible gambling initiatives including self-exclusion programs.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w:t>
      </w:r>
      <w:r>
        <w:rPr>
          <w:rFonts w:ascii="arial" w:eastAsia="arial" w:hAnsi="arial" w:cs="arial"/>
          <w:color w:val="000000"/>
          <w:sz w:val="20"/>
          <w:lang w:val="en-US" w:eastAsia="en-US" w:bidi="ar-SA"/>
        </w:rPr>
        <w:t>  It is his opinion that pathological gamblers are a vulnerable part of society.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w:t>
      </w:r>
      <w:r>
        <w:rPr>
          <w:rFonts w:ascii="arial" w:eastAsia="arial" w:hAnsi="arial" w:cs="arial"/>
          <w:color w:val="000000"/>
          <w:sz w:val="20"/>
          <w:lang w:val="en-US" w:eastAsia="en-US" w:bidi="ar-SA"/>
        </w:rPr>
        <w:t>  It is his evidence that to his knowledge no casino in North America used any official mandatory identification procedure to enter a casino, such as personal identification, passport or fingerprints during the period from 2007-2010.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34</w:t>
      </w:r>
      <w:r>
        <w:rPr>
          <w:rFonts w:ascii="arial" w:eastAsia="arial" w:hAnsi="arial" w:cs="arial"/>
          <w:color w:val="000000"/>
          <w:sz w:val="20"/>
          <w:lang w:val="en-US" w:eastAsia="en-US" w:bidi="ar-SA"/>
        </w:rPr>
        <w:t>  He says the main procedures used in Canada and in US casinos for self-excluded programs were as employed by BCLC for the plaintiff, consisting of a gambling patron approaching staff with a request to self-exclude, the execution of a formal agreement whereby the patron agrees to be removed from the gambling venue should they be identified as in breach of the self-exclusion order, and the imposition of a penalty for breaches of the self-exclusion agreement including the confiscation of winnings, the arrest for trespass of the violator, or a fine.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35</w:t>
      </w:r>
      <w:r>
        <w:rPr>
          <w:rFonts w:ascii="arial" w:eastAsia="arial" w:hAnsi="arial" w:cs="arial"/>
          <w:color w:val="000000"/>
          <w:sz w:val="20"/>
          <w:lang w:val="en-US" w:eastAsia="en-US" w:bidi="ar-SA"/>
        </w:rPr>
        <w:t>  In his opinion, the ultimate decision to gamble or not belongs to the individual gambler. A voluntary request for self-exclusion demonstrates that the individual accepts to some degree that their gambling is excessive and causing harm, recognizes a need to take personal responsibility to address the issue, and demonstrates motivation to become an active participant in the process.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36</w:t>
      </w:r>
      <w:r>
        <w:rPr>
          <w:rFonts w:ascii="arial" w:eastAsia="arial" w:hAnsi="arial" w:cs="arial"/>
          <w:color w:val="000000"/>
          <w:sz w:val="20"/>
          <w:lang w:val="en-US" w:eastAsia="en-US" w:bidi="ar-SA"/>
        </w:rPr>
        <w:t>  He considers it very difficult if not impossible to force someone to change if they do not wish to. A desire to change is not enough. The person must take concrete actions and move from external to internal control. Assuming responsibility for one's own action is a pivotal point in the process of change.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37</w:t>
      </w:r>
      <w:r>
        <w:rPr>
          <w:rFonts w:ascii="arial" w:eastAsia="arial" w:hAnsi="arial" w:cs="arial"/>
          <w:color w:val="000000"/>
          <w:sz w:val="20"/>
          <w:lang w:val="en-US" w:eastAsia="en-US" w:bidi="ar-SA"/>
        </w:rPr>
        <w:t>  The responsibility in his view of the person who self-excludes is to recognize and accept the existence of a gambling problem and to be willing and motivated to deal with the gambling problem and make a considered and not impulsive decision to self-exclude.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38</w:t>
      </w:r>
      <w:r>
        <w:rPr>
          <w:rFonts w:ascii="arial" w:eastAsia="arial" w:hAnsi="arial" w:cs="arial"/>
          <w:color w:val="000000"/>
          <w:sz w:val="20"/>
          <w:lang w:val="en-US" w:eastAsia="en-US" w:bidi="ar-SA"/>
        </w:rPr>
        <w:t>  In addition, the responsibility when self-excluded is to remain motivated and committed during the duration of the self-exclusion period and accept responsibility for complying with the self-exclusion order.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39</w:t>
      </w:r>
      <w:r>
        <w:rPr>
          <w:rFonts w:ascii="arial" w:eastAsia="arial" w:hAnsi="arial" w:cs="arial"/>
          <w:color w:val="000000"/>
          <w:sz w:val="20"/>
          <w:lang w:val="en-US" w:eastAsia="en-US" w:bidi="ar-SA"/>
        </w:rPr>
        <w:t>  The gambler has voluntarily asked to be excluded and in his view should assume the responsibility to comply with his or her decision.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40</w:t>
      </w:r>
      <w:r>
        <w:rPr>
          <w:rFonts w:ascii="arial" w:eastAsia="arial" w:hAnsi="arial" w:cs="arial"/>
          <w:color w:val="000000"/>
          <w:sz w:val="20"/>
          <w:lang w:val="en-US" w:eastAsia="en-US" w:bidi="ar-SA"/>
        </w:rPr>
        <w:t>  He says the responsibility of the casino industry is to put in place procedures, policies and infrastructure to implement an effective self-exclusion program that will help a portion of the patrons who are in the self-exclusion program.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41</w:t>
      </w:r>
      <w:r>
        <w:rPr>
          <w:rFonts w:ascii="arial" w:eastAsia="arial" w:hAnsi="arial" w:cs="arial"/>
          <w:color w:val="000000"/>
          <w:sz w:val="20"/>
          <w:lang w:val="en-US" w:eastAsia="en-US" w:bidi="ar-SA"/>
        </w:rPr>
        <w:t>  This responsibility in his view includes the training of staff in casinos in the principles underlying self-exclusion, the operational procedures utilized in implementing such a program, and the institution of policies and procedures to effectively detect breaches of self-exclusion orders.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42</w:t>
      </w:r>
      <w:r>
        <w:rPr>
          <w:rFonts w:ascii="arial" w:eastAsia="arial" w:hAnsi="arial" w:cs="arial"/>
          <w:color w:val="000000"/>
          <w:sz w:val="20"/>
          <w:lang w:val="en-US" w:eastAsia="en-US" w:bidi="ar-SA"/>
        </w:rPr>
        <w:t>  In his view, the best way to determine the effectiveness of a self-exclusion program is to determine the number of breaches identified.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43</w:t>
      </w:r>
      <w:r>
        <w:rPr>
          <w:rFonts w:ascii="arial" w:eastAsia="arial" w:hAnsi="arial" w:cs="arial"/>
          <w:color w:val="000000"/>
          <w:sz w:val="20"/>
          <w:lang w:val="en-US" w:eastAsia="en-US" w:bidi="ar-SA"/>
        </w:rPr>
        <w:t>  He agrees that if security and surveillance staff do not review the photographs taken of the VSE persons for the purpose of seeking to identify them in the casino, it would defeat the purpose of the taking of the photographs.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44</w:t>
      </w:r>
      <w:r>
        <w:rPr>
          <w:rFonts w:ascii="arial" w:eastAsia="arial" w:hAnsi="arial" w:cs="arial"/>
          <w:color w:val="000000"/>
          <w:sz w:val="20"/>
          <w:lang w:val="en-US" w:eastAsia="en-US" w:bidi="ar-SA"/>
        </w:rPr>
        <w:t>  He says the main conclusions of empirical studies of the self-exclusion programs in North America are that the urge to gamble is significantly reduced during the self-exclusion period, the perception of the self-excluded person of control of his or her gambling is significantly increased, and the amount of time and money spent gambling is reduced.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45</w:t>
      </w:r>
      <w:r>
        <w:rPr>
          <w:rFonts w:ascii="arial" w:eastAsia="arial" w:hAnsi="arial" w:cs="arial"/>
          <w:color w:val="000000"/>
          <w:sz w:val="20"/>
          <w:lang w:val="en-US" w:eastAsia="en-US" w:bidi="ar-SA"/>
        </w:rPr>
        <w:t>  The main positive results occur in his view during the first months of the self-exclusion period but unfortunately tend to fade out as time passes.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46</w:t>
      </w:r>
      <w:r>
        <w:rPr>
          <w:rFonts w:ascii="arial" w:eastAsia="arial" w:hAnsi="arial" w:cs="arial"/>
          <w:color w:val="000000"/>
          <w:sz w:val="20"/>
          <w:lang w:val="en-US" w:eastAsia="en-US" w:bidi="ar-SA"/>
        </w:rPr>
        <w:t>  He concludes that self-exclusion provides some very interesting and significant positive outcomes, but improvement is not linear. Many self-exclusion persons will breach during their self-exclusion period - up to 40%-50%. Some will be chronic or compulsive breachers and breaches may occur more frequently as the self-exclusion period progresses.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47</w:t>
      </w:r>
      <w:r>
        <w:rPr>
          <w:rFonts w:ascii="arial" w:eastAsia="arial" w:hAnsi="arial" w:cs="arial"/>
          <w:color w:val="000000"/>
          <w:sz w:val="20"/>
          <w:lang w:val="en-US" w:eastAsia="en-US" w:bidi="ar-SA"/>
        </w:rPr>
        <w:t>  In his opinion, the self-exclusion procedures implemented by BCLC during the period 2007-2010 include the main components of what was used in self-exclusion gaming venues in North America and were consistent with the programs in the majority of Canadian provinces and US states.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B. Dr. Blaszczynski</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48</w:t>
      </w:r>
      <w:r>
        <w:rPr>
          <w:rFonts w:ascii="arial" w:eastAsia="arial" w:hAnsi="arial" w:cs="arial"/>
          <w:color w:val="000000"/>
          <w:sz w:val="20"/>
          <w:lang w:val="en-US" w:eastAsia="en-US" w:bidi="ar-SA"/>
        </w:rPr>
        <w:t>  Dr. Blaszczynski's practice is in the general area of clinical psychology, in particular the study of problem and psychological gambling.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49</w:t>
      </w:r>
      <w:r>
        <w:rPr>
          <w:rFonts w:ascii="arial" w:eastAsia="arial" w:hAnsi="arial" w:cs="arial"/>
          <w:color w:val="000000"/>
          <w:sz w:val="20"/>
          <w:lang w:val="en-US" w:eastAsia="en-US" w:bidi="ar-SA"/>
        </w:rPr>
        <w:t>  He is a member of the College of Clinical Psychologists of the Australian and American Psychological Societies, and a professor of clinical psychology at the School of Psychology at the University of Sydney Australia.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50</w:t>
      </w:r>
      <w:r>
        <w:rPr>
          <w:rFonts w:ascii="arial" w:eastAsia="arial" w:hAnsi="arial" w:cs="arial"/>
          <w:color w:val="000000"/>
          <w:sz w:val="20"/>
          <w:lang w:val="en-US" w:eastAsia="en-US" w:bidi="ar-SA"/>
        </w:rPr>
        <w:t>  He is also director of the University of Sydney Gambling Treatment Clinic and its gambling research unit as well as a private consultant.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51</w:t>
      </w:r>
      <w:r>
        <w:rPr>
          <w:rFonts w:ascii="arial" w:eastAsia="arial" w:hAnsi="arial" w:cs="arial"/>
          <w:color w:val="000000"/>
          <w:sz w:val="20"/>
          <w:lang w:val="en-US" w:eastAsia="en-US" w:bidi="ar-SA"/>
        </w:rPr>
        <w:t>  He considers the term "compulsive gambling" to be used colloquially to describe the gambling by an individual driven to gamble by unnatural and uncontrollable urges or cravings.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52</w:t>
      </w:r>
      <w:r>
        <w:rPr>
          <w:rFonts w:ascii="arial" w:eastAsia="arial" w:hAnsi="arial" w:cs="arial"/>
          <w:color w:val="000000"/>
          <w:sz w:val="20"/>
          <w:lang w:val="en-US" w:eastAsia="en-US" w:bidi="ar-SA"/>
        </w:rPr>
        <w:t>  He says it is widely accepted that compulsive gambling does not represent a variant of the obsessive/compulsive group of psychiatric disorders.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53</w:t>
      </w:r>
      <w:r>
        <w:rPr>
          <w:rFonts w:ascii="arial" w:eastAsia="arial" w:hAnsi="arial" w:cs="arial"/>
          <w:color w:val="000000"/>
          <w:sz w:val="20"/>
          <w:lang w:val="en-US" w:eastAsia="en-US" w:bidi="ar-SA"/>
        </w:rPr>
        <w:t>  Problem gambling is a lay term that refers to a category of individuals exhibiting problems of excessive gambling behaviour that is associated with harmful effects.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54</w:t>
      </w:r>
      <w:r>
        <w:rPr>
          <w:rFonts w:ascii="arial" w:eastAsia="arial" w:hAnsi="arial" w:cs="arial"/>
          <w:color w:val="000000"/>
          <w:sz w:val="20"/>
          <w:lang w:val="en-US" w:eastAsia="en-US" w:bidi="ar-SA"/>
        </w:rPr>
        <w:t>  He says there is no formal diagnostic classification for problem gamblers and individuals experiencing problem gambling may or may not suffer impaired control.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55</w:t>
      </w:r>
      <w:r>
        <w:rPr>
          <w:rFonts w:ascii="arial" w:eastAsia="arial" w:hAnsi="arial" w:cs="arial"/>
          <w:color w:val="000000"/>
          <w:sz w:val="20"/>
          <w:lang w:val="en-US" w:eastAsia="en-US" w:bidi="ar-SA"/>
        </w:rPr>
        <w:t>  Pathological gambling he applies to a subset of problem gamblers who meet formal psychiatric diagnostic criteria, characterized by features of dependence, tolerance and withdrawal, and impaired control as evidenced by repeated unsuccessful, genuine attempts to cease gambling.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56</w:t>
      </w:r>
      <w:r>
        <w:rPr>
          <w:rFonts w:ascii="arial" w:eastAsia="arial" w:hAnsi="arial" w:cs="arial"/>
          <w:color w:val="000000"/>
          <w:sz w:val="20"/>
          <w:lang w:val="en-US" w:eastAsia="en-US" w:bidi="ar-SA"/>
        </w:rPr>
        <w:t>  The causes of problem and pathological gambling are postulated by him to be associated with the presence of erroneous beliefs and misunderstanding of probabilities and statistics that result in individuals overestimating the likelihood of winning.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57</w:t>
      </w:r>
      <w:r>
        <w:rPr>
          <w:rFonts w:ascii="arial" w:eastAsia="arial" w:hAnsi="arial" w:cs="arial"/>
          <w:color w:val="000000"/>
          <w:sz w:val="20"/>
          <w:lang w:val="en-US" w:eastAsia="en-US" w:bidi="ar-SA"/>
        </w:rPr>
        <w:t>  He says clinical trials have demonstrated that compulsive problem and pathological gambling can be considered a treatable condition for those entering treatment programs.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58</w:t>
      </w:r>
      <w:r>
        <w:rPr>
          <w:rFonts w:ascii="arial" w:eastAsia="arial" w:hAnsi="arial" w:cs="arial"/>
          <w:color w:val="000000"/>
          <w:sz w:val="20"/>
          <w:lang w:val="en-US" w:eastAsia="en-US" w:bidi="ar-SA"/>
        </w:rPr>
        <w:t>  He interviewed the plaintiff on February 2, 2012. His conclusion is that prior to her voluntary self-exclusion enrollment on June 12, 2007, she met the criteria for a diagnosis of pathological gambling and during her self-exclusion period of 2007-2010 she continued to meet that criteria.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59</w:t>
      </w:r>
      <w:r>
        <w:rPr>
          <w:rFonts w:ascii="arial" w:eastAsia="arial" w:hAnsi="arial" w:cs="arial"/>
          <w:color w:val="000000"/>
          <w:sz w:val="20"/>
          <w:lang w:val="en-US" w:eastAsia="en-US" w:bidi="ar-SA"/>
        </w:rPr>
        <w:t>  He concludes that during this period of time, she suffered an impulse control disorder that contributed to her gambling activity.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60</w:t>
      </w:r>
      <w:r>
        <w:rPr>
          <w:rFonts w:ascii="arial" w:eastAsia="arial" w:hAnsi="arial" w:cs="arial"/>
          <w:color w:val="000000"/>
          <w:sz w:val="20"/>
          <w:lang w:val="en-US" w:eastAsia="en-US" w:bidi="ar-SA"/>
        </w:rPr>
        <w:t>  He also concludes that she met the diagnosis of panic anxiety with mild agoraphobia but there was no direct causal link between her anxiety and the development of her pathological gambling condition.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61</w:t>
      </w:r>
      <w:r>
        <w:rPr>
          <w:rFonts w:ascii="arial" w:eastAsia="arial" w:hAnsi="arial" w:cs="arial"/>
          <w:color w:val="000000"/>
          <w:sz w:val="20"/>
          <w:lang w:val="en-US" w:eastAsia="en-US" w:bidi="ar-SA"/>
        </w:rPr>
        <w:t>  However, in his view her anxiety did contribute to her gambling and played a role in increasing her vulnerability to use gambling as a means of relieving her stress condition.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62</w:t>
      </w:r>
      <w:r>
        <w:rPr>
          <w:rFonts w:ascii="arial" w:eastAsia="arial" w:hAnsi="arial" w:cs="arial"/>
          <w:color w:val="000000"/>
          <w:sz w:val="20"/>
          <w:lang w:val="en-US" w:eastAsia="en-US" w:bidi="ar-SA"/>
        </w:rPr>
        <w:t>  Gambling for her developed from a social activity to a dual one where she engaged in repetitive gambling to win money and escape from her emotional and financial stresses.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63</w:t>
      </w:r>
      <w:r>
        <w:rPr>
          <w:rFonts w:ascii="arial" w:eastAsia="arial" w:hAnsi="arial" w:cs="arial"/>
          <w:color w:val="000000"/>
          <w:sz w:val="20"/>
          <w:lang w:val="en-US" w:eastAsia="en-US" w:bidi="ar-SA"/>
        </w:rPr>
        <w:t>  She suffered from the disorders of pathological gambling and panic anxiety prior to her enrollment in the VSE program in 2007, but there is no evidence in his view that her gambling during the self-exclusion period aggravated her pathological gambling or her anxiety disorder.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64</w:t>
      </w:r>
      <w:r>
        <w:rPr>
          <w:rFonts w:ascii="arial" w:eastAsia="arial" w:hAnsi="arial" w:cs="arial"/>
          <w:color w:val="000000"/>
          <w:sz w:val="20"/>
          <w:lang w:val="en-US" w:eastAsia="en-US" w:bidi="ar-SA"/>
        </w:rPr>
        <w:t>  In answer to whether her psychological disorder would have impeded or otherwise prevented her from identifying herself to casino staff or to BCLC that she was a participant in the VSE program and that she was breaching it by entering the premises of casinos in British Columbia, he points to the fact that she did contact BCLC during the period of her enrollment when she requested that her photograph be re-circulated within the casino and when she accepted the casino's offer to attend counselling sessions.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65</w:t>
      </w:r>
      <w:r>
        <w:rPr>
          <w:rFonts w:ascii="arial" w:eastAsia="arial" w:hAnsi="arial" w:cs="arial"/>
          <w:color w:val="000000"/>
          <w:sz w:val="20"/>
          <w:lang w:val="en-US" w:eastAsia="en-US" w:bidi="ar-SA"/>
        </w:rPr>
        <w:t>  In that context, she demonstrated in his view the ability to communicate with the casino and BCLC about her exclusion and he expresses the opinion that there was no psychiatric or psychological impediment preventing or impeding her capacity to identify herself to staff and inform them of her VSE status when she entered a casino.</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C. Dr. William Koch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66</w:t>
      </w:r>
      <w:r>
        <w:rPr>
          <w:rFonts w:ascii="arial" w:eastAsia="arial" w:hAnsi="arial" w:cs="arial"/>
          <w:color w:val="000000"/>
          <w:sz w:val="20"/>
          <w:lang w:val="en-US" w:eastAsia="en-US" w:bidi="ar-SA"/>
        </w:rPr>
        <w:t>  Dr. Koch is a registered psychologist in the Province of British Columbia and a clinical full professor in the Department of Psychiatry, Faculty of Medicine at the University of British Columbia. (UBC).</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67</w:t>
      </w:r>
      <w:r>
        <w:rPr>
          <w:rFonts w:ascii="arial" w:eastAsia="arial" w:hAnsi="arial" w:cs="arial"/>
          <w:color w:val="000000"/>
          <w:sz w:val="20"/>
          <w:lang w:val="en-US" w:eastAsia="en-US" w:bidi="ar-SA"/>
        </w:rPr>
        <w:t>  He is also an adjunct professor in the Departments of Psychology at both UBC and Simon Fraser University.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68</w:t>
      </w:r>
      <w:r>
        <w:rPr>
          <w:rFonts w:ascii="arial" w:eastAsia="arial" w:hAnsi="arial" w:cs="arial"/>
          <w:color w:val="000000"/>
          <w:sz w:val="20"/>
          <w:lang w:val="en-US" w:eastAsia="en-US" w:bidi="ar-SA"/>
        </w:rPr>
        <w:t>  He has published extensively and over the past 30 years has assessed and treated patients with depressive anxiety and stress related physical disorders.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69</w:t>
      </w:r>
      <w:r>
        <w:rPr>
          <w:rFonts w:ascii="arial" w:eastAsia="arial" w:hAnsi="arial" w:cs="arial"/>
          <w:color w:val="000000"/>
          <w:sz w:val="20"/>
          <w:lang w:val="en-US" w:eastAsia="en-US" w:bidi="ar-SA"/>
        </w:rPr>
        <w:t>  He also interviewed the plaintiff and he says that from his interview and from some minor notations in her health records, it seems more likely than not that she has suffered from panic disorder with agoraphobia since sometime between 1980 and 1993.</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70</w:t>
      </w:r>
      <w:r>
        <w:rPr>
          <w:rFonts w:ascii="arial" w:eastAsia="arial" w:hAnsi="arial" w:cs="arial"/>
          <w:color w:val="000000"/>
          <w:sz w:val="20"/>
          <w:lang w:val="en-US" w:eastAsia="en-US" w:bidi="ar-SA"/>
        </w:rPr>
        <w:t>  To the issue of whether her pre-existing anxiety including agoraphobia would be reinforced by her entering the casino, he says that it seems very unlikely as casinos are bright, visually stimulating and noisy environments with unclear escape routes, all of which would typically be adverse to a person with panic disorder and agoraphobia.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71</w:t>
      </w:r>
      <w:r>
        <w:rPr>
          <w:rFonts w:ascii="arial" w:eastAsia="arial" w:hAnsi="arial" w:cs="arial"/>
          <w:color w:val="000000"/>
          <w:sz w:val="20"/>
          <w:lang w:val="en-US" w:eastAsia="en-US" w:bidi="ar-SA"/>
        </w:rPr>
        <w:t>  He finds it very difficult to construct a logical psychological scenario in which a panic disorder sufferer would be more pre-disposed to engage in problem gambling in a casino because of her panic disorder.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72</w:t>
      </w:r>
      <w:r>
        <w:rPr>
          <w:rFonts w:ascii="arial" w:eastAsia="arial" w:hAnsi="arial" w:cs="arial"/>
          <w:color w:val="000000"/>
          <w:sz w:val="20"/>
          <w:lang w:val="en-US" w:eastAsia="en-US" w:bidi="ar-SA"/>
        </w:rPr>
        <w:t>  In his opinion, panic disorder with agoraphobia and problem gambling are independent and unrelated conditions and if anything, panic disorder would be more likely to interfere with the development of casino gambling habits given its known negative effect on independent mobility.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73</w:t>
      </w:r>
      <w:r>
        <w:rPr>
          <w:rFonts w:ascii="arial" w:eastAsia="arial" w:hAnsi="arial" w:cs="arial"/>
          <w:color w:val="000000"/>
          <w:sz w:val="20"/>
          <w:lang w:val="en-US" w:eastAsia="en-US" w:bidi="ar-SA"/>
        </w:rPr>
        <w:t>  He says there is nothing about panic disorder that affects one's cognitive abilities generally or one's orientation to place or self-awareness of one's major life difficulties.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74</w:t>
      </w:r>
      <w:r>
        <w:rPr>
          <w:rFonts w:ascii="arial" w:eastAsia="arial" w:hAnsi="arial" w:cs="arial"/>
          <w:color w:val="000000"/>
          <w:sz w:val="20"/>
          <w:lang w:val="en-US" w:eastAsia="en-US" w:bidi="ar-SA"/>
        </w:rPr>
        <w:t>  He therefore believes it unlikely that the plaintiff's panic disorder interfered with her comprehension of any of the important facts about her presence in a casino nor of her voluntary self-exclusion.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75</w:t>
      </w:r>
      <w:r>
        <w:rPr>
          <w:rFonts w:ascii="arial" w:eastAsia="arial" w:hAnsi="arial" w:cs="arial"/>
          <w:color w:val="000000"/>
          <w:sz w:val="20"/>
          <w:lang w:val="en-US" w:eastAsia="en-US" w:bidi="ar-SA"/>
        </w:rPr>
        <w:t>  There is also nothing in her presentation and nothing about her panic disorder that suggests she would have been so socially inhibited by pathological anxiety that she could not verbally communicate with casino staff and express her concern that she was in a casino despite her voluntary self-exclusion.</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D. Mr. Alan Zajic</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76</w:t>
      </w:r>
      <w:r>
        <w:rPr>
          <w:rFonts w:ascii="arial" w:eastAsia="arial" w:hAnsi="arial" w:cs="arial"/>
          <w:color w:val="000000"/>
          <w:sz w:val="20"/>
          <w:lang w:val="en-US" w:eastAsia="en-US" w:bidi="ar-SA"/>
        </w:rPr>
        <w:t>  Mr. Zajic has over 35 years of experience in the security and surveillance disciplines primarily in gaming environments in the State of Nevada, United States.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77</w:t>
      </w:r>
      <w:r>
        <w:rPr>
          <w:rFonts w:ascii="arial" w:eastAsia="arial" w:hAnsi="arial" w:cs="arial"/>
          <w:color w:val="000000"/>
          <w:sz w:val="20"/>
          <w:lang w:val="en-US" w:eastAsia="en-US" w:bidi="ar-SA"/>
        </w:rPr>
        <w:t>  He holds the designation of Certified Surveillance Professional specific to gaming surveillance operations from the International Association of Certified Surveillance Professionals.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78</w:t>
      </w:r>
      <w:r>
        <w:rPr>
          <w:rFonts w:ascii="arial" w:eastAsia="arial" w:hAnsi="arial" w:cs="arial"/>
          <w:color w:val="000000"/>
          <w:sz w:val="20"/>
          <w:lang w:val="en-US" w:eastAsia="en-US" w:bidi="ar-SA"/>
        </w:rPr>
        <w:t>  He is an instructor at the University of Nevada in security and surveillance applications and a coordinator of the University Security and Surveillance programs.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79</w:t>
      </w:r>
      <w:r>
        <w:rPr>
          <w:rFonts w:ascii="arial" w:eastAsia="arial" w:hAnsi="arial" w:cs="arial"/>
          <w:color w:val="000000"/>
          <w:sz w:val="20"/>
          <w:lang w:val="en-US" w:eastAsia="en-US" w:bidi="ar-SA"/>
        </w:rPr>
        <w:t>  He has worked in Canada as an employee of the University of Nevada as security consultant during the past ten years in Manitoba, Alberta and British Columbia and has worked throughout the United States as well.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80</w:t>
      </w:r>
      <w:r>
        <w:rPr>
          <w:rFonts w:ascii="arial" w:eastAsia="arial" w:hAnsi="arial" w:cs="arial"/>
          <w:color w:val="000000"/>
          <w:sz w:val="20"/>
          <w:lang w:val="en-US" w:eastAsia="en-US" w:bidi="ar-SA"/>
        </w:rPr>
        <w:t>  In his opinion, the voluntary self-exclusion programs in Canada are more comprehensive than those found in most United States jurisdictions.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81</w:t>
      </w:r>
      <w:r>
        <w:rPr>
          <w:rFonts w:ascii="arial" w:eastAsia="arial" w:hAnsi="arial" w:cs="arial"/>
          <w:color w:val="000000"/>
          <w:sz w:val="20"/>
          <w:lang w:val="en-US" w:eastAsia="en-US" w:bidi="ar-SA"/>
        </w:rPr>
        <w:t>  In his opinion, the posting of and communicating the identity of self-exclusion patrons when they enrol is typical. This would include pictures, description, and details for all security personnel in a hand or computerized log, posting to bulletin boards or contained in a briefing note that is utilized at the beginning of each shift to communicate to all oncoming personnel.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82</w:t>
      </w:r>
      <w:r>
        <w:rPr>
          <w:rFonts w:ascii="arial" w:eastAsia="arial" w:hAnsi="arial" w:cs="arial"/>
          <w:color w:val="000000"/>
          <w:sz w:val="20"/>
          <w:lang w:val="en-US" w:eastAsia="en-US" w:bidi="ar-SA"/>
        </w:rPr>
        <w:t>  He says the most recent persons excluded and any persons known to have recently or repeatedly violated the self-exclusion are typically communicated to security personnel during the briefing process which occurs prior to the deployment for the shift.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83</w:t>
      </w:r>
      <w:r>
        <w:rPr>
          <w:rFonts w:ascii="arial" w:eastAsia="arial" w:hAnsi="arial" w:cs="arial"/>
          <w:color w:val="000000"/>
          <w:sz w:val="20"/>
          <w:lang w:val="en-US" w:eastAsia="en-US" w:bidi="ar-SA"/>
        </w:rPr>
        <w:t>  Communicating the report, pictures and any identifiers to the surveillance department to be included in their logs and database if applicable is also a common practice in North America.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84</w:t>
      </w:r>
      <w:r>
        <w:rPr>
          <w:rFonts w:ascii="arial" w:eastAsia="arial" w:hAnsi="arial" w:cs="arial"/>
          <w:color w:val="000000"/>
          <w:sz w:val="20"/>
          <w:lang w:val="en-US" w:eastAsia="en-US" w:bidi="ar-SA"/>
        </w:rPr>
        <w:t>  He says that other than the basic dissemination of information on barred and VSE patrons to security and surveillance personnel and the instructions to watch for them in their normal work shifts and to be alert for unusual behaviour, there are not any formal training programs that he is aware of that specifically address techniques in detection and/or visual identification of self-excluded patrons in gaming environments.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85</w:t>
      </w:r>
      <w:r>
        <w:rPr>
          <w:rFonts w:ascii="arial" w:eastAsia="arial" w:hAnsi="arial" w:cs="arial"/>
          <w:color w:val="000000"/>
          <w:sz w:val="20"/>
          <w:lang w:val="en-US" w:eastAsia="en-US" w:bidi="ar-SA"/>
        </w:rPr>
        <w:t>  Security and surveillance personnel in gaming environments are not trained in intense identification methods similar to what law enforcement goes through during a training academy lasting months.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86</w:t>
      </w:r>
      <w:r>
        <w:rPr>
          <w:rFonts w:ascii="arial" w:eastAsia="arial" w:hAnsi="arial" w:cs="arial"/>
          <w:color w:val="000000"/>
          <w:sz w:val="20"/>
          <w:lang w:val="en-US" w:eastAsia="en-US" w:bidi="ar-SA"/>
        </w:rPr>
        <w:t>  In crowded environments such as casinos those skills become difficult to use. A single security officer or surveillance agent will come across thousands of faces of patrons and employees in a working shift in larger facilities. As a result, identifying a VSE person out of a crowd is not an easy task for most security or surveillance personnel.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87</w:t>
      </w:r>
      <w:r>
        <w:rPr>
          <w:rFonts w:ascii="arial" w:eastAsia="arial" w:hAnsi="arial" w:cs="arial"/>
          <w:color w:val="000000"/>
          <w:sz w:val="20"/>
          <w:lang w:val="en-US" w:eastAsia="en-US" w:bidi="ar-SA"/>
        </w:rPr>
        <w:t>  Casino floor staff have limited involvement in VSE programs as it relates to detection and identification of VSE patrons for several reasons. Access to personal information of patrons is always kept as confidential as possible in every gaming environment. Allowing untrained or inexperienced personnel access to this sensitive information is not done in his experience due to the high probability of patron information breaches by curious employees or private investigators. Casinos floor staff have a tendency to overreact or embarrass patrons when accessing sensitive information.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88</w:t>
      </w:r>
      <w:r>
        <w:rPr>
          <w:rFonts w:ascii="arial" w:eastAsia="arial" w:hAnsi="arial" w:cs="arial"/>
          <w:color w:val="000000"/>
          <w:sz w:val="20"/>
          <w:lang w:val="en-US" w:eastAsia="en-US" w:bidi="ar-SA"/>
        </w:rPr>
        <w:t>  Facial recognition software was attempted in gaming environments in the late 1990s with dismal results. It was abandoned in short order from an operational point of view because of unmanageable false positive results.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89</w:t>
      </w:r>
      <w:r>
        <w:rPr>
          <w:rFonts w:ascii="arial" w:eastAsia="arial" w:hAnsi="arial" w:cs="arial"/>
          <w:color w:val="000000"/>
          <w:sz w:val="20"/>
          <w:lang w:val="en-US" w:eastAsia="en-US" w:bidi="ar-SA"/>
        </w:rPr>
        <w:t>  Facial recognition software during 2007-2010 in gaming environments was based on two dimensional video captured often at angles of 30 degrees or more from a video camera mounted on a ceiling. This downward view is different than digital pictures submitted of individuals which are full at face level.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90</w:t>
      </w:r>
      <w:r>
        <w:rPr>
          <w:rFonts w:ascii="arial" w:eastAsia="arial" w:hAnsi="arial" w:cs="arial"/>
          <w:color w:val="000000"/>
          <w:sz w:val="20"/>
          <w:lang w:val="en-US" w:eastAsia="en-US" w:bidi="ar-SA"/>
        </w:rPr>
        <w:t>  Combining this challenge of camera angle, two dimensional capture, varied lighting conditions and obstructions such as dark glasses or hats made most attempts at facial recognition impossible.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91</w:t>
      </w:r>
      <w:r>
        <w:rPr>
          <w:rFonts w:ascii="arial" w:eastAsia="arial" w:hAnsi="arial" w:cs="arial"/>
          <w:color w:val="000000"/>
          <w:sz w:val="20"/>
          <w:lang w:val="en-US" w:eastAsia="en-US" w:bidi="ar-SA"/>
        </w:rPr>
        <w:t>  In his opinion, facial recognition programs have yet to be proven measurably accurate enough for any useful purpose to identify a person especially in crowded casino environments.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92</w:t>
      </w:r>
      <w:r>
        <w:rPr>
          <w:rFonts w:ascii="arial" w:eastAsia="arial" w:hAnsi="arial" w:cs="arial"/>
          <w:color w:val="000000"/>
          <w:sz w:val="20"/>
          <w:lang w:val="en-US" w:eastAsia="en-US" w:bidi="ar-SA"/>
        </w:rPr>
        <w:t>  I-TRAK incident reporting and risk management software was by far the most widely used for incident tracking and management in North America between 2007 and 2010.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93</w:t>
      </w:r>
      <w:r>
        <w:rPr>
          <w:rFonts w:ascii="arial" w:eastAsia="arial" w:hAnsi="arial" w:cs="arial"/>
          <w:color w:val="000000"/>
          <w:sz w:val="20"/>
          <w:lang w:val="en-US" w:eastAsia="en-US" w:bidi="ar-SA"/>
        </w:rPr>
        <w:t>  License plate recognition software started being used in gaming operations in approximately 2007 based on his experience but was not utilized in most gaming operations during 2007-2010.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94</w:t>
      </w:r>
      <w:r>
        <w:rPr>
          <w:rFonts w:ascii="arial" w:eastAsia="arial" w:hAnsi="arial" w:cs="arial"/>
          <w:color w:val="000000"/>
          <w:sz w:val="20"/>
          <w:lang w:val="en-US" w:eastAsia="en-US" w:bidi="ar-SA"/>
        </w:rPr>
        <w:t>  He is not aware of any casino operation in North America that had security personnel check the identification of each and every patron who entered through every point of ingress between 2007 and 2010. The checking of each person's ID as they enter a casino creates a privacy issue and creates lines of patrons waiting to have their ID checked.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95</w:t>
      </w:r>
      <w:r>
        <w:rPr>
          <w:rFonts w:ascii="arial" w:eastAsia="arial" w:hAnsi="arial" w:cs="arial"/>
          <w:color w:val="000000"/>
          <w:sz w:val="20"/>
          <w:lang w:val="en-US" w:eastAsia="en-US" w:bidi="ar-SA"/>
        </w:rPr>
        <w:t>  Even with ID scanner use, checks of data still have to be physically performed by a security officer or surveillance officer and confirmation made. This all takes time and creates long lines and irritated customers.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96</w:t>
      </w:r>
      <w:r>
        <w:rPr>
          <w:rFonts w:ascii="arial" w:eastAsia="arial" w:hAnsi="arial" w:cs="arial"/>
          <w:color w:val="000000"/>
          <w:sz w:val="20"/>
          <w:lang w:val="en-US" w:eastAsia="en-US" w:bidi="ar-SA"/>
        </w:rPr>
        <w:t>  In his view, BCLC designed and created casino standards, policies and procedures for BCLC's service providers, to include security and surveillance standards that offered reasonable detection and identification of persons who are self-excluded.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97</w:t>
      </w:r>
      <w:r>
        <w:rPr>
          <w:rFonts w:ascii="arial" w:eastAsia="arial" w:hAnsi="arial" w:cs="arial"/>
          <w:color w:val="000000"/>
          <w:sz w:val="20"/>
          <w:lang w:val="en-US" w:eastAsia="en-US" w:bidi="ar-SA"/>
        </w:rPr>
        <w:t>  In the opinion of Mr. Zajic, these numerous detection mechanisms met or exceeded the common practice in gaming environments in North America and the detection systems in Canada were more comprehensive in general than those found in most US casinos he knows of.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98</w:t>
      </w:r>
      <w:r>
        <w:rPr>
          <w:rFonts w:ascii="arial" w:eastAsia="arial" w:hAnsi="arial" w:cs="arial"/>
          <w:color w:val="000000"/>
          <w:sz w:val="20"/>
          <w:lang w:val="en-US" w:eastAsia="en-US" w:bidi="ar-SA"/>
        </w:rPr>
        <w:t>  In his opinion, BCLC implemented comprehensive training programs for security and surveillance personnel of BCLC service providers.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99</w:t>
      </w:r>
      <w:r>
        <w:rPr>
          <w:rFonts w:ascii="arial" w:eastAsia="arial" w:hAnsi="arial" w:cs="arial"/>
          <w:color w:val="000000"/>
          <w:sz w:val="20"/>
          <w:lang w:val="en-US" w:eastAsia="en-US" w:bidi="ar-SA"/>
        </w:rPr>
        <w:t>  In his view, persons who are excluded from gaming environments regardless of the reason or circumstances can and will attempt to enter a facility knowing the potential consequences of their actions.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100</w:t>
      </w:r>
      <w:r>
        <w:rPr>
          <w:rFonts w:ascii="arial" w:eastAsia="arial" w:hAnsi="arial" w:cs="arial"/>
          <w:color w:val="000000"/>
          <w:sz w:val="20"/>
          <w:lang w:val="en-US" w:eastAsia="en-US" w:bidi="ar-SA"/>
        </w:rPr>
        <w:t>  His review of the program in British Columbia demonstrated to him that BCLC and its service providers used all of the available resources to reasonably defer self-excluded persons from the gaming properties, to include detection mechanisms, available technology, security and surveillance enforcement, regulatory and administrative oversight.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101</w:t>
      </w:r>
      <w:r>
        <w:rPr>
          <w:rFonts w:ascii="arial" w:eastAsia="arial" w:hAnsi="arial" w:cs="arial"/>
          <w:color w:val="000000"/>
          <w:sz w:val="20"/>
          <w:lang w:val="en-US" w:eastAsia="en-US" w:bidi="ar-SA"/>
        </w:rPr>
        <w:t>  In his view, an impressive number of persons were detected and located violating the VSE agreements and were dealt with accordingly.</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E. Mr. Darrin Hoke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102</w:t>
      </w:r>
      <w:r>
        <w:rPr>
          <w:rFonts w:ascii="arial" w:eastAsia="arial" w:hAnsi="arial" w:cs="arial"/>
          <w:color w:val="000000"/>
          <w:sz w:val="20"/>
          <w:lang w:val="en-US" w:eastAsia="en-US" w:bidi="ar-SA"/>
        </w:rPr>
        <w:t>  Mr. Hoke has over 25 years of practical hands-on experience in the areas of security, hospitality and public contact primarily in gaming environments.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103</w:t>
      </w:r>
      <w:r>
        <w:rPr>
          <w:rFonts w:ascii="arial" w:eastAsia="arial" w:hAnsi="arial" w:cs="arial"/>
          <w:color w:val="000000"/>
          <w:sz w:val="20"/>
          <w:lang w:val="en-US" w:eastAsia="en-US" w:bidi="ar-SA"/>
        </w:rPr>
        <w:t>  He is currently the president of the Louisiana Casino Surveillance Network and a past member of the Gaming Wagering Protection Council and past president of the Northern Nevada Surveillance Network.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104</w:t>
      </w:r>
      <w:r>
        <w:rPr>
          <w:rFonts w:ascii="arial" w:eastAsia="arial" w:hAnsi="arial" w:cs="arial"/>
          <w:color w:val="000000"/>
          <w:sz w:val="20"/>
          <w:lang w:val="en-US" w:eastAsia="en-US" w:bidi="ar-SA"/>
        </w:rPr>
        <w:t>  He is also an instructor at the University of Nevada in Gaming Management and specifically for surveillance operations and he regularly instructs at the University of Nevada at Reno and at the International Gaming Institute at the University of Nevada Las Vegas in gaming security and surveillance applications.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105</w:t>
      </w:r>
      <w:r>
        <w:rPr>
          <w:rFonts w:ascii="arial" w:eastAsia="arial" w:hAnsi="arial" w:cs="arial"/>
          <w:color w:val="000000"/>
          <w:sz w:val="20"/>
          <w:lang w:val="en-US" w:eastAsia="en-US" w:bidi="ar-SA"/>
        </w:rPr>
        <w:t>  He also regularly presents professional seminar sessions in the areas of gaming security and surveillance at international security and gaming conferences throughout the United States, Canada and other parts of the world.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106</w:t>
      </w:r>
      <w:r>
        <w:rPr>
          <w:rFonts w:ascii="arial" w:eastAsia="arial" w:hAnsi="arial" w:cs="arial"/>
          <w:color w:val="000000"/>
          <w:sz w:val="20"/>
          <w:lang w:val="en-US" w:eastAsia="en-US" w:bidi="ar-SA"/>
        </w:rPr>
        <w:t>  The use of a secure database of VSE registrant information was the most common technique used by all reasonably prudent casinos during the specified time period.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107</w:t>
      </w:r>
      <w:r>
        <w:rPr>
          <w:rFonts w:ascii="arial" w:eastAsia="arial" w:hAnsi="arial" w:cs="arial"/>
          <w:color w:val="000000"/>
          <w:sz w:val="20"/>
          <w:lang w:val="en-US" w:eastAsia="en-US" w:bidi="ar-SA"/>
        </w:rPr>
        <w:t>  He says that building from the database there are various methods used to detect possible VSE registrants who enter gaming facilities. Most of these methods involve some form of surveillance.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108</w:t>
      </w:r>
      <w:r>
        <w:rPr>
          <w:rFonts w:ascii="arial" w:eastAsia="arial" w:hAnsi="arial" w:cs="arial"/>
          <w:color w:val="000000"/>
          <w:sz w:val="20"/>
          <w:lang w:val="en-US" w:eastAsia="en-US" w:bidi="ar-SA"/>
        </w:rPr>
        <w:t>  In his opinion, visual surveillance was and is used by all reasonably prudent casino operators. However, it is important to recognize the limitations of this method.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109</w:t>
      </w:r>
      <w:r>
        <w:rPr>
          <w:rFonts w:ascii="arial" w:eastAsia="arial" w:hAnsi="arial" w:cs="arial"/>
          <w:color w:val="000000"/>
          <w:sz w:val="20"/>
          <w:lang w:val="en-US" w:eastAsia="en-US" w:bidi="ar-SA"/>
        </w:rPr>
        <w:t>  Visual surveillance of patrons whether in person or though cameras is typically based on patrons actions and not on his or her facial appearance. Visual surveillance relies on body language and behaviour clues that can help identify undesirable patrons.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110</w:t>
      </w:r>
      <w:r>
        <w:rPr>
          <w:rFonts w:ascii="arial" w:eastAsia="arial" w:hAnsi="arial" w:cs="arial"/>
          <w:color w:val="000000"/>
          <w:sz w:val="20"/>
          <w:lang w:val="en-US" w:eastAsia="en-US" w:bidi="ar-SA"/>
        </w:rPr>
        <w:t>  Visual surveillance is less likely to detect VSE registrants than underage and intoxicated patrons because a VSE registrant's conduct and appearance is often similar to that of other casino patrons.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111</w:t>
      </w:r>
      <w:r>
        <w:rPr>
          <w:rFonts w:ascii="arial" w:eastAsia="arial" w:hAnsi="arial" w:cs="arial"/>
          <w:color w:val="000000"/>
          <w:sz w:val="20"/>
          <w:lang w:val="en-US" w:eastAsia="en-US" w:bidi="ar-SA"/>
        </w:rPr>
        <w:t>  Active visual surveillance depends on the ability of surveillance staff to recognize faces they have seen in the database.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112</w:t>
      </w:r>
      <w:r>
        <w:rPr>
          <w:rFonts w:ascii="arial" w:eastAsia="arial" w:hAnsi="arial" w:cs="arial"/>
          <w:color w:val="000000"/>
          <w:sz w:val="20"/>
          <w:lang w:val="en-US" w:eastAsia="en-US" w:bidi="ar-SA"/>
        </w:rPr>
        <w:t>  These databases can include many thousands of registrants enrolled at multiple gaming facilities across the jurisdiction and can extend back many years.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113</w:t>
      </w:r>
      <w:r>
        <w:rPr>
          <w:rFonts w:ascii="arial" w:eastAsia="arial" w:hAnsi="arial" w:cs="arial"/>
          <w:color w:val="000000"/>
          <w:sz w:val="20"/>
          <w:lang w:val="en-US" w:eastAsia="en-US" w:bidi="ar-SA"/>
        </w:rPr>
        <w:t>  In his experience, it is rare that a surveillance employee can remember more than 100 people and be accurate 100% of the time. Surveillance relies heavily on the surveillance operator's memory.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114</w:t>
      </w:r>
      <w:r>
        <w:rPr>
          <w:rFonts w:ascii="arial" w:eastAsia="arial" w:hAnsi="arial" w:cs="arial"/>
          <w:color w:val="000000"/>
          <w:sz w:val="20"/>
          <w:lang w:val="en-US" w:eastAsia="en-US" w:bidi="ar-SA"/>
        </w:rPr>
        <w:t>  Repeat offenders and recent registrants would typically be more likely identified through this method than would first time or historical registrants.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115</w:t>
      </w:r>
      <w:r>
        <w:rPr>
          <w:rFonts w:ascii="arial" w:eastAsia="arial" w:hAnsi="arial" w:cs="arial"/>
          <w:color w:val="000000"/>
          <w:sz w:val="20"/>
          <w:lang w:val="en-US" w:eastAsia="en-US" w:bidi="ar-SA"/>
        </w:rPr>
        <w:t>  It is important to note that the images used to identify VSE registrants are two-dimensional as are the camera images monitored by surveillance staff. Two dimensional images often do not provide enough depth to make accurate comparisons.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116</w:t>
      </w:r>
      <w:r>
        <w:rPr>
          <w:rFonts w:ascii="arial" w:eastAsia="arial" w:hAnsi="arial" w:cs="arial"/>
          <w:color w:val="000000"/>
          <w:sz w:val="20"/>
          <w:lang w:val="en-US" w:eastAsia="en-US" w:bidi="ar-SA"/>
        </w:rPr>
        <w:t>  Facial recognition technology was not widely used or effective during the material time, primarily because of its limitations.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117</w:t>
      </w:r>
      <w:r>
        <w:rPr>
          <w:rFonts w:ascii="arial" w:eastAsia="arial" w:hAnsi="arial" w:cs="arial"/>
          <w:color w:val="000000"/>
          <w:sz w:val="20"/>
          <w:lang w:val="en-US" w:eastAsia="en-US" w:bidi="ar-SA"/>
        </w:rPr>
        <w:t>  He says that facial recognition was not designed to be used in the casino environment because casinos typically use specific lighting to create a desired environment. Lighting is always challenging and typically spotlights are used to highlight certain games or areas and lower level ambient lighting is used throughout the rest of the casino.</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118</w:t>
      </w:r>
      <w:r>
        <w:rPr>
          <w:rFonts w:ascii="arial" w:eastAsia="arial" w:hAnsi="arial" w:cs="arial"/>
          <w:color w:val="000000"/>
          <w:sz w:val="20"/>
          <w:lang w:val="en-US" w:eastAsia="en-US" w:bidi="ar-SA"/>
        </w:rPr>
        <w:t>  He says he has not seen a commercially available facial recognition system used under typical casino operating conditions that has been able to achieve even a 50% success rate in matching surveillance photos against an existing database.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119</w:t>
      </w:r>
      <w:r>
        <w:rPr>
          <w:rFonts w:ascii="arial" w:eastAsia="arial" w:hAnsi="arial" w:cs="arial"/>
          <w:color w:val="000000"/>
          <w:sz w:val="20"/>
          <w:lang w:val="en-US" w:eastAsia="en-US" w:bidi="ar-SA"/>
        </w:rPr>
        <w:t>  Most systems fall far short of that percentage.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120</w:t>
      </w:r>
      <w:r>
        <w:rPr>
          <w:rFonts w:ascii="arial" w:eastAsia="arial" w:hAnsi="arial" w:cs="arial"/>
          <w:color w:val="000000"/>
          <w:sz w:val="20"/>
          <w:lang w:val="en-US" w:eastAsia="en-US" w:bidi="ar-SA"/>
        </w:rPr>
        <w:t>  It is notable in his view that even today to the best of his knowledge and experience, no casinos in North America routinely use facial recognition technology to identify VSE registrants.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121</w:t>
      </w:r>
      <w:r>
        <w:rPr>
          <w:rFonts w:ascii="arial" w:eastAsia="arial" w:hAnsi="arial" w:cs="arial"/>
          <w:color w:val="000000"/>
          <w:sz w:val="20"/>
          <w:lang w:val="en-US" w:eastAsia="en-US" w:bidi="ar-SA"/>
        </w:rPr>
        <w:t>  It is also his experience that license plate recognition technology was not widely used during the specified time frame to identify VSE registrants and even today the majority of casinos operating in North America do not employ license plate recognition technology to identify VSE registrants.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122</w:t>
      </w:r>
      <w:r>
        <w:rPr>
          <w:rFonts w:ascii="arial" w:eastAsia="arial" w:hAnsi="arial" w:cs="arial"/>
          <w:color w:val="000000"/>
          <w:sz w:val="20"/>
          <w:lang w:val="en-US" w:eastAsia="en-US" w:bidi="ar-SA"/>
        </w:rPr>
        <w:t>  He also says that a reasonably prudent casino did not typically check the identification of all patrons during the material time. Checking every patron's identification would likely cause a number of logistical and other issues. From a logistical perspective this scenario would cause long waiting lines during peak hours, which could be difficult to manage and which could contravene public enforcement codes that require sidewalks and entrances to be kept clear.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123</w:t>
      </w:r>
      <w:r>
        <w:rPr>
          <w:rFonts w:ascii="arial" w:eastAsia="arial" w:hAnsi="arial" w:cs="arial"/>
          <w:color w:val="000000"/>
          <w:sz w:val="20"/>
          <w:lang w:val="en-US" w:eastAsia="en-US" w:bidi="ar-SA"/>
        </w:rPr>
        <w:t>  It is also important in his view that checking all patron identification could be construed as an invasion of privacy or be intrusive to many patrons and it is relatively easy for a patron to use a fake identification.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124</w:t>
      </w:r>
      <w:r>
        <w:rPr>
          <w:rFonts w:ascii="arial" w:eastAsia="arial" w:hAnsi="arial" w:cs="arial"/>
          <w:color w:val="000000"/>
          <w:sz w:val="20"/>
          <w:lang w:val="en-US" w:eastAsia="en-US" w:bidi="ar-SA"/>
        </w:rPr>
        <w:t>  In his opinion checking the identification of every patron who enters a casino is impractical and logistically unrealistic.</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125</w:t>
      </w:r>
      <w:r>
        <w:rPr>
          <w:rFonts w:ascii="arial" w:eastAsia="arial" w:hAnsi="arial" w:cs="arial"/>
          <w:color w:val="000000"/>
          <w:sz w:val="20"/>
          <w:lang w:val="en-US" w:eastAsia="en-US" w:bidi="ar-SA"/>
        </w:rPr>
        <w:t>  In his opinion it is very difficult for casinos to detect VSE registrants due to the number of people who patronize a facility, the number of VSE registrants enrolled in the program, technology challenges and counter measures used by the registrants to avoid detection.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126</w:t>
      </w:r>
      <w:r>
        <w:rPr>
          <w:rFonts w:ascii="arial" w:eastAsia="arial" w:hAnsi="arial" w:cs="arial"/>
          <w:color w:val="000000"/>
          <w:sz w:val="20"/>
          <w:lang w:val="en-US" w:eastAsia="en-US" w:bidi="ar-SA"/>
        </w:rPr>
        <w:t>  In his opinion, the VSE program in British Columbia in 2007-2010 was consistent with other VSE programs in North America and in many respects superior to those implemented in many jurisdictions in the United States.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127</w:t>
      </w:r>
      <w:r>
        <w:rPr>
          <w:rFonts w:ascii="arial" w:eastAsia="arial" w:hAnsi="arial" w:cs="arial"/>
          <w:color w:val="000000"/>
          <w:sz w:val="20"/>
          <w:lang w:val="en-US" w:eastAsia="en-US" w:bidi="ar-SA"/>
        </w:rPr>
        <w:t>  In his experience a reasonably prudent casino operator will at most be only partially successful in detecting VSE registrants. This reality reflects the inherent difficulties that arise in trying to detect VSE registrants, who typically resemble in most respects the typical patrons in casinos.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128</w:t>
      </w:r>
      <w:r>
        <w:rPr>
          <w:rFonts w:ascii="arial" w:eastAsia="arial" w:hAnsi="arial" w:cs="arial"/>
          <w:color w:val="000000"/>
          <w:sz w:val="20"/>
          <w:lang w:val="en-US" w:eastAsia="en-US" w:bidi="ar-SA"/>
        </w:rPr>
        <w:t>  In his view, because of the difficulty in identifying VSE registrants, as a risk management tool regularly included waivers and limitation of liability clauses are employed in enrollment forms.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III. THE PLAINTIFF'S SUBMISSIONS</w:t>
      </w:r>
      <w:r>
        <w:rPr>
          <w:rFonts w:ascii="arial" w:eastAsia="arial" w:hAnsi="arial" w:cs="arial"/>
          <w:sz w:val="20"/>
          <w:lang w:val="en-US" w:eastAsia="en-US" w:bidi="ar-SA"/>
        </w:rPr>
        <w:cr/>
      </w:r>
    </w:p>
    <w:p>
      <w:pPr>
        <w:numPr>
          <w:numId w:val="20"/>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The claim for unjust enrichment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129</w:t>
      </w:r>
      <w:r>
        <w:rPr>
          <w:rFonts w:ascii="arial" w:eastAsia="arial" w:hAnsi="arial" w:cs="arial"/>
          <w:color w:val="000000"/>
          <w:sz w:val="20"/>
          <w:lang w:val="en-US" w:eastAsia="en-US" w:bidi="ar-SA"/>
        </w:rPr>
        <w:t xml:space="preserve">  Under the law of unjust enrichment, the plaintiff alleges that the casinos have been enriched with her money and she has been deprived of it, and there is no juristic reason for their enrichment because any potential gambling contract of hers that would be applicable in the circumstances is invalid and unenforceable being either illegal under the </w:t>
      </w:r>
      <w:r>
        <w:rPr>
          <w:rFonts w:ascii="arial" w:eastAsia="arial" w:hAnsi="arial" w:cs="arial"/>
          <w:i/>
          <w:color w:val="000000"/>
          <w:sz w:val="20"/>
          <w:lang w:val="en-US" w:eastAsia="en-US" w:bidi="ar-SA"/>
        </w:rPr>
        <w:t>Act</w:t>
      </w:r>
      <w:r>
        <w:rPr>
          <w:rFonts w:ascii="arial" w:eastAsia="arial" w:hAnsi="arial" w:cs="arial"/>
          <w:color w:val="000000"/>
          <w:sz w:val="20"/>
          <w:lang w:val="en-US" w:eastAsia="en-US" w:bidi="ar-SA"/>
        </w:rPr>
        <w:t xml:space="preserve"> or lacking in any consideration.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130</w:t>
      </w:r>
      <w:r>
        <w:rPr>
          <w:rFonts w:ascii="arial" w:eastAsia="arial" w:hAnsi="arial" w:cs="arial"/>
          <w:color w:val="000000"/>
          <w:sz w:val="20"/>
          <w:lang w:val="en-US" w:eastAsia="en-US" w:bidi="ar-SA"/>
        </w:rPr>
        <w:t xml:space="preserve">  Reliance is placed on the decision of </w:t>
      </w:r>
      <w:r>
        <w:rPr>
          <w:rFonts w:ascii="arial" w:eastAsia="arial" w:hAnsi="arial" w:cs="arial"/>
          <w:i/>
          <w:color w:val="000000"/>
          <w:sz w:val="20"/>
          <w:lang w:val="en-US" w:eastAsia="en-US" w:bidi="ar-SA"/>
        </w:rPr>
        <w:t>Microcell Communications Inc. v. Frey</w:t>
      </w:r>
      <w:r>
        <w:rPr>
          <w:rFonts w:ascii="arial" w:eastAsia="arial" w:hAnsi="arial" w:cs="arial"/>
          <w:color w:val="000000"/>
          <w:sz w:val="20"/>
          <w:lang w:val="en-US" w:eastAsia="en-US" w:bidi="ar-SA"/>
        </w:rPr>
        <w:t xml:space="preserve">, </w:t>
      </w:r>
      <w:hyperlink r:id="rId149" w:history="1">
        <w:r>
          <w:rPr>
            <w:rFonts w:ascii="arial" w:eastAsia="arial" w:hAnsi="arial" w:cs="arial"/>
            <w:i/>
            <w:color w:val="0077CC"/>
            <w:sz w:val="20"/>
            <w:u w:val="single"/>
            <w:shd w:val="clear" w:color="auto" w:fill="FFFFFF"/>
            <w:lang w:val="en-US" w:eastAsia="en-US" w:bidi="ar-SA"/>
          </w:rPr>
          <w:t>2011 SKCA 136</w:t>
        </w:r>
      </w:hyperlink>
      <w:r>
        <w:rPr>
          <w:rFonts w:ascii="arial" w:eastAsia="arial" w:hAnsi="arial" w:cs="arial"/>
          <w:color w:val="000000"/>
          <w:sz w:val="20"/>
          <w:lang w:val="en-US" w:eastAsia="en-US" w:bidi="ar-SA"/>
        </w:rPr>
        <w:t xml:space="preserve">, </w:t>
      </w:r>
      <w:hyperlink r:id="rId149" w:history="1">
        <w:r>
          <w:rPr>
            <w:rFonts w:ascii="arial" w:eastAsia="arial" w:hAnsi="arial" w:cs="arial"/>
            <w:i/>
            <w:color w:val="0077CC"/>
            <w:sz w:val="20"/>
            <w:u w:val="single"/>
            <w:shd w:val="clear" w:color="auto" w:fill="FFFFFF"/>
            <w:lang w:val="en-US" w:eastAsia="en-US" w:bidi="ar-SA"/>
          </w:rPr>
          <w:t>[2012] 3 W.W.R. 423</w:t>
        </w:r>
      </w:hyperlink>
      <w:r>
        <w:rPr>
          <w:rFonts w:ascii="arial" w:eastAsia="arial" w:hAnsi="arial" w:cs="arial"/>
          <w:color w:val="000000"/>
          <w:sz w:val="20"/>
          <w:lang w:val="en-US" w:eastAsia="en-US" w:bidi="ar-SA"/>
        </w:rPr>
        <w:t xml:space="preserve"> (Sask C.A.), where it, at para. 26-27, was said that: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...for the contract to provide a juristic reason for the enrichment, the clause doing so must in fact justify the defendant's enrichment at the expense of the plaintiff, and the clause must be valid and enforceable. ...</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131</w:t>
      </w:r>
      <w:r>
        <w:rPr>
          <w:rFonts w:ascii="arial" w:eastAsia="arial" w:hAnsi="arial" w:cs="arial"/>
          <w:color w:val="000000"/>
          <w:sz w:val="20"/>
          <w:lang w:val="en-US" w:eastAsia="en-US" w:bidi="ar-SA"/>
        </w:rPr>
        <w:t>  The plaintiff points to the fact that on April 1, 2009, BCLC issued rules and regulations disallowing jackpot wins to self-excluded individuals. She submits that as of that date to the end of her self-excluded term on June 12, 2010, any gambling contract between her and a gaming facility was not a contract in law because there was no consideration provided to her for her right to gamble when she was denied the chance to win.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132</w:t>
      </w:r>
      <w:r>
        <w:rPr>
          <w:rFonts w:ascii="arial" w:eastAsia="arial" w:hAnsi="arial" w:cs="arial"/>
          <w:color w:val="000000"/>
          <w:sz w:val="20"/>
          <w:lang w:val="en-US" w:eastAsia="en-US" w:bidi="ar-SA"/>
        </w:rPr>
        <w:t xml:space="preserve">  In addition, it is alleged that throughout her self-exclusion period, her gambling contracts were voidable at her election under s. 93(1) of the </w:t>
      </w:r>
      <w:r>
        <w:rPr>
          <w:rFonts w:ascii="arial" w:eastAsia="arial" w:hAnsi="arial" w:cs="arial"/>
          <w:i/>
          <w:color w:val="000000"/>
          <w:sz w:val="20"/>
          <w:lang w:val="en-US" w:eastAsia="en-US" w:bidi="ar-SA"/>
        </w:rPr>
        <w:t>Act</w:t>
      </w:r>
      <w:r>
        <w:rPr>
          <w:rFonts w:ascii="arial" w:eastAsia="arial" w:hAnsi="arial" w:cs="arial"/>
          <w:color w:val="000000"/>
          <w:sz w:val="20"/>
          <w:lang w:val="en-US" w:eastAsia="en-US" w:bidi="ar-SA"/>
        </w:rPr>
        <w:t>, which made it an offence for her to enter a gaming facility after receiving a s. 92(b) notice, by virtue of s. 97(1)(d).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133</w:t>
      </w:r>
      <w:r>
        <w:rPr>
          <w:rFonts w:ascii="arial" w:eastAsia="arial" w:hAnsi="arial" w:cs="arial"/>
          <w:color w:val="000000"/>
          <w:sz w:val="20"/>
          <w:lang w:val="en-US" w:eastAsia="en-US" w:bidi="ar-SA"/>
        </w:rPr>
        <w:t xml:space="preserve">  While the </w:t>
      </w:r>
      <w:r>
        <w:rPr>
          <w:rFonts w:ascii="arial" w:eastAsia="arial" w:hAnsi="arial" w:cs="arial"/>
          <w:i/>
          <w:color w:val="000000"/>
          <w:sz w:val="20"/>
          <w:lang w:val="en-US" w:eastAsia="en-US" w:bidi="ar-SA"/>
        </w:rPr>
        <w:t>Criminal Code</w:t>
      </w:r>
      <w:r>
        <w:rPr>
          <w:rFonts w:ascii="arial" w:eastAsia="arial" w:hAnsi="arial" w:cs="arial"/>
          <w:color w:val="000000"/>
          <w:sz w:val="20"/>
          <w:lang w:val="en-US" w:eastAsia="en-US" w:bidi="ar-SA"/>
        </w:rPr>
        <w:t xml:space="preserve">, R.S.C., 1985, c. C-46, in s. 207(1) authorized a province to allow gambling under laws enacted by the province, s. 93 of the </w:t>
      </w:r>
      <w:r>
        <w:rPr>
          <w:rFonts w:ascii="arial" w:eastAsia="arial" w:hAnsi="arial" w:cs="arial"/>
          <w:i/>
          <w:color w:val="000000"/>
          <w:sz w:val="20"/>
          <w:lang w:val="en-US" w:eastAsia="en-US" w:bidi="ar-SA"/>
        </w:rPr>
        <w:t>Act</w:t>
      </w:r>
      <w:r>
        <w:rPr>
          <w:rFonts w:ascii="arial" w:eastAsia="arial" w:hAnsi="arial" w:cs="arial"/>
          <w:color w:val="000000"/>
          <w:sz w:val="20"/>
          <w:lang w:val="en-US" w:eastAsia="en-US" w:bidi="ar-SA"/>
        </w:rPr>
        <w:t xml:space="preserve"> coupled with s. 97(1)(d) made it an offence to enter a casino after self-exclusion such that it is submitted any gambling by a self-excluded person could not be in accordance with a law enacted by the province.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134</w:t>
      </w:r>
      <w:r>
        <w:rPr>
          <w:rFonts w:ascii="arial" w:eastAsia="arial" w:hAnsi="arial" w:cs="arial"/>
          <w:color w:val="000000"/>
          <w:sz w:val="20"/>
          <w:lang w:val="en-US" w:eastAsia="en-US" w:bidi="ar-SA"/>
        </w:rPr>
        <w:t xml:space="preserve">  She submits the provincial law was put in place for the benefit of gambling addicts such as her and under law where parties are not </w:t>
      </w:r>
      <w:r>
        <w:rPr>
          <w:rFonts w:ascii="arial" w:eastAsia="arial" w:hAnsi="arial" w:cs="arial"/>
          <w:i/>
          <w:color w:val="000000"/>
          <w:sz w:val="20"/>
          <w:lang w:val="en-US" w:eastAsia="en-US" w:bidi="ar-SA"/>
        </w:rPr>
        <w:t>In pari delicto</w:t>
      </w:r>
      <w:r>
        <w:rPr>
          <w:rFonts w:ascii="arial" w:eastAsia="arial" w:hAnsi="arial" w:cs="arial"/>
          <w:color w:val="000000"/>
          <w:sz w:val="20"/>
          <w:lang w:val="en-US" w:eastAsia="en-US" w:bidi="ar-SA"/>
        </w:rPr>
        <w:t xml:space="preserve"> the less guilty party is entitled to recover monies paid under an illegal contract.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135</w:t>
      </w:r>
      <w:r>
        <w:rPr>
          <w:rFonts w:ascii="arial" w:eastAsia="arial" w:hAnsi="arial" w:cs="arial"/>
          <w:color w:val="000000"/>
          <w:sz w:val="20"/>
          <w:lang w:val="en-US" w:eastAsia="en-US" w:bidi="ar-SA"/>
        </w:rPr>
        <w:t xml:space="preserve">  She cites </w:t>
      </w:r>
      <w:r>
        <w:rPr>
          <w:rFonts w:ascii="arial" w:eastAsia="arial" w:hAnsi="arial" w:cs="arial"/>
          <w:i/>
          <w:color w:val="000000"/>
          <w:sz w:val="20"/>
          <w:lang w:val="en-US" w:eastAsia="en-US" w:bidi="ar-SA"/>
        </w:rPr>
        <w:t>Anson's Law of Contract</w:t>
      </w:r>
      <w:r>
        <w:rPr>
          <w:rFonts w:ascii="arial" w:eastAsia="arial" w:hAnsi="arial" w:cs="arial"/>
          <w:color w:val="000000"/>
          <w:sz w:val="20"/>
          <w:lang w:val="en-US" w:eastAsia="en-US" w:bidi="ar-SA"/>
        </w:rPr>
        <w:t>, 29th ed., where it is said at pp. 426-428 that a person under a fiduciary duty may not be allowed to retain another's money as the proceeds of an illegal contract. While a contract may be made illegal by statute, it may be made illegal in the interest of a particular class of persons of whom the plaintiff says she is one such that she should be entitled to recover her losses.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136</w:t>
      </w:r>
      <w:r>
        <w:rPr>
          <w:rFonts w:ascii="arial" w:eastAsia="arial" w:hAnsi="arial" w:cs="arial"/>
          <w:color w:val="000000"/>
          <w:sz w:val="20"/>
          <w:lang w:val="en-US" w:eastAsia="en-US" w:bidi="ar-SA"/>
        </w:rPr>
        <w:t xml:space="preserve">  Reference is also made to this concept in the decisions of </w:t>
      </w:r>
      <w:r>
        <w:rPr>
          <w:rFonts w:ascii="arial" w:eastAsia="arial" w:hAnsi="arial" w:cs="arial"/>
          <w:i/>
          <w:color w:val="000000"/>
          <w:sz w:val="20"/>
          <w:lang w:val="en-US" w:eastAsia="en-US" w:bidi="ar-SA"/>
        </w:rPr>
        <w:t>Browning v. Morris</w:t>
      </w:r>
      <w:r>
        <w:rPr>
          <w:rFonts w:ascii="arial" w:eastAsia="arial" w:hAnsi="arial" w:cs="arial"/>
          <w:color w:val="000000"/>
          <w:sz w:val="20"/>
          <w:lang w:val="en-US" w:eastAsia="en-US" w:bidi="ar-SA"/>
        </w:rPr>
        <w:t xml:space="preserve">, (1778) 2 Cowp. 790; </w:t>
      </w:r>
      <w:r>
        <w:rPr>
          <w:rFonts w:ascii="arial" w:eastAsia="arial" w:hAnsi="arial" w:cs="arial"/>
          <w:i/>
          <w:color w:val="000000"/>
          <w:sz w:val="20"/>
          <w:lang w:val="en-US" w:eastAsia="en-US" w:bidi="ar-SA"/>
        </w:rPr>
        <w:t>Lumley v. Broadway Coffee Co. Ltd. et al.,</w:t>
      </w:r>
      <w:r>
        <w:rPr>
          <w:rFonts w:ascii="arial" w:eastAsia="arial" w:hAnsi="arial" w:cs="arial"/>
          <w:color w:val="000000"/>
          <w:sz w:val="20"/>
          <w:lang w:val="en-US" w:eastAsia="en-US" w:bidi="ar-SA"/>
        </w:rPr>
        <w:t xml:space="preserve"> </w:t>
      </w:r>
      <w:hyperlink r:id="rId150" w:history="1">
        <w:r>
          <w:rPr>
            <w:rFonts w:ascii="arial" w:eastAsia="arial" w:hAnsi="arial" w:cs="arial"/>
            <w:i/>
            <w:color w:val="0077CC"/>
            <w:sz w:val="20"/>
            <w:u w:val="single"/>
            <w:shd w:val="clear" w:color="auto" w:fill="FFFFFF"/>
            <w:lang w:val="en-US" w:eastAsia="en-US" w:bidi="ar-SA"/>
          </w:rPr>
          <w:t>[1935] O.J. No. 224</w:t>
        </w:r>
      </w:hyperlink>
      <w:r>
        <w:rPr>
          <w:rFonts w:ascii="arial" w:eastAsia="arial" w:hAnsi="arial" w:cs="arial"/>
          <w:color w:val="000000"/>
          <w:sz w:val="20"/>
          <w:lang w:val="en-US" w:eastAsia="en-US" w:bidi="ar-SA"/>
        </w:rPr>
        <w:t xml:space="preserve"> (C.A.) and </w:t>
      </w:r>
      <w:r>
        <w:rPr>
          <w:rFonts w:ascii="arial" w:eastAsia="arial" w:hAnsi="arial" w:cs="arial"/>
          <w:i/>
          <w:color w:val="000000"/>
          <w:sz w:val="20"/>
          <w:lang w:val="en-US" w:eastAsia="en-US" w:bidi="ar-SA"/>
        </w:rPr>
        <w:t>Bon Street Developments Ltd. v. Terracan Capital Corp.</w:t>
      </w:r>
      <w:r>
        <w:rPr>
          <w:rFonts w:ascii="arial" w:eastAsia="arial" w:hAnsi="arial" w:cs="arial"/>
          <w:color w:val="000000"/>
          <w:sz w:val="20"/>
          <w:lang w:val="en-US" w:eastAsia="en-US" w:bidi="ar-SA"/>
        </w:rPr>
        <w:t xml:space="preserve">, </w:t>
      </w:r>
      <w:hyperlink r:id="rId151" w:history="1">
        <w:r>
          <w:rPr>
            <w:rFonts w:ascii="arial" w:eastAsia="arial" w:hAnsi="arial" w:cs="arial"/>
            <w:i/>
            <w:color w:val="0077CC"/>
            <w:sz w:val="20"/>
            <w:u w:val="single"/>
            <w:shd w:val="clear" w:color="auto" w:fill="FFFFFF"/>
            <w:lang w:val="en-US" w:eastAsia="en-US" w:bidi="ar-SA"/>
          </w:rPr>
          <w:t>[1992] B.C.J. No. 2729</w:t>
        </w:r>
      </w:hyperlink>
      <w:r>
        <w:rPr>
          <w:rFonts w:ascii="arial" w:eastAsia="arial" w:hAnsi="arial" w:cs="arial"/>
          <w:color w:val="000000"/>
          <w:sz w:val="20"/>
          <w:lang w:val="en-US" w:eastAsia="en-US" w:bidi="ar-SA"/>
        </w:rPr>
        <w:t xml:space="preserve"> (S.C.), </w:t>
      </w:r>
      <w:hyperlink r:id="rId151" w:history="1">
        <w:r>
          <w:rPr>
            <w:rFonts w:ascii="arial" w:eastAsia="arial" w:hAnsi="arial" w:cs="arial"/>
            <w:i/>
            <w:color w:val="0077CC"/>
            <w:sz w:val="20"/>
            <w:u w:val="single"/>
            <w:shd w:val="clear" w:color="auto" w:fill="FFFFFF"/>
            <w:lang w:val="en-US" w:eastAsia="en-US" w:bidi="ar-SA"/>
          </w:rPr>
          <w:t>(1992) 76 B.C.L.R. (2d) 90</w:t>
        </w:r>
      </w:hyperlink>
      <w:r>
        <w:rPr>
          <w:rFonts w:ascii="arial" w:eastAsia="arial" w:hAnsi="arial" w:cs="arial"/>
          <w:color w:val="000000"/>
          <w:sz w:val="20"/>
          <w:lang w:val="en-US" w:eastAsia="en-US" w:bidi="ar-SA"/>
        </w:rPr>
        <w:t>, to the same effect.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137</w:t>
      </w:r>
      <w:r>
        <w:rPr>
          <w:rFonts w:ascii="arial" w:eastAsia="arial" w:hAnsi="arial" w:cs="arial"/>
          <w:color w:val="000000"/>
          <w:sz w:val="20"/>
          <w:lang w:val="en-US" w:eastAsia="en-US" w:bidi="ar-SA"/>
        </w:rPr>
        <w:t>  The plaintiff says she makes this claim only against the two defendant casinos as being the recipients of her funds.</w:t>
      </w:r>
      <w:r>
        <w:rPr>
          <w:rFonts w:ascii="arial" w:eastAsia="arial" w:hAnsi="arial" w:cs="arial"/>
          <w:sz w:val="20"/>
          <w:lang w:val="en-US" w:eastAsia="en-US" w:bidi="ar-SA"/>
        </w:rPr>
        <w:cr/>
      </w:r>
    </w:p>
    <w:p>
      <w:pPr>
        <w:numPr>
          <w:numId w:val="21"/>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claim in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 duty of care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138</w:t>
      </w:r>
      <w:r>
        <w:rPr>
          <w:rFonts w:ascii="arial" w:eastAsia="arial" w:hAnsi="arial" w:cs="arial"/>
          <w:color w:val="000000"/>
          <w:sz w:val="20"/>
          <w:lang w:val="en-US" w:eastAsia="en-US" w:bidi="ar-SA"/>
        </w:rPr>
        <w:t xml:space="preserve">  The plaintiff claims under this head the causes of action of negligent misrepresentation, breach of duty to warn and operational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in failing to prevent her from gambling while self-excluded.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139</w:t>
      </w:r>
      <w:r>
        <w:rPr>
          <w:rFonts w:ascii="arial" w:eastAsia="arial" w:hAnsi="arial" w:cs="arial"/>
          <w:color w:val="000000"/>
          <w:sz w:val="20"/>
          <w:lang w:val="en-US" w:eastAsia="en-US" w:bidi="ar-SA"/>
        </w:rPr>
        <w:t>  She submits a duty of care is a common requirement to all three causes of action and concedes that no Canadian court has yet concluded that a gaming facility owes a patron a duty of care on the facts of this case.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140</w:t>
      </w:r>
      <w:r>
        <w:rPr>
          <w:rFonts w:ascii="arial" w:eastAsia="arial" w:hAnsi="arial" w:cs="arial"/>
          <w:color w:val="000000"/>
          <w:sz w:val="20"/>
          <w:lang w:val="en-US" w:eastAsia="en-US" w:bidi="ar-SA"/>
        </w:rPr>
        <w:t xml:space="preserve">  However, she points out that in </w:t>
      </w:r>
      <w:r>
        <w:rPr>
          <w:rFonts w:ascii="arial" w:eastAsia="arial" w:hAnsi="arial" w:cs="arial"/>
          <w:i/>
          <w:color w:val="000000"/>
          <w:sz w:val="20"/>
          <w:lang w:val="en-US" w:eastAsia="en-US" w:bidi="ar-SA"/>
        </w:rPr>
        <w:t>Dennis v. Ontario Lottery and Gaming Corp.</w:t>
      </w:r>
      <w:r>
        <w:rPr>
          <w:rFonts w:ascii="arial" w:eastAsia="arial" w:hAnsi="arial" w:cs="arial"/>
          <w:color w:val="000000"/>
          <w:sz w:val="20"/>
          <w:lang w:val="en-US" w:eastAsia="en-US" w:bidi="ar-SA"/>
        </w:rPr>
        <w:t xml:space="preserve">, (OLGC), </w:t>
      </w:r>
      <w:hyperlink r:id="rId152" w:history="1">
        <w:r>
          <w:rPr>
            <w:rFonts w:ascii="arial" w:eastAsia="arial" w:hAnsi="arial" w:cs="arial"/>
            <w:i/>
            <w:color w:val="0077CC"/>
            <w:sz w:val="20"/>
            <w:u w:val="single"/>
            <w:shd w:val="clear" w:color="auto" w:fill="FFFFFF"/>
            <w:lang w:val="en-US" w:eastAsia="en-US" w:bidi="ar-SA"/>
          </w:rPr>
          <w:t>2010 ONSC 1332</w:t>
        </w:r>
      </w:hyperlink>
      <w:r>
        <w:rPr>
          <w:rFonts w:ascii="arial" w:eastAsia="arial" w:hAnsi="arial" w:cs="arial"/>
          <w:color w:val="000000"/>
          <w:sz w:val="20"/>
          <w:lang w:val="en-US" w:eastAsia="en-US" w:bidi="ar-SA"/>
        </w:rPr>
        <w:t xml:space="preserve">, </w:t>
      </w:r>
      <w:hyperlink r:id="rId152" w:history="1">
        <w:r>
          <w:rPr>
            <w:rFonts w:ascii="arial" w:eastAsia="arial" w:hAnsi="arial" w:cs="arial"/>
            <w:i/>
            <w:color w:val="0077CC"/>
            <w:sz w:val="20"/>
            <w:u w:val="single"/>
            <w:shd w:val="clear" w:color="auto" w:fill="FFFFFF"/>
            <w:lang w:val="en-US" w:eastAsia="en-US" w:bidi="ar-SA"/>
          </w:rPr>
          <w:t>(2010) 318 D.L.R. (4th) 110</w:t>
        </w:r>
      </w:hyperlink>
      <w:r>
        <w:rPr>
          <w:rFonts w:ascii="arial" w:eastAsia="arial" w:hAnsi="arial" w:cs="arial"/>
          <w:color w:val="000000"/>
          <w:sz w:val="20"/>
          <w:lang w:val="en-US" w:eastAsia="en-US" w:bidi="ar-SA"/>
        </w:rPr>
        <w:t xml:space="preserve">; aff'd </w:t>
      </w:r>
      <w:hyperlink r:id="rId153" w:history="1">
        <w:r>
          <w:rPr>
            <w:rFonts w:ascii="arial" w:eastAsia="arial" w:hAnsi="arial" w:cs="arial"/>
            <w:i/>
            <w:color w:val="0077CC"/>
            <w:sz w:val="20"/>
            <w:u w:val="single"/>
            <w:shd w:val="clear" w:color="auto" w:fill="FFFFFF"/>
            <w:lang w:val="en-US" w:eastAsia="en-US" w:bidi="ar-SA"/>
          </w:rPr>
          <w:t>2011 ONSC 7024</w:t>
        </w:r>
      </w:hyperlink>
      <w:r>
        <w:rPr>
          <w:rFonts w:ascii="arial" w:eastAsia="arial" w:hAnsi="arial" w:cs="arial"/>
          <w:color w:val="000000"/>
          <w:sz w:val="20"/>
          <w:lang w:val="en-US" w:eastAsia="en-US" w:bidi="ar-SA"/>
        </w:rPr>
        <w:t xml:space="preserve">, </w:t>
      </w:r>
      <w:hyperlink r:id="rId153" w:history="1">
        <w:r>
          <w:rPr>
            <w:rFonts w:ascii="arial" w:eastAsia="arial" w:hAnsi="arial" w:cs="arial"/>
            <w:i/>
            <w:color w:val="0077CC"/>
            <w:sz w:val="20"/>
            <w:u w:val="single"/>
            <w:shd w:val="clear" w:color="auto" w:fill="FFFFFF"/>
            <w:lang w:val="en-US" w:eastAsia="en-US" w:bidi="ar-SA"/>
          </w:rPr>
          <w:t>(2011) 344 D.L.R (4th) 65</w:t>
        </w:r>
      </w:hyperlink>
      <w:r>
        <w:rPr>
          <w:rFonts w:ascii="arial" w:eastAsia="arial" w:hAnsi="arial" w:cs="arial"/>
          <w:color w:val="000000"/>
          <w:sz w:val="20"/>
          <w:lang w:val="en-US" w:eastAsia="en-US" w:bidi="ar-SA"/>
        </w:rPr>
        <w:t>, Cullity J. at the trial level on a pre-trial motion to strike the claim refused to dismiss the plaintiff's claims in similar circumstances on the basis that it was not plain and obvious that allegations of duty of care must fail at trial and this decision was upheld on appeal.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141</w:t>
      </w:r>
      <w:r>
        <w:rPr>
          <w:rFonts w:ascii="arial" w:eastAsia="arial" w:hAnsi="arial" w:cs="arial"/>
          <w:color w:val="000000"/>
          <w:sz w:val="20"/>
          <w:lang w:val="en-US" w:eastAsia="en-US" w:bidi="ar-SA"/>
        </w:rPr>
        <w:t xml:space="preserve">  In deciding to let the issue proceed to trial, Mr. Justice Cullity cited with approval the English decision of </w:t>
      </w:r>
      <w:r>
        <w:rPr>
          <w:rFonts w:ascii="arial" w:eastAsia="arial" w:hAnsi="arial" w:cs="arial"/>
          <w:i/>
          <w:color w:val="000000"/>
          <w:sz w:val="20"/>
          <w:lang w:val="en-US" w:eastAsia="en-US" w:bidi="ar-SA"/>
        </w:rPr>
        <w:t>Calvert v. William Hill Credit Ltd.</w:t>
      </w:r>
      <w:r>
        <w:rPr>
          <w:rFonts w:ascii="arial" w:eastAsia="arial" w:hAnsi="arial" w:cs="arial"/>
          <w:color w:val="000000"/>
          <w:sz w:val="20"/>
          <w:lang w:val="en-US" w:eastAsia="en-US" w:bidi="ar-SA"/>
        </w:rPr>
        <w:t>, 2008 EWHC 454 (Ch.), aff'd [2009] 2 W.L.R. 1065 (C.A.), where it was said at paras. 175-187:</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problem gambling is a recognized psychiatric disorder from which the plaintiff was known by the defendant to be suffering. In consequence, both financial and psychiatric harm from a failure of the self-exclusion processes was reasonably foreseeable; ...</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and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...it is in my judgment inherent in a request for self-exclusion that the problem gambler is seeking to rely upon the bookmaker's assistance in maintaining his diminished control of his gambling, which, without that assistance, he fears will fail him.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142</w:t>
      </w:r>
      <w:r>
        <w:rPr>
          <w:rFonts w:ascii="arial" w:eastAsia="arial" w:hAnsi="arial" w:cs="arial"/>
          <w:color w:val="000000"/>
          <w:sz w:val="20"/>
          <w:lang w:val="en-US" w:eastAsia="en-US" w:bidi="ar-SA"/>
        </w:rPr>
        <w:t>  Mr. Justice Cullity accepted that a relationship of proximity between OLGC and Mr. Dennis could be found to have arisen from the former's repeated representations of its commitment to assist problem gamblers and the specific steps it undertook to implement the VSE program for his benefit.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143</w:t>
      </w:r>
      <w:r>
        <w:rPr>
          <w:rFonts w:ascii="arial" w:eastAsia="arial" w:hAnsi="arial" w:cs="arial"/>
          <w:color w:val="000000"/>
          <w:sz w:val="20"/>
          <w:lang w:val="en-US" w:eastAsia="en-US" w:bidi="ar-SA"/>
        </w:rPr>
        <w:t>  It was found that the OLGC adopted a policy under which it would use its best efforts to exclude problem gamblers who requested its assistance, and this policy gave rise to a duty of care that would be breached by a failure to implement it.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144</w:t>
      </w:r>
      <w:r>
        <w:rPr>
          <w:rFonts w:ascii="arial" w:eastAsia="arial" w:hAnsi="arial" w:cs="arial"/>
          <w:color w:val="000000"/>
          <w:sz w:val="20"/>
          <w:lang w:val="en-US" w:eastAsia="en-US" w:bidi="ar-SA"/>
        </w:rPr>
        <w:t xml:space="preserve">  The plaintiff submits this authority supports her submission that the defendants owed her a duty of care in all three causes of action in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w:t>
      </w:r>
      <w:r>
        <w:rPr>
          <w:rFonts w:ascii="arial" w:eastAsia="arial" w:hAnsi="arial" w:cs="arial"/>
          <w:sz w:val="20"/>
          <w:lang w:val="en-US" w:eastAsia="en-US" w:bidi="ar-SA"/>
        </w:rPr>
        <w:cr/>
      </w:r>
    </w:p>
    <w:p>
      <w:pPr>
        <w:numPr>
          <w:numId w:val="22"/>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Negligent misrepresentation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145</w:t>
      </w:r>
      <w:r>
        <w:rPr>
          <w:rFonts w:ascii="arial" w:eastAsia="arial" w:hAnsi="arial" w:cs="arial"/>
          <w:color w:val="000000"/>
          <w:sz w:val="20"/>
          <w:lang w:val="en-US" w:eastAsia="en-US" w:bidi="ar-SA"/>
        </w:rPr>
        <w:t>  The plaintiff alleges that during her meeting at Fraser Downs Casino to enter the VSE program she met with a couple of employees of Fraser Downs, Mr. Mike Petrow and another, and was given the VSE form to sign.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146</w:t>
      </w:r>
      <w:r>
        <w:rPr>
          <w:rFonts w:ascii="arial" w:eastAsia="arial" w:hAnsi="arial" w:cs="arial"/>
          <w:color w:val="000000"/>
          <w:sz w:val="20"/>
          <w:lang w:val="en-US" w:eastAsia="en-US" w:bidi="ar-SA"/>
        </w:rPr>
        <w:t>  It is her evidence the employees told her that it was important to go over the form with her so that she understood it and they did go over it point by point with her, and she understood it the best she could.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147</w:t>
      </w:r>
      <w:r>
        <w:rPr>
          <w:rFonts w:ascii="arial" w:eastAsia="arial" w:hAnsi="arial" w:cs="arial"/>
          <w:color w:val="000000"/>
          <w:sz w:val="20"/>
          <w:lang w:val="en-US" w:eastAsia="en-US" w:bidi="ar-SA"/>
        </w:rPr>
        <w:t>  She says they took pictures of her and told her they would go into a binder that staff would review and the picture would be circulated to all the casinos in British Columbia.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148</w:t>
      </w:r>
      <w:r>
        <w:rPr>
          <w:rFonts w:ascii="arial" w:eastAsia="arial" w:hAnsi="arial" w:cs="arial"/>
          <w:color w:val="000000"/>
          <w:sz w:val="20"/>
          <w:lang w:val="en-US" w:eastAsia="en-US" w:bidi="ar-SA"/>
        </w:rPr>
        <w:t>  She says she questioned the employees if she was not going to be able to gamble for sure and they answered "yes" because people would come to work and look at the pictures in the binders and she would not be able to get into the casinos and if she did come in she would be escorted out.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149</w:t>
      </w:r>
      <w:r>
        <w:rPr>
          <w:rFonts w:ascii="arial" w:eastAsia="arial" w:hAnsi="arial" w:cs="arial"/>
          <w:color w:val="000000"/>
          <w:sz w:val="20"/>
          <w:lang w:val="en-US" w:eastAsia="en-US" w:bidi="ar-SA"/>
        </w:rPr>
        <w:t>  She says they also told her she might not be as easily detected if she went out of town because out of town casino workers would not be as familiar with her face.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150</w:t>
      </w:r>
      <w:r>
        <w:rPr>
          <w:rFonts w:ascii="arial" w:eastAsia="arial" w:hAnsi="arial" w:cs="arial"/>
          <w:color w:val="000000"/>
          <w:sz w:val="20"/>
          <w:lang w:val="en-US" w:eastAsia="en-US" w:bidi="ar-SA"/>
        </w:rPr>
        <w:t>  She says at one point either before this meeting or at the meeting she obtained a copy of the "Time Out" brochure published by BCLC that set out the question "What happens if I try to get back in?", with the answer:</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It is your responsibility to honour your commitment.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You will not be allowed back in before your exclusionary period is up. If you violate your self-exclusion contract, according to the (BC) Gaming Control Act, charges can be laid and you may be fined $5,000.</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Remember...</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It's up to you.</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151</w:t>
      </w:r>
      <w:r>
        <w:rPr>
          <w:rFonts w:ascii="arial" w:eastAsia="arial" w:hAnsi="arial" w:cs="arial"/>
          <w:color w:val="000000"/>
          <w:sz w:val="20"/>
          <w:lang w:val="en-US" w:eastAsia="en-US" w:bidi="ar-SA"/>
        </w:rPr>
        <w:t>  In the meeting she says she was told there was no law in place to fine her and no-one had ever been fined.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152</w:t>
      </w:r>
      <w:r>
        <w:rPr>
          <w:rFonts w:ascii="arial" w:eastAsia="arial" w:hAnsi="arial" w:cs="arial"/>
          <w:color w:val="000000"/>
          <w:sz w:val="20"/>
          <w:lang w:val="en-US" w:eastAsia="en-US" w:bidi="ar-SA"/>
        </w:rPr>
        <w:t>  The plaintiff acknowledges that Mike Petrow gave evidence denying making any statements beyond the wording of the VSE form, while he conceded he has no recollection of meeting with her and no notes of any meeting to assist him. She submits her evidence should be accepted over his evidence.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153</w:t>
      </w:r>
      <w:r>
        <w:rPr>
          <w:rFonts w:ascii="arial" w:eastAsia="arial" w:hAnsi="arial" w:cs="arial"/>
          <w:color w:val="000000"/>
          <w:sz w:val="20"/>
          <w:lang w:val="en-US" w:eastAsia="en-US" w:bidi="ar-SA"/>
        </w:rPr>
        <w:t>  The plaintiff puts forward this evidence of what she says Mr. Petrow said as the basis for her claim of negligent misrepresentation that she would not be allowed to gamble at a casino in the lower mainland and would be asked to leave if she entered a casino.</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154</w:t>
      </w:r>
      <w:r>
        <w:rPr>
          <w:rFonts w:ascii="arial" w:eastAsia="arial" w:hAnsi="arial" w:cs="arial"/>
          <w:color w:val="000000"/>
          <w:sz w:val="20"/>
          <w:lang w:val="en-US" w:eastAsia="en-US" w:bidi="ar-SA"/>
        </w:rPr>
        <w:t>  She submits she relied on these misrepresentations in believing that no other step was required of her apart from enrollment in the VSE program in order to achieve cessation of her gambling.</w:t>
      </w:r>
      <w:r>
        <w:rPr>
          <w:rFonts w:ascii="arial" w:eastAsia="arial" w:hAnsi="arial" w:cs="arial"/>
          <w:sz w:val="20"/>
          <w:lang w:val="en-US" w:eastAsia="en-US" w:bidi="ar-SA"/>
        </w:rPr>
        <w:cr/>
      </w:r>
    </w:p>
    <w:p>
      <w:pPr>
        <w:numPr>
          <w:numId w:val="23"/>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Failure to warn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155</w:t>
      </w:r>
      <w:r>
        <w:rPr>
          <w:rFonts w:ascii="arial" w:eastAsia="arial" w:hAnsi="arial" w:cs="arial"/>
          <w:color w:val="000000"/>
          <w:sz w:val="20"/>
          <w:lang w:val="en-US" w:eastAsia="en-US" w:bidi="ar-SA"/>
        </w:rPr>
        <w:t>  The plaintiff submits that if the operational security and surveillance system implemented by the defendant casinos to satisfy the self-exclusion policy objective was so deficient that she was not likely to be identified, then she ought to have been warned of that fact beforehand so that she could have organized her affairs accordingly, and taken other steps to ensure her exclusion on her own, such as she did in handing out her own posters to staff in July 2010.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156</w:t>
      </w:r>
      <w:r>
        <w:rPr>
          <w:rFonts w:ascii="arial" w:eastAsia="arial" w:hAnsi="arial" w:cs="arial"/>
          <w:color w:val="000000"/>
          <w:sz w:val="20"/>
          <w:lang w:val="en-US" w:eastAsia="en-US" w:bidi="ar-SA"/>
        </w:rPr>
        <w:t>  Instead, she submits she was encouraged to believe she was prevented from gambling at BC Casinos once she executed the VSE form.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157</w:t>
      </w:r>
      <w:r>
        <w:rPr>
          <w:rFonts w:ascii="arial" w:eastAsia="arial" w:hAnsi="arial" w:cs="arial"/>
          <w:color w:val="000000"/>
          <w:sz w:val="20"/>
          <w:lang w:val="en-US" w:eastAsia="en-US" w:bidi="ar-SA"/>
        </w:rPr>
        <w:t>  She submits that by law, with the defendants knowing of the danger that she might not be identified if she tried to enter a BC casino after she had self-excluded, a duty was imposed on them at that time to inform her of that danger so that she could take alternative steps to stop her gambling in 2007.</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158</w:t>
      </w:r>
      <w:r>
        <w:rPr>
          <w:rFonts w:ascii="arial" w:eastAsia="arial" w:hAnsi="arial" w:cs="arial"/>
          <w:color w:val="000000"/>
          <w:sz w:val="20"/>
          <w:lang w:val="en-US" w:eastAsia="en-US" w:bidi="ar-SA"/>
        </w:rPr>
        <w:t xml:space="preserve">  She relies upon the cases of </w:t>
      </w:r>
      <w:r>
        <w:rPr>
          <w:rFonts w:ascii="arial" w:eastAsia="arial" w:hAnsi="arial" w:cs="arial"/>
          <w:i/>
          <w:color w:val="000000"/>
          <w:sz w:val="20"/>
          <w:lang w:val="en-US" w:eastAsia="en-US" w:bidi="ar-SA"/>
        </w:rPr>
        <w:t>Philippot v. Murphy</w:t>
      </w:r>
      <w:r>
        <w:rPr>
          <w:rFonts w:ascii="arial" w:eastAsia="arial" w:hAnsi="arial" w:cs="arial"/>
          <w:color w:val="000000"/>
          <w:sz w:val="20"/>
          <w:lang w:val="en-US" w:eastAsia="en-US" w:bidi="ar-SA"/>
        </w:rPr>
        <w:t xml:space="preserve">, </w:t>
      </w:r>
      <w:hyperlink r:id="rId154" w:history="1">
        <w:r>
          <w:rPr>
            <w:rFonts w:ascii="arial" w:eastAsia="arial" w:hAnsi="arial" w:cs="arial"/>
            <w:i/>
            <w:color w:val="0077CC"/>
            <w:sz w:val="20"/>
            <w:u w:val="single"/>
            <w:shd w:val="clear" w:color="auto" w:fill="FFFFFF"/>
            <w:lang w:val="en-US" w:eastAsia="en-US" w:bidi="ar-SA"/>
          </w:rPr>
          <w:t>[1987] B.C.J. No. 530</w:t>
        </w:r>
      </w:hyperlink>
      <w:r>
        <w:rPr>
          <w:rFonts w:ascii="arial" w:eastAsia="arial" w:hAnsi="arial" w:cs="arial"/>
          <w:color w:val="000000"/>
          <w:sz w:val="20"/>
          <w:lang w:val="en-US" w:eastAsia="en-US" w:bidi="ar-SA"/>
        </w:rPr>
        <w:t xml:space="preserve">; and </w:t>
      </w:r>
      <w:r>
        <w:rPr>
          <w:rFonts w:ascii="arial" w:eastAsia="arial" w:hAnsi="arial" w:cs="arial"/>
          <w:i/>
          <w:color w:val="000000"/>
          <w:sz w:val="20"/>
          <w:lang w:val="en-US" w:eastAsia="en-US" w:bidi="ar-SA"/>
        </w:rPr>
        <w:t>Rivtow Marine Ltd. v. Washington Iron Works</w:t>
      </w:r>
      <w:r>
        <w:rPr>
          <w:rFonts w:ascii="arial" w:eastAsia="arial" w:hAnsi="arial" w:cs="arial"/>
          <w:color w:val="000000"/>
          <w:sz w:val="20"/>
          <w:lang w:val="en-US" w:eastAsia="en-US" w:bidi="ar-SA"/>
        </w:rPr>
        <w:t xml:space="preserve">, </w:t>
      </w:r>
      <w:hyperlink r:id="rId155" w:history="1">
        <w:r>
          <w:rPr>
            <w:rFonts w:ascii="arial" w:eastAsia="arial" w:hAnsi="arial" w:cs="arial"/>
            <w:i/>
            <w:color w:val="0077CC"/>
            <w:sz w:val="20"/>
            <w:u w:val="single"/>
            <w:shd w:val="clear" w:color="auto" w:fill="FFFFFF"/>
            <w:lang w:val="en-US" w:eastAsia="en-US" w:bidi="ar-SA"/>
          </w:rPr>
          <w:t>[1974] S.C.R. 1189</w:t>
        </w:r>
      </w:hyperlink>
      <w:r>
        <w:rPr>
          <w:rFonts w:ascii="arial" w:eastAsia="arial" w:hAnsi="arial" w:cs="arial"/>
          <w:color w:val="000000"/>
          <w:sz w:val="20"/>
          <w:lang w:val="en-US" w:eastAsia="en-US" w:bidi="ar-SA"/>
        </w:rPr>
        <w:t xml:space="preserve"> for a duty to warn.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159</w:t>
      </w:r>
      <w:r>
        <w:rPr>
          <w:rFonts w:ascii="arial" w:eastAsia="arial" w:hAnsi="arial" w:cs="arial"/>
          <w:color w:val="000000"/>
          <w:sz w:val="20"/>
          <w:lang w:val="en-US" w:eastAsia="en-US" w:bidi="ar-SA"/>
        </w:rPr>
        <w:t>  In the absence of such a warning, she submits the defendants are liable for the losses she subsequently incurred.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160</w:t>
      </w:r>
      <w:r>
        <w:rPr>
          <w:rFonts w:ascii="arial" w:eastAsia="arial" w:hAnsi="arial" w:cs="arial"/>
          <w:color w:val="000000"/>
          <w:sz w:val="20"/>
          <w:lang w:val="en-US" w:eastAsia="en-US" w:bidi="ar-SA"/>
        </w:rPr>
        <w:t>  She concedes in her reply pleading that her pleadings clearly restrict the allegations of failure to warn and misrepresentation to the defendant Orangeville and I will therefore consider these allegations only as against that defendant.</w:t>
      </w:r>
      <w:r>
        <w:rPr>
          <w:rFonts w:ascii="arial" w:eastAsia="arial" w:hAnsi="arial" w:cs="arial"/>
          <w:sz w:val="20"/>
          <w:lang w:val="en-US" w:eastAsia="en-US" w:bidi="ar-SA"/>
        </w:rPr>
        <w:cr/>
      </w:r>
    </w:p>
    <w:p>
      <w:pPr>
        <w:numPr>
          <w:numId w:val="24"/>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Operational </w:t>
      </w:r>
      <w:r>
        <w:rPr>
          <w:rFonts w:ascii="arial" w:eastAsia="arial" w:hAnsi="arial" w:cs="arial"/>
          <w:b/>
          <w:i/>
          <w:color w:val="000000"/>
          <w:sz w:val="20"/>
          <w:u w:val="single"/>
          <w:lang w:val="en-US" w:eastAsia="en-US" w:bidi="ar-SA"/>
        </w:rPr>
        <w:t>negligence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161</w:t>
      </w:r>
      <w:r>
        <w:rPr>
          <w:rFonts w:ascii="arial" w:eastAsia="arial" w:hAnsi="arial" w:cs="arial"/>
          <w:color w:val="000000"/>
          <w:sz w:val="20"/>
          <w:lang w:val="en-US" w:eastAsia="en-US" w:bidi="ar-SA"/>
        </w:rPr>
        <w:t>  The plaintiff acknowledges that the VSE program policy in place to enforce self-exclusion between 2007 and 2010 was a policy dependent upon visual facial recognition performed by security and surveillance staff.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162</w:t>
      </w:r>
      <w:r>
        <w:rPr>
          <w:rFonts w:ascii="arial" w:eastAsia="arial" w:hAnsi="arial" w:cs="arial"/>
          <w:color w:val="000000"/>
          <w:sz w:val="20"/>
          <w:lang w:val="en-US" w:eastAsia="en-US" w:bidi="ar-SA"/>
        </w:rPr>
        <w:t>  Reference is made to the evidence of Mr. Friesen, manager of surveillance and security for BCLC, when he said one aspect of the program depended on security staff trying their best to identify VSE people who have entered the casino, and the other aspect was surveillance from above trying to identify these people entering the casino or on the floor.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163</w:t>
      </w:r>
      <w:r>
        <w:rPr>
          <w:rFonts w:ascii="arial" w:eastAsia="arial" w:hAnsi="arial" w:cs="arial"/>
          <w:color w:val="000000"/>
          <w:sz w:val="20"/>
          <w:lang w:val="en-US" w:eastAsia="en-US" w:bidi="ar-SA"/>
        </w:rPr>
        <w:t>  Reference is also made to the COSAs between BCLC and the defendant casinos that required the casinos to:</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exercise all due diligence to prevent and not knowingly permit any person who has been barred from the casino or barred from participating in casino games by the corporation from entering or being present in the casino or participating in casino games.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164</w:t>
      </w:r>
      <w:r>
        <w:rPr>
          <w:rFonts w:ascii="arial" w:eastAsia="arial" w:hAnsi="arial" w:cs="arial"/>
          <w:color w:val="000000"/>
          <w:sz w:val="20"/>
          <w:lang w:val="en-US" w:eastAsia="en-US" w:bidi="ar-SA"/>
        </w:rPr>
        <w:t>  It is submitted that a helpful policy or program could only be put into operation if security and surveillance staff were able to familiarize themselves with the photographs taken of the VSE registrants. Otherwise, it is submitted, the policy of facial recognition would not be effective.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165</w:t>
      </w:r>
      <w:r>
        <w:rPr>
          <w:rFonts w:ascii="arial" w:eastAsia="arial" w:hAnsi="arial" w:cs="arial"/>
          <w:color w:val="000000"/>
          <w:sz w:val="20"/>
          <w:lang w:val="en-US" w:eastAsia="en-US" w:bidi="ar-SA"/>
        </w:rPr>
        <w:t>  She submits the defendant casinos did not act consistent with the policy and procedures they were required to implement. She refers to a number of pieces of evidence she says supports this allegation.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166</w:t>
      </w:r>
      <w:r>
        <w:rPr>
          <w:rFonts w:ascii="arial" w:eastAsia="arial" w:hAnsi="arial" w:cs="arial"/>
          <w:color w:val="000000"/>
          <w:sz w:val="20"/>
          <w:lang w:val="en-US" w:eastAsia="en-US" w:bidi="ar-SA"/>
        </w:rPr>
        <w:t>  She points to evidence of Keith Crawford who worked as a security officer at Fraser Downs Casino for 3.5 years ending in February 2009, who says in his evidence that he knew the plaintiff from a prior workplace and recognized her when he started at Fraser Downs in 2005, but never knew that she was self-excluded.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167</w:t>
      </w:r>
      <w:r>
        <w:rPr>
          <w:rFonts w:ascii="arial" w:eastAsia="arial" w:hAnsi="arial" w:cs="arial"/>
          <w:color w:val="000000"/>
          <w:sz w:val="20"/>
          <w:lang w:val="en-US" w:eastAsia="en-US" w:bidi="ar-SA"/>
        </w:rPr>
        <w:t>  He says he was not required to look at the photographs of excluded persons until late 2008 and until then only looked at the photographs during slow times and only about once per year or three or four times over the course of his employment up to 2008.</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168</w:t>
      </w:r>
      <w:r>
        <w:rPr>
          <w:rFonts w:ascii="arial" w:eastAsia="arial" w:hAnsi="arial" w:cs="arial"/>
          <w:color w:val="000000"/>
          <w:sz w:val="20"/>
          <w:lang w:val="en-US" w:eastAsia="en-US" w:bidi="ar-SA"/>
        </w:rPr>
        <w:t>  The plaintiff also points to the evidence of Keevin O'Hara, another security officer at Fraser Downs from May 2004 to September 2012, who says he recalls seeing the plaintiff in the casino from time to time and was aware when she entered into the VSE program. He says he reviewed the photograph binders and saw her photograph in them.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169</w:t>
      </w:r>
      <w:r>
        <w:rPr>
          <w:rFonts w:ascii="arial" w:eastAsia="arial" w:hAnsi="arial" w:cs="arial"/>
          <w:color w:val="000000"/>
          <w:sz w:val="20"/>
          <w:lang w:val="en-US" w:eastAsia="en-US" w:bidi="ar-SA"/>
        </w:rPr>
        <w:t>  During the time of her self-exclusion he says he only saw her one time when she brought photographs of herself into guest services in 2010. Guest services was not on the gaming floor area and there was nothing for him to be concerned about although he did inform surveillance that she was in the building.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170</w:t>
      </w:r>
      <w:r>
        <w:rPr>
          <w:rFonts w:ascii="arial" w:eastAsia="arial" w:hAnsi="arial" w:cs="arial"/>
          <w:color w:val="000000"/>
          <w:sz w:val="20"/>
          <w:lang w:val="en-US" w:eastAsia="en-US" w:bidi="ar-SA"/>
        </w:rPr>
        <w:t>  He could not explain why between June 2007 and June 2010 he did not see her in the gaming area. He says that when he worked day shift from 9:00 a.m. to 7:00 p.m. she may not have been in the casino during those shifts.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171</w:t>
      </w:r>
      <w:r>
        <w:rPr>
          <w:rFonts w:ascii="arial" w:eastAsia="arial" w:hAnsi="arial" w:cs="arial"/>
          <w:color w:val="000000"/>
          <w:sz w:val="20"/>
          <w:lang w:val="en-US" w:eastAsia="en-US" w:bidi="ar-SA"/>
        </w:rPr>
        <w:t>  Han Ping Guo is a dealer supervisor at Fraser Downs from the summer of 2007 to the present. He knew the plaintiff from gambling in the casino as of 2008 or 2009 and he recalls her playing at the tables at night.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172</w:t>
      </w:r>
      <w:r>
        <w:rPr>
          <w:rFonts w:ascii="arial" w:eastAsia="arial" w:hAnsi="arial" w:cs="arial"/>
          <w:color w:val="000000"/>
          <w:sz w:val="20"/>
          <w:lang w:val="en-US" w:eastAsia="en-US" w:bidi="ar-SA"/>
        </w:rPr>
        <w:t>  He is not able to say he saw her gambling for long periods of time as he considers a long period to be longer than his shift of six hours.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173</w:t>
      </w:r>
      <w:r>
        <w:rPr>
          <w:rFonts w:ascii="arial" w:eastAsia="arial" w:hAnsi="arial" w:cs="arial"/>
          <w:color w:val="000000"/>
          <w:sz w:val="20"/>
          <w:lang w:val="en-US" w:eastAsia="en-US" w:bidi="ar-SA"/>
        </w:rPr>
        <w:t>  As a dealer supervisor he says he has no responsibilities in relation to problem gambling. He has no access to the photograph books and unless he is told someone is self-excluded he has no way of knowing that.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174</w:t>
      </w:r>
      <w:r>
        <w:rPr>
          <w:rFonts w:ascii="arial" w:eastAsia="arial" w:hAnsi="arial" w:cs="arial"/>
          <w:color w:val="000000"/>
          <w:sz w:val="20"/>
          <w:lang w:val="en-US" w:eastAsia="en-US" w:bidi="ar-SA"/>
        </w:rPr>
        <w:t>  He says he only learned the plaintiff was self-excluded in 2010 or 2011.</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175</w:t>
      </w:r>
      <w:r>
        <w:rPr>
          <w:rFonts w:ascii="arial" w:eastAsia="arial" w:hAnsi="arial" w:cs="arial"/>
          <w:color w:val="000000"/>
          <w:sz w:val="20"/>
          <w:lang w:val="en-US" w:eastAsia="en-US" w:bidi="ar-SA"/>
        </w:rPr>
        <w:t>  Rob Lepine was a table games dealer at Fraser Downs in December 2008 and again from April 2009 to June 2012, working night shifts.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176</w:t>
      </w:r>
      <w:r>
        <w:rPr>
          <w:rFonts w:ascii="arial" w:eastAsia="arial" w:hAnsi="arial" w:cs="arial"/>
          <w:color w:val="000000"/>
          <w:sz w:val="20"/>
          <w:lang w:val="en-US" w:eastAsia="en-US" w:bidi="ar-SA"/>
        </w:rPr>
        <w:t>  He knew the plaintiff who he says was gambling at his tables but he says he never knew she was self-excluded.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177</w:t>
      </w:r>
      <w:r>
        <w:rPr>
          <w:rFonts w:ascii="arial" w:eastAsia="arial" w:hAnsi="arial" w:cs="arial"/>
          <w:color w:val="000000"/>
          <w:sz w:val="20"/>
          <w:lang w:val="en-US" w:eastAsia="en-US" w:bidi="ar-SA"/>
        </w:rPr>
        <w:t>  Albert Ashton is a friend of the plaintiff who says he often saw her gambling at Fraser Downs at nights starting in 2009.</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178</w:t>
      </w:r>
      <w:r>
        <w:rPr>
          <w:rFonts w:ascii="arial" w:eastAsia="arial" w:hAnsi="arial" w:cs="arial"/>
          <w:color w:val="000000"/>
          <w:sz w:val="20"/>
          <w:lang w:val="en-US" w:eastAsia="en-US" w:bidi="ar-SA"/>
        </w:rPr>
        <w:t>  He refers to a particular evening in January 2010 when he says the plaintiff gambled for 20 hours or so and was exhausted, borrowing money from him and looking worse and worse over time.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179</w:t>
      </w:r>
      <w:r>
        <w:rPr>
          <w:rFonts w:ascii="arial" w:eastAsia="arial" w:hAnsi="arial" w:cs="arial"/>
          <w:color w:val="000000"/>
          <w:sz w:val="20"/>
          <w:lang w:val="en-US" w:eastAsia="en-US" w:bidi="ar-SA"/>
        </w:rPr>
        <w:t>  During this evening he says a BCLC employee approached and asked if everything was ok and he told the employee that everything was ok and they were on a birthday marathon.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180</w:t>
      </w:r>
      <w:r>
        <w:rPr>
          <w:rFonts w:ascii="arial" w:eastAsia="arial" w:hAnsi="arial" w:cs="arial"/>
          <w:color w:val="000000"/>
          <w:sz w:val="20"/>
          <w:lang w:val="en-US" w:eastAsia="en-US" w:bidi="ar-SA"/>
        </w:rPr>
        <w:t>  He says he only learned the plaintiff was self-excluded when she told him and he is not sure that he gambled with her after that period of time.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181</w:t>
      </w:r>
      <w:r>
        <w:rPr>
          <w:rFonts w:ascii="arial" w:eastAsia="arial" w:hAnsi="arial" w:cs="arial"/>
          <w:color w:val="000000"/>
          <w:sz w:val="20"/>
          <w:lang w:val="en-US" w:eastAsia="en-US" w:bidi="ar-SA"/>
        </w:rPr>
        <w:t>  On March 25, 2008, the plaintiff contacted Murray Ross, a BCLC casino investigator, to complain she was never challenged at the casinos. He immediately sent an email to surveillance and security managers at Fraser Downs and Cascades Casinos advising:</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Good morning boys - just had a distraught call from this lady - she tells me that she is going to FD in Langley on regular basis and not being challenged - looks the same - always wears her sunglasses on top of her head - plays dollar machines, and tables - dealers, slot staff, and cashiers all know her well - please alert staff to be on watch for her - thanks - Murray.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182</w:t>
      </w:r>
      <w:r>
        <w:rPr>
          <w:rFonts w:ascii="arial" w:eastAsia="arial" w:hAnsi="arial" w:cs="arial"/>
          <w:color w:val="000000"/>
          <w:sz w:val="20"/>
          <w:lang w:val="en-US" w:eastAsia="en-US" w:bidi="ar-SA"/>
        </w:rPr>
        <w:t>  Kevin Sweeney, the manager of operational gaming compliance for BCLC gave evidence that in June 2007, the self-excluded photographs in the binders required updating to remove photographs of persons whose self-excluded terms had expired.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183</w:t>
      </w:r>
      <w:r>
        <w:rPr>
          <w:rFonts w:ascii="arial" w:eastAsia="arial" w:hAnsi="arial" w:cs="arial"/>
          <w:color w:val="000000"/>
          <w:sz w:val="20"/>
          <w:lang w:val="en-US" w:eastAsia="en-US" w:bidi="ar-SA"/>
        </w:rPr>
        <w:t>  There was no requirement to his knowledge for security officers to initial the photograph books when reviewing them.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184</w:t>
      </w:r>
      <w:r>
        <w:rPr>
          <w:rFonts w:ascii="arial" w:eastAsia="arial" w:hAnsi="arial" w:cs="arial"/>
          <w:color w:val="000000"/>
          <w:sz w:val="20"/>
          <w:lang w:val="en-US" w:eastAsia="en-US" w:bidi="ar-SA"/>
        </w:rPr>
        <w:t>  Tammy Sinclaire, a security officer at Fraser Downs Casino said Fraser Downs had a system for a time during the plaintiff's exclusion of recording when security officers reviewed the log books.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185</w:t>
      </w:r>
      <w:r>
        <w:rPr>
          <w:rFonts w:ascii="arial" w:eastAsia="arial" w:hAnsi="arial" w:cs="arial"/>
          <w:color w:val="000000"/>
          <w:sz w:val="20"/>
          <w:lang w:val="en-US" w:eastAsia="en-US" w:bidi="ar-SA"/>
        </w:rPr>
        <w:t>  Mike Campaigna was a security manager at Cascades Casino between June 2007 and June 2010 and said that a full complement of security officers was 25 at any one time, although in this period there were a total of 123 security officers employed there.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186</w:t>
      </w:r>
      <w:r>
        <w:rPr>
          <w:rFonts w:ascii="arial" w:eastAsia="arial" w:hAnsi="arial" w:cs="arial"/>
          <w:color w:val="000000"/>
          <w:sz w:val="20"/>
          <w:lang w:val="en-US" w:eastAsia="en-US" w:bidi="ar-SA"/>
        </w:rPr>
        <w:t>  He also says that of five security officers normally employed at Cascades Casino, three changed between June 2007 and June 2010.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187</w:t>
      </w:r>
      <w:r>
        <w:rPr>
          <w:rFonts w:ascii="arial" w:eastAsia="arial" w:hAnsi="arial" w:cs="arial"/>
          <w:color w:val="000000"/>
          <w:sz w:val="20"/>
          <w:lang w:val="en-US" w:eastAsia="en-US" w:bidi="ar-SA"/>
        </w:rPr>
        <w:t>  The plaintiff submits that from all this evidence it is impossible to conclude that security and surveillance staff at Fraser Downs and Cascades met their requirements to enforce the VSE program. At Fraser Downs, there were only five VSE persons who entered the program during the month of June 2007 and it is submitted incredible that being one of only five persons excluded that month and being a regular customer that month, she was not identified entering and gambling there that month while self-excluded.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188</w:t>
      </w:r>
      <w:r>
        <w:rPr>
          <w:rFonts w:ascii="arial" w:eastAsia="arial" w:hAnsi="arial" w:cs="arial"/>
          <w:color w:val="000000"/>
          <w:sz w:val="20"/>
          <w:lang w:val="en-US" w:eastAsia="en-US" w:bidi="ar-SA"/>
        </w:rPr>
        <w:t>  It is submitted that she was a person well-known to staff at both casinos, before and during her exclusion, who gambled away large sums of money during her exclusion, often at night when the casinos were virtually empty, and often over long periods of time.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189</w:t>
      </w:r>
      <w:r>
        <w:rPr>
          <w:rFonts w:ascii="arial" w:eastAsia="arial" w:hAnsi="arial" w:cs="arial"/>
          <w:color w:val="000000"/>
          <w:sz w:val="20"/>
          <w:lang w:val="en-US" w:eastAsia="en-US" w:bidi="ar-SA"/>
        </w:rPr>
        <w:t>  It is her submission that had the staff of the surveillance or security departments at either casino been at all compliant with their duties to monitor for excluded patrons, she would have been identified. The contrary, it is submitted, cannot be credibly argued.</w:t>
      </w:r>
      <w:r>
        <w:rPr>
          <w:rFonts w:ascii="arial" w:eastAsia="arial" w:hAnsi="arial" w:cs="arial"/>
          <w:sz w:val="20"/>
          <w:lang w:val="en-US" w:eastAsia="en-US" w:bidi="ar-SA"/>
        </w:rPr>
        <w:cr/>
      </w:r>
    </w:p>
    <w:p>
      <w:pPr>
        <w:numPr>
          <w:numId w:val="25"/>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Breach of fiduciary duty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190</w:t>
      </w:r>
      <w:r>
        <w:rPr>
          <w:rFonts w:ascii="arial" w:eastAsia="arial" w:hAnsi="arial" w:cs="arial"/>
          <w:color w:val="000000"/>
          <w:sz w:val="20"/>
          <w:lang w:val="en-US" w:eastAsia="en-US" w:bidi="ar-SA"/>
        </w:rPr>
        <w:t xml:space="preserve">  The plaintiff submits the defendants also owed her a fiduciary duty falling within the </w:t>
      </w:r>
      <w:r>
        <w:rPr>
          <w:rFonts w:ascii="arial" w:eastAsia="arial" w:hAnsi="arial" w:cs="arial"/>
          <w:i/>
          <w:color w:val="000000"/>
          <w:sz w:val="20"/>
          <w:lang w:val="en-US" w:eastAsia="en-US" w:bidi="ar-SA"/>
        </w:rPr>
        <w:t>parens patriae</w:t>
      </w:r>
      <w:r>
        <w:rPr>
          <w:rFonts w:ascii="arial" w:eastAsia="arial" w:hAnsi="arial" w:cs="arial"/>
          <w:color w:val="000000"/>
          <w:sz w:val="20"/>
          <w:lang w:val="en-US" w:eastAsia="en-US" w:bidi="ar-SA"/>
        </w:rPr>
        <w:t xml:space="preserve"> jurisdiction.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191</w:t>
      </w:r>
      <w:r>
        <w:rPr>
          <w:rFonts w:ascii="arial" w:eastAsia="arial" w:hAnsi="arial" w:cs="arial"/>
          <w:color w:val="000000"/>
          <w:sz w:val="20"/>
          <w:lang w:val="en-US" w:eastAsia="en-US" w:bidi="ar-SA"/>
        </w:rPr>
        <w:t>  She submits that as a pathological gambler suffering from a panic disorder with agoraphobia, she falls within a class of people who are effectively mentally incompetent with respect to gambling in casinos.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192</w:t>
      </w:r>
      <w:r>
        <w:rPr>
          <w:rFonts w:ascii="arial" w:eastAsia="arial" w:hAnsi="arial" w:cs="arial"/>
          <w:color w:val="000000"/>
          <w:sz w:val="20"/>
          <w:lang w:val="en-US" w:eastAsia="en-US" w:bidi="ar-SA"/>
        </w:rPr>
        <w:t>  It is submitted that BCLC had the knowledge that an estimated 4.6% of adults in BC between 2003-2007 were considered moderate to severe problem gamblers and had set-up the VSE program to help them.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193</w:t>
      </w:r>
      <w:r>
        <w:rPr>
          <w:rFonts w:ascii="arial" w:eastAsia="arial" w:hAnsi="arial" w:cs="arial"/>
          <w:color w:val="000000"/>
          <w:sz w:val="20"/>
          <w:lang w:val="en-US" w:eastAsia="en-US" w:bidi="ar-SA"/>
        </w:rPr>
        <w:t>  As such, it is submitted that if it is found that the defendants failed to protect the plaintiff as a vulnerable, pathological gambler in the VSE program the defendants should be found to have breached their equitable duty of faithfulness towards her.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194</w:t>
      </w:r>
      <w:r>
        <w:rPr>
          <w:rFonts w:ascii="arial" w:eastAsia="arial" w:hAnsi="arial" w:cs="arial"/>
          <w:color w:val="000000"/>
          <w:sz w:val="20"/>
          <w:lang w:val="en-US" w:eastAsia="en-US" w:bidi="ar-SA"/>
        </w:rPr>
        <w:t xml:space="preserve">  Reliance is placed on the decision of the Supreme Court of Canada in: </w:t>
      </w:r>
      <w:r>
        <w:rPr>
          <w:rFonts w:ascii="arial" w:eastAsia="arial" w:hAnsi="arial" w:cs="arial"/>
          <w:i/>
          <w:color w:val="000000"/>
          <w:sz w:val="20"/>
          <w:lang w:val="en-US" w:eastAsia="en-US" w:bidi="ar-SA"/>
        </w:rPr>
        <w:t>E.(Mrs.) v. Eve</w:t>
      </w:r>
      <w:r>
        <w:rPr>
          <w:rFonts w:ascii="arial" w:eastAsia="arial" w:hAnsi="arial" w:cs="arial"/>
          <w:color w:val="000000"/>
          <w:sz w:val="20"/>
          <w:lang w:val="en-US" w:eastAsia="en-US" w:bidi="ar-SA"/>
        </w:rPr>
        <w:t xml:space="preserve">, </w:t>
      </w:r>
      <w:hyperlink r:id="rId156" w:history="1">
        <w:r>
          <w:rPr>
            <w:rFonts w:ascii="arial" w:eastAsia="arial" w:hAnsi="arial" w:cs="arial"/>
            <w:i/>
            <w:color w:val="0077CC"/>
            <w:sz w:val="20"/>
            <w:u w:val="single"/>
            <w:shd w:val="clear" w:color="auto" w:fill="FFFFFF"/>
            <w:lang w:val="en-US" w:eastAsia="en-US" w:bidi="ar-SA"/>
          </w:rPr>
          <w:t>[1986] 2 S.C.R. 388</w:t>
        </w:r>
      </w:hyperlink>
      <w:r>
        <w:rPr>
          <w:rFonts w:ascii="arial" w:eastAsia="arial" w:hAnsi="arial" w:cs="arial"/>
          <w:color w:val="000000"/>
          <w:sz w:val="20"/>
          <w:lang w:val="en-US" w:eastAsia="en-US" w:bidi="ar-SA"/>
        </w:rPr>
        <w:t>, where Mr. Justice La Forest said that: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parens patriae jurisdiction is vested with the care of the mentally incompetent persons who are not able to take care of themselves and the categories under which the parens patriae jurisdiction can be exercised are never closed.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195</w:t>
      </w:r>
      <w:r>
        <w:rPr>
          <w:rFonts w:ascii="arial" w:eastAsia="arial" w:hAnsi="arial" w:cs="arial"/>
          <w:color w:val="000000"/>
          <w:sz w:val="20"/>
          <w:lang w:val="en-US" w:eastAsia="en-US" w:bidi="ar-SA"/>
        </w:rPr>
        <w:t xml:space="preserve">  The plaintiff submits that the circumstances in this case are appropriate in which to find a breach of fiduciary duty by the defendants towards her, founded upon the </w:t>
      </w:r>
      <w:r>
        <w:rPr>
          <w:rFonts w:ascii="arial" w:eastAsia="arial" w:hAnsi="arial" w:cs="arial"/>
          <w:i/>
          <w:color w:val="000000"/>
          <w:sz w:val="20"/>
          <w:lang w:val="en-US" w:eastAsia="en-US" w:bidi="ar-SA"/>
        </w:rPr>
        <w:t>parens patriae</w:t>
      </w:r>
      <w:r>
        <w:rPr>
          <w:rFonts w:ascii="arial" w:eastAsia="arial" w:hAnsi="arial" w:cs="arial"/>
          <w:color w:val="000000"/>
          <w:sz w:val="20"/>
          <w:lang w:val="en-US" w:eastAsia="en-US" w:bidi="ar-SA"/>
        </w:rPr>
        <w:t xml:space="preserve"> jurisdiction of the defendants.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196</w:t>
      </w:r>
      <w:r>
        <w:rPr>
          <w:rFonts w:ascii="arial" w:eastAsia="arial" w:hAnsi="arial" w:cs="arial"/>
          <w:color w:val="000000"/>
          <w:sz w:val="20"/>
          <w:lang w:val="en-US" w:eastAsia="en-US" w:bidi="ar-SA"/>
        </w:rPr>
        <w:t xml:space="preserve">  The plaintiff also submits that the evidence is sufficient to found a typical fiduciary relationship between the plaintiff and the defendants on the basis of the characteristics of a fiduciary duty stated by Madam Justice Wilson in dissent in </w:t>
      </w:r>
      <w:r>
        <w:rPr>
          <w:rFonts w:ascii="arial" w:eastAsia="arial" w:hAnsi="arial" w:cs="arial"/>
          <w:i/>
          <w:color w:val="000000"/>
          <w:sz w:val="20"/>
          <w:lang w:val="en-US" w:eastAsia="en-US" w:bidi="ar-SA"/>
        </w:rPr>
        <w:t>Frame v. Smith</w:t>
      </w:r>
      <w:r>
        <w:rPr>
          <w:rFonts w:ascii="arial" w:eastAsia="arial" w:hAnsi="arial" w:cs="arial"/>
          <w:color w:val="000000"/>
          <w:sz w:val="20"/>
          <w:lang w:val="en-US" w:eastAsia="en-US" w:bidi="ar-SA"/>
        </w:rPr>
        <w:t xml:space="preserve">, </w:t>
      </w:r>
      <w:hyperlink r:id="rId157" w:history="1">
        <w:r>
          <w:rPr>
            <w:rFonts w:ascii="arial" w:eastAsia="arial" w:hAnsi="arial" w:cs="arial"/>
            <w:i/>
            <w:color w:val="0077CC"/>
            <w:sz w:val="20"/>
            <w:u w:val="single"/>
            <w:shd w:val="clear" w:color="auto" w:fill="FFFFFF"/>
            <w:lang w:val="en-US" w:eastAsia="en-US" w:bidi="ar-SA"/>
          </w:rPr>
          <w:t>[1987] 2 S.C.R. 99</w:t>
        </w:r>
      </w:hyperlink>
      <w:r>
        <w:rPr>
          <w:rFonts w:ascii="arial" w:eastAsia="arial" w:hAnsi="arial" w:cs="arial"/>
          <w:color w:val="000000"/>
          <w:sz w:val="20"/>
          <w:lang w:val="en-US" w:eastAsia="en-US" w:bidi="ar-SA"/>
        </w:rPr>
        <w:t xml:space="preserve">, but accepted in </w:t>
      </w:r>
      <w:r>
        <w:rPr>
          <w:rFonts w:ascii="arial" w:eastAsia="arial" w:hAnsi="arial" w:cs="arial"/>
          <w:i/>
          <w:color w:val="000000"/>
          <w:sz w:val="20"/>
          <w:lang w:val="en-US" w:eastAsia="en-US" w:bidi="ar-SA"/>
        </w:rPr>
        <w:t>Lac Minerals Ltd. v. International Corona Resources Ltd.,</w:t>
      </w:r>
      <w:r>
        <w:rPr>
          <w:rFonts w:ascii="arial" w:eastAsia="arial" w:hAnsi="arial" w:cs="arial"/>
          <w:color w:val="000000"/>
          <w:sz w:val="20"/>
          <w:lang w:val="en-US" w:eastAsia="en-US" w:bidi="ar-SA"/>
        </w:rPr>
        <w:t xml:space="preserve"> </w:t>
      </w:r>
      <w:hyperlink r:id="rId158" w:history="1">
        <w:r>
          <w:rPr>
            <w:rFonts w:ascii="arial" w:eastAsia="arial" w:hAnsi="arial" w:cs="arial"/>
            <w:i/>
            <w:color w:val="0077CC"/>
            <w:sz w:val="20"/>
            <w:u w:val="single"/>
            <w:shd w:val="clear" w:color="auto" w:fill="FFFFFF"/>
            <w:lang w:val="en-US" w:eastAsia="en-US" w:bidi="ar-SA"/>
          </w:rPr>
          <w:t>[1989] 2 S.C.R. 574</w:t>
        </w:r>
      </w:hyperlink>
      <w:r>
        <w:rPr>
          <w:rFonts w:ascii="arial" w:eastAsia="arial" w:hAnsi="arial" w:cs="arial"/>
          <w:color w:val="000000"/>
          <w:sz w:val="20"/>
          <w:lang w:val="en-US" w:eastAsia="en-US" w:bidi="ar-SA"/>
        </w:rPr>
        <w:t xml:space="preserve">, and </w:t>
      </w:r>
      <w:r>
        <w:rPr>
          <w:rFonts w:ascii="arial" w:eastAsia="arial" w:hAnsi="arial" w:cs="arial"/>
          <w:i/>
          <w:color w:val="000000"/>
          <w:sz w:val="20"/>
          <w:lang w:val="en-US" w:eastAsia="en-US" w:bidi="ar-SA"/>
        </w:rPr>
        <w:t>Hodgkinson v. Simms</w:t>
      </w:r>
      <w:r>
        <w:rPr>
          <w:rFonts w:ascii="arial" w:eastAsia="arial" w:hAnsi="arial" w:cs="arial"/>
          <w:color w:val="000000"/>
          <w:sz w:val="20"/>
          <w:lang w:val="en-US" w:eastAsia="en-US" w:bidi="ar-SA"/>
        </w:rPr>
        <w:t xml:space="preserve">, </w:t>
      </w:r>
      <w:hyperlink r:id="rId159" w:history="1">
        <w:r>
          <w:rPr>
            <w:rFonts w:ascii="arial" w:eastAsia="arial" w:hAnsi="arial" w:cs="arial"/>
            <w:i/>
            <w:color w:val="0077CC"/>
            <w:sz w:val="20"/>
            <w:u w:val="single"/>
            <w:shd w:val="clear" w:color="auto" w:fill="FFFFFF"/>
            <w:lang w:val="en-US" w:eastAsia="en-US" w:bidi="ar-SA"/>
          </w:rPr>
          <w:t>[1994] 3 S.C.R. 377</w:t>
        </w:r>
      </w:hyperlink>
      <w:r>
        <w:rPr>
          <w:rFonts w:ascii="arial" w:eastAsia="arial" w:hAnsi="arial" w:cs="arial"/>
          <w:color w:val="000000"/>
          <w:sz w:val="20"/>
          <w:lang w:val="en-US" w:eastAsia="en-US" w:bidi="ar-SA"/>
        </w:rPr>
        <w:t xml:space="preserve"> as follows:</w:t>
      </w:r>
      <w:r>
        <w:rPr>
          <w:rFonts w:ascii="arial" w:eastAsia="arial" w:hAnsi="arial" w:cs="arial"/>
          <w:sz w:val="20"/>
          <w:lang w:val="en-US" w:eastAsia="en-US" w:bidi="ar-SA"/>
        </w:rPr>
        <w:cr/>
      </w:r>
    </w:p>
    <w:p>
      <w:pPr>
        <w:numPr>
          <w:numId w:val="26"/>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The fiduciary has scope for the exercise of some discretion or power;</w:t>
      </w:r>
    </w:p>
    <w:p>
      <w:pPr>
        <w:numPr>
          <w:numId w:val="27"/>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The fiduciary can unilaterally exercise that discretion or power so as to affect the beneficiary's legal or practical interests, and</w:t>
      </w:r>
    </w:p>
    <w:p>
      <w:pPr>
        <w:numPr>
          <w:numId w:val="28"/>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The beneficiary is peculiarly vulnerable to or at the mercy of the fiduciary holding the discretion or power.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197</w:t>
      </w:r>
      <w:r>
        <w:rPr>
          <w:rFonts w:ascii="arial" w:eastAsia="arial" w:hAnsi="arial" w:cs="arial"/>
          <w:color w:val="000000"/>
          <w:sz w:val="20"/>
          <w:lang w:val="en-US" w:eastAsia="en-US" w:bidi="ar-SA"/>
        </w:rPr>
        <w:t>  The plaintiff submits the defendants owed this fiduciary duty through operation of the VSE program which it breached by not catching her when she breached her duty of self-exclusion. The defendants had the discretion or authority to remove her once she was self-excluded and she was at the mercy of that discretion or authority.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198</w:t>
      </w:r>
      <w:r>
        <w:rPr>
          <w:rFonts w:ascii="arial" w:eastAsia="arial" w:hAnsi="arial" w:cs="arial"/>
          <w:color w:val="000000"/>
          <w:sz w:val="20"/>
          <w:lang w:val="en-US" w:eastAsia="en-US" w:bidi="ar-SA"/>
        </w:rPr>
        <w:t>  The plaintiff submits the fact that she has been diagnosed as a pathological gambler with an inability to resist the urge to gamble, and entered the VSE program in an effort to end her gambling, demonstrates that she was vulnerable and in need of protection and at the mercy of the defendants' discretionary power to enforce or not enforce the rules of the VSE program.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199</w:t>
      </w:r>
      <w:r>
        <w:rPr>
          <w:rFonts w:ascii="arial" w:eastAsia="arial" w:hAnsi="arial" w:cs="arial"/>
          <w:color w:val="000000"/>
          <w:sz w:val="20"/>
          <w:lang w:val="en-US" w:eastAsia="en-US" w:bidi="ar-SA"/>
        </w:rPr>
        <w:t>  As a consequence, it is submitted the defendants breached their fiduciary duties to her in the circumstances.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200</w:t>
      </w:r>
      <w:r>
        <w:rPr>
          <w:rFonts w:ascii="arial" w:eastAsia="arial" w:hAnsi="arial" w:cs="arial"/>
          <w:color w:val="000000"/>
          <w:sz w:val="20"/>
          <w:lang w:val="en-US" w:eastAsia="en-US" w:bidi="ar-SA"/>
        </w:rPr>
        <w:t>  If the Court concludes the defendants breached fiduciary duties to the plaintiff, it is submitted she can elect to treat her gambling contracts during the self-exclusion period as only voidable and not void and recover her monies lost under those contracts.</w:t>
      </w:r>
      <w:r>
        <w:rPr>
          <w:rFonts w:ascii="arial" w:eastAsia="arial" w:hAnsi="arial" w:cs="arial"/>
          <w:sz w:val="20"/>
          <w:lang w:val="en-US" w:eastAsia="en-US" w:bidi="ar-SA"/>
        </w:rPr>
        <w:cr/>
      </w:r>
    </w:p>
    <w:p>
      <w:pPr>
        <w:numPr>
          <w:numId w:val="3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VSE enrollment form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201</w:t>
      </w:r>
      <w:r>
        <w:rPr>
          <w:rFonts w:ascii="arial" w:eastAsia="arial" w:hAnsi="arial" w:cs="arial"/>
          <w:color w:val="000000"/>
          <w:sz w:val="20"/>
          <w:lang w:val="en-US" w:eastAsia="en-US" w:bidi="ar-SA"/>
        </w:rPr>
        <w:t>  The plaintiff submits that the VSE form is not a contract at law because it provides for no exchange of consideration.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202</w:t>
      </w:r>
      <w:r>
        <w:rPr>
          <w:rFonts w:ascii="arial" w:eastAsia="arial" w:hAnsi="arial" w:cs="arial"/>
          <w:color w:val="000000"/>
          <w:sz w:val="20"/>
          <w:lang w:val="en-US" w:eastAsia="en-US" w:bidi="ar-SA"/>
        </w:rPr>
        <w:t>  As a consequence, it is submitted that the release provisions in the form in para. 5 are unenforceable against her. Alternatively, if the form is a contract, it is submitted that to enforce the release provisions against her would be unconscionable, or if not unconscionable, should not be enforced against her as a matter of public policy.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203</w:t>
      </w:r>
      <w:r>
        <w:rPr>
          <w:rFonts w:ascii="arial" w:eastAsia="arial" w:hAnsi="arial" w:cs="arial"/>
          <w:color w:val="000000"/>
          <w:sz w:val="20"/>
          <w:lang w:val="en-US" w:eastAsia="en-US" w:bidi="ar-SA"/>
        </w:rPr>
        <w:t>  It is submitted that it was an extremely stressful event for the plaintiff to enroll in the self-exclusion program and it would unconscionable to take advantage of her vulnerability at that time when she was seeking help with her compulsion to gamble and was not expecting to sign away any of her legal rights.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204</w:t>
      </w:r>
      <w:r>
        <w:rPr>
          <w:rFonts w:ascii="arial" w:eastAsia="arial" w:hAnsi="arial" w:cs="arial"/>
          <w:color w:val="000000"/>
          <w:sz w:val="20"/>
          <w:lang w:val="en-US" w:eastAsia="en-US" w:bidi="ar-SA"/>
        </w:rPr>
        <w:t>  It is submitted that to uphold the release provisions as enforceable would bring about the result that the voluntary VSE program would function only to increase the profit of the casinos and BCLC, by denying problem gamblers their winnings, while doing nothing to protect them from their losses when they are the very persons for whose benefits the VSE program was put into place. It is submitted this would be contrary to public policy.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205</w:t>
      </w:r>
      <w:r>
        <w:rPr>
          <w:rFonts w:ascii="arial" w:eastAsia="arial" w:hAnsi="arial" w:cs="arial"/>
          <w:color w:val="000000"/>
          <w:sz w:val="20"/>
          <w:lang w:val="en-US" w:eastAsia="en-US" w:bidi="ar-SA"/>
        </w:rPr>
        <w:t xml:space="preserve">  Alternatively, the plaintiff submits that if the release provisions are enforceable they should be narrowly construed on application of the legal doctrine of </w:t>
      </w:r>
      <w:r>
        <w:rPr>
          <w:rFonts w:ascii="arial" w:eastAsia="arial" w:hAnsi="arial" w:cs="arial"/>
          <w:i/>
          <w:color w:val="000000"/>
          <w:sz w:val="20"/>
          <w:lang w:val="en-US" w:eastAsia="en-US" w:bidi="ar-SA"/>
        </w:rPr>
        <w:t>contra proferentem</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206</w:t>
      </w:r>
      <w:r>
        <w:rPr>
          <w:rFonts w:ascii="arial" w:eastAsia="arial" w:hAnsi="arial" w:cs="arial"/>
          <w:color w:val="000000"/>
          <w:sz w:val="20"/>
          <w:lang w:val="en-US" w:eastAsia="en-US" w:bidi="ar-SA"/>
        </w:rPr>
        <w:t xml:space="preserve">  She submits they should only be applied to her claim in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and should not be interpreted to apply to her claims for unjust enrichment and breach of fiduciary duties because the wording does not evince the clear intention that any cause of action except for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should be waived or released.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IV. BCLC SUBMISSIONS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1. Unjust enrichment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207</w:t>
      </w:r>
      <w:r>
        <w:rPr>
          <w:rFonts w:ascii="arial" w:eastAsia="arial" w:hAnsi="arial" w:cs="arial"/>
          <w:color w:val="000000"/>
          <w:sz w:val="20"/>
          <w:lang w:val="en-US" w:eastAsia="en-US" w:bidi="ar-SA"/>
        </w:rPr>
        <w:t>  BCLC accepts that the wagers the plaintiff made before and during the time of her VSE program enrollment qualify as having enriched BCLC and correspondingly deprived her under the principles of unjust enrichment.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208</w:t>
      </w:r>
      <w:r>
        <w:rPr>
          <w:rFonts w:ascii="arial" w:eastAsia="arial" w:hAnsi="arial" w:cs="arial"/>
          <w:color w:val="000000"/>
          <w:sz w:val="20"/>
          <w:lang w:val="en-US" w:eastAsia="en-US" w:bidi="ar-SA"/>
        </w:rPr>
        <w:t>  Contrary to the submission of the plaintiff that this claim is directed only against the two defendant casino companies because they took her wagers, BCLC is content to be the only defendant subject to this claim in conceding that the revenues from her wagering belonged to it and from there they were remitted to the consolidated revenue fund.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209</w:t>
      </w:r>
      <w:r>
        <w:rPr>
          <w:rFonts w:ascii="arial" w:eastAsia="arial" w:hAnsi="arial" w:cs="arial"/>
          <w:color w:val="000000"/>
          <w:sz w:val="20"/>
          <w:lang w:val="en-US" w:eastAsia="en-US" w:bidi="ar-SA"/>
        </w:rPr>
        <w:t xml:space="preserve">  BCLC submits there are two steps to the third requirement of unjust enrichment - that there be an absence of juristic reason for the enrichment. First, it submits the plaintiff must show there is no juristic reason available from any established category of reasons to deny recovery, and secondly, if the first step is satisfied, the defendant is not able to rebut this </w:t>
      </w:r>
      <w:r>
        <w:rPr>
          <w:rFonts w:ascii="arial" w:eastAsia="arial" w:hAnsi="arial" w:cs="arial"/>
          <w:i/>
          <w:color w:val="000000"/>
          <w:sz w:val="20"/>
          <w:lang w:val="en-US" w:eastAsia="en-US" w:bidi="ar-SA"/>
        </w:rPr>
        <w:t>prima facie</w:t>
      </w:r>
      <w:r>
        <w:rPr>
          <w:rFonts w:ascii="arial" w:eastAsia="arial" w:hAnsi="arial" w:cs="arial"/>
          <w:color w:val="000000"/>
          <w:sz w:val="20"/>
          <w:lang w:val="en-US" w:eastAsia="en-US" w:bidi="ar-SA"/>
        </w:rPr>
        <w:t xml:space="preserve"> result by showing that there is another reason to deny recovery.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210</w:t>
      </w:r>
      <w:r>
        <w:rPr>
          <w:rFonts w:ascii="arial" w:eastAsia="arial" w:hAnsi="arial" w:cs="arial"/>
          <w:color w:val="000000"/>
          <w:sz w:val="20"/>
          <w:lang w:val="en-US" w:eastAsia="en-US" w:bidi="ar-SA"/>
        </w:rPr>
        <w:t xml:space="preserve">  BCLC relies for this submission on the decision of Mr. Justice Iacobucci, giving judgment for the Court in </w:t>
      </w:r>
      <w:r>
        <w:rPr>
          <w:rFonts w:ascii="arial" w:eastAsia="arial" w:hAnsi="arial" w:cs="arial"/>
          <w:i/>
          <w:color w:val="000000"/>
          <w:sz w:val="20"/>
          <w:lang w:val="en-US" w:eastAsia="en-US" w:bidi="ar-SA"/>
        </w:rPr>
        <w:t>Garland v. Consumers' Gas Co.</w:t>
      </w:r>
      <w:r>
        <w:rPr>
          <w:rFonts w:ascii="arial" w:eastAsia="arial" w:hAnsi="arial" w:cs="arial"/>
          <w:color w:val="000000"/>
          <w:sz w:val="20"/>
          <w:lang w:val="en-US" w:eastAsia="en-US" w:bidi="ar-SA"/>
        </w:rPr>
        <w:t xml:space="preserve"> </w:t>
      </w:r>
      <w:hyperlink r:id="rId160" w:history="1">
        <w:r>
          <w:rPr>
            <w:rFonts w:ascii="arial" w:eastAsia="arial" w:hAnsi="arial" w:cs="arial"/>
            <w:i/>
            <w:color w:val="0077CC"/>
            <w:sz w:val="20"/>
            <w:u w:val="single"/>
            <w:shd w:val="clear" w:color="auto" w:fill="FFFFFF"/>
            <w:lang w:val="en-US" w:eastAsia="en-US" w:bidi="ar-SA"/>
          </w:rPr>
          <w:t>[2004] 1 S.C.R. 629</w:t>
        </w:r>
      </w:hyperlink>
      <w:r>
        <w:rPr>
          <w:rFonts w:ascii="arial" w:eastAsia="arial" w:hAnsi="arial" w:cs="arial"/>
          <w:color w:val="000000"/>
          <w:sz w:val="20"/>
          <w:lang w:val="en-US" w:eastAsia="en-US" w:bidi="ar-SA"/>
        </w:rPr>
        <w:t xml:space="preserve">, </w:t>
      </w:r>
      <w:hyperlink r:id="rId160" w:history="1">
        <w:r>
          <w:rPr>
            <w:rFonts w:ascii="arial" w:eastAsia="arial" w:hAnsi="arial" w:cs="arial"/>
            <w:i/>
            <w:color w:val="0077CC"/>
            <w:sz w:val="20"/>
            <w:u w:val="single"/>
            <w:shd w:val="clear" w:color="auto" w:fill="FFFFFF"/>
            <w:lang w:val="en-US" w:eastAsia="en-US" w:bidi="ar-SA"/>
          </w:rPr>
          <w:t>2004 SCC 25</w:t>
        </w:r>
      </w:hyperlink>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211</w:t>
      </w:r>
      <w:r>
        <w:rPr>
          <w:rFonts w:ascii="arial" w:eastAsia="arial" w:hAnsi="arial" w:cs="arial"/>
          <w:color w:val="000000"/>
          <w:sz w:val="20"/>
          <w:lang w:val="en-US" w:eastAsia="en-US" w:bidi="ar-SA"/>
        </w:rPr>
        <w:t>  At paras. 44-46 of that decision, Mr. Justice Iacobucci said this about the burden on the defendant to show why the enrichment should be retained:</w:t>
      </w:r>
      <w:r>
        <w:rPr>
          <w:rFonts w:ascii="arial" w:eastAsia="arial" w:hAnsi="arial" w:cs="arial"/>
          <w:sz w:val="20"/>
          <w:lang w:val="en-US" w:eastAsia="en-US" w:bidi="ar-SA"/>
        </w:rPr>
        <w:cr/>
      </w:r>
    </w:p>
    <w:p>
      <w:pPr>
        <w:numPr>
          <w:numId w:val="3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...Consequently, in my view, the proper approach to the juristic reason analysis is in two parts. First, the plaintiff must show that no juristic reason from an established category exists to deny recovery. ...If there is no juristic reason from an established category, then the plaintiff has made out a </w:t>
      </w:r>
      <w:r>
        <w:rPr>
          <w:rFonts w:ascii="arial" w:eastAsia="arial" w:hAnsi="arial" w:cs="arial"/>
          <w:i/>
          <w:color w:val="000000"/>
          <w:sz w:val="20"/>
          <w:lang w:val="en-US" w:eastAsia="en-US" w:bidi="ar-SA"/>
        </w:rPr>
        <w:t>prima facie</w:t>
      </w:r>
      <w:r>
        <w:rPr>
          <w:rFonts w:ascii="arial" w:eastAsia="arial" w:hAnsi="arial" w:cs="arial"/>
          <w:color w:val="000000"/>
          <w:sz w:val="20"/>
          <w:lang w:val="en-US" w:eastAsia="en-US" w:bidi="ar-SA"/>
        </w:rPr>
        <w:t xml:space="preserve"> case under the juristic reason component of the analysis.</w:t>
      </w:r>
    </w:p>
    <w:p>
      <w:pPr>
        <w:numPr>
          <w:numId w:val="3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w:t>
      </w:r>
      <w:r>
        <w:rPr>
          <w:rFonts w:ascii="arial" w:eastAsia="arial" w:hAnsi="arial" w:cs="arial"/>
          <w:i/>
          <w:color w:val="000000"/>
          <w:sz w:val="20"/>
          <w:lang w:val="en-US" w:eastAsia="en-US" w:bidi="ar-SA"/>
        </w:rPr>
        <w:t>prima facie</w:t>
      </w:r>
      <w:r>
        <w:rPr>
          <w:rFonts w:ascii="arial" w:eastAsia="arial" w:hAnsi="arial" w:cs="arial"/>
          <w:color w:val="000000"/>
          <w:sz w:val="20"/>
          <w:lang w:val="en-US" w:eastAsia="en-US" w:bidi="ar-SA"/>
        </w:rPr>
        <w:t xml:space="preserve"> case is rebuttable, however, where the defendant can show that there is another reason to deny recovery. As a result, there is a </w:t>
      </w:r>
      <w:r>
        <w:rPr>
          <w:rFonts w:ascii="arial" w:eastAsia="arial" w:hAnsi="arial" w:cs="arial"/>
          <w:i/>
          <w:color w:val="000000"/>
          <w:sz w:val="20"/>
          <w:lang w:val="en-US" w:eastAsia="en-US" w:bidi="ar-SA"/>
        </w:rPr>
        <w:t>de facto</w:t>
      </w:r>
      <w:r>
        <w:rPr>
          <w:rFonts w:ascii="arial" w:eastAsia="arial" w:hAnsi="arial" w:cs="arial"/>
          <w:color w:val="000000"/>
          <w:sz w:val="20"/>
          <w:lang w:val="en-US" w:eastAsia="en-US" w:bidi="ar-SA"/>
        </w:rPr>
        <w:t xml:space="preserve"> burden of proof placed on the defendant to show the reason why the enrichment should be retained. This stage of the analysis thus provides for a category of residual defence in which courts can look to all of the circumstances of the transaction in order to determine whether there is another reason to deny recovery.</w:t>
      </w:r>
    </w:p>
    <w:p>
      <w:pPr>
        <w:numPr>
          <w:numId w:val="3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As part of the defendant's attempt to rebut, courts should have regard to two factors: the reasonable expectations of the parties, and public policy considerations. ...</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212</w:t>
      </w:r>
      <w:r>
        <w:rPr>
          <w:rFonts w:ascii="arial" w:eastAsia="arial" w:hAnsi="arial" w:cs="arial"/>
          <w:color w:val="000000"/>
          <w:sz w:val="20"/>
          <w:lang w:val="en-US" w:eastAsia="en-US" w:bidi="ar-SA"/>
        </w:rPr>
        <w:t xml:space="preserve">  BCLC submits that an established category of juristic reason for the enrichment is its statutory obligations and s. 7(1)(a) of the </w:t>
      </w:r>
      <w:r>
        <w:rPr>
          <w:rFonts w:ascii="arial" w:eastAsia="arial" w:hAnsi="arial" w:cs="arial"/>
          <w:i/>
          <w:color w:val="000000"/>
          <w:sz w:val="20"/>
          <w:lang w:val="en-US" w:eastAsia="en-US" w:bidi="ar-SA"/>
        </w:rPr>
        <w:t>Act</w:t>
      </w:r>
      <w:r>
        <w:rPr>
          <w:rFonts w:ascii="arial" w:eastAsia="arial" w:hAnsi="arial" w:cs="arial"/>
          <w:color w:val="000000"/>
          <w:sz w:val="20"/>
          <w:lang w:val="en-US" w:eastAsia="en-US" w:bidi="ar-SA"/>
        </w:rPr>
        <w:t xml:space="preserve"> stands as the juristic reason for its entitlement to retain the wagers.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213</w:t>
      </w:r>
      <w:r>
        <w:rPr>
          <w:rFonts w:ascii="arial" w:eastAsia="arial" w:hAnsi="arial" w:cs="arial"/>
          <w:color w:val="000000"/>
          <w:sz w:val="20"/>
          <w:lang w:val="en-US" w:eastAsia="en-US" w:bidi="ar-SA"/>
        </w:rPr>
        <w:t>  Section 7(1)(a) authorizes BCLC to "develop, undertake, organize, conduct, manage and operate provincial gaming on behalf of the government. ..."</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214</w:t>
      </w:r>
      <w:r>
        <w:rPr>
          <w:rFonts w:ascii="arial" w:eastAsia="arial" w:hAnsi="arial" w:cs="arial"/>
          <w:color w:val="000000"/>
          <w:sz w:val="20"/>
          <w:lang w:val="en-US" w:eastAsia="en-US" w:bidi="ar-SA"/>
        </w:rPr>
        <w:t xml:space="preserve">  BCLC cites </w:t>
      </w:r>
      <w:r>
        <w:rPr>
          <w:rFonts w:ascii="arial" w:eastAsia="arial" w:hAnsi="arial" w:cs="arial"/>
          <w:i/>
          <w:color w:val="000000"/>
          <w:sz w:val="20"/>
          <w:lang w:val="en-US" w:eastAsia="en-US" w:bidi="ar-SA"/>
        </w:rPr>
        <w:t>Bond Development Corp. v. Esquimalt (Township of)</w:t>
      </w:r>
      <w:r>
        <w:rPr>
          <w:rFonts w:ascii="arial" w:eastAsia="arial" w:hAnsi="arial" w:cs="arial"/>
          <w:color w:val="000000"/>
          <w:sz w:val="20"/>
          <w:lang w:val="en-US" w:eastAsia="en-US" w:bidi="ar-SA"/>
        </w:rPr>
        <w:t xml:space="preserve">, </w:t>
      </w:r>
      <w:hyperlink r:id="rId161" w:history="1">
        <w:r>
          <w:rPr>
            <w:rFonts w:ascii="arial" w:eastAsia="arial" w:hAnsi="arial" w:cs="arial"/>
            <w:i/>
            <w:color w:val="0077CC"/>
            <w:sz w:val="20"/>
            <w:u w:val="single"/>
            <w:shd w:val="clear" w:color="auto" w:fill="FFFFFF"/>
            <w:lang w:val="en-US" w:eastAsia="en-US" w:bidi="ar-SA"/>
          </w:rPr>
          <w:t>2006 BCCA 248</w:t>
        </w:r>
      </w:hyperlink>
      <w:r>
        <w:rPr>
          <w:rFonts w:ascii="arial" w:eastAsia="arial" w:hAnsi="arial" w:cs="arial"/>
          <w:color w:val="000000"/>
          <w:sz w:val="20"/>
          <w:lang w:val="en-US" w:eastAsia="en-US" w:bidi="ar-SA"/>
        </w:rPr>
        <w:t xml:space="preserve"> where Madam Justice Huddart, writing the reasons with Lowry &amp; Low JJ. concurring, cited with approval from </w:t>
      </w:r>
      <w:r>
        <w:rPr>
          <w:rFonts w:ascii="arial" w:eastAsia="arial" w:hAnsi="arial" w:cs="arial"/>
          <w:i/>
          <w:color w:val="000000"/>
          <w:sz w:val="20"/>
          <w:lang w:val="en-US" w:eastAsia="en-US" w:bidi="ar-SA"/>
        </w:rPr>
        <w:t>Central Guaranty Trust Co. v. Dixdale Mortgage Investment Corp.</w:t>
      </w:r>
      <w:r>
        <w:rPr>
          <w:rFonts w:ascii="arial" w:eastAsia="arial" w:hAnsi="arial" w:cs="arial"/>
          <w:color w:val="000000"/>
          <w:sz w:val="20"/>
          <w:lang w:val="en-US" w:eastAsia="en-US" w:bidi="ar-SA"/>
        </w:rPr>
        <w:t xml:space="preserve"> </w:t>
      </w:r>
      <w:hyperlink r:id="rId162" w:history="1">
        <w:r>
          <w:rPr>
            <w:rFonts w:ascii="arial" w:eastAsia="arial" w:hAnsi="arial" w:cs="arial"/>
            <w:i/>
            <w:color w:val="0077CC"/>
            <w:sz w:val="20"/>
            <w:u w:val="single"/>
            <w:shd w:val="clear" w:color="auto" w:fill="FFFFFF"/>
            <w:lang w:val="en-US" w:eastAsia="en-US" w:bidi="ar-SA"/>
          </w:rPr>
          <w:t>(1994), 121 D.L.R. (4th) 53</w:t>
        </w:r>
      </w:hyperlink>
      <w:r>
        <w:rPr>
          <w:rFonts w:ascii="arial" w:eastAsia="arial" w:hAnsi="arial" w:cs="arial"/>
          <w:color w:val="000000"/>
          <w:sz w:val="20"/>
          <w:lang w:val="en-US" w:eastAsia="en-US" w:bidi="ar-SA"/>
        </w:rPr>
        <w:t xml:space="preserve"> where Mr. Justice Laskin adopted this statement from the text, </w:t>
      </w:r>
      <w:r>
        <w:rPr>
          <w:rFonts w:ascii="arial" w:eastAsia="arial" w:hAnsi="arial" w:cs="arial"/>
          <w:i/>
          <w:color w:val="000000"/>
          <w:sz w:val="20"/>
          <w:lang w:val="en-US" w:eastAsia="en-US" w:bidi="ar-SA"/>
        </w:rPr>
        <w:t>The Law of Restitution</w:t>
      </w:r>
      <w:r>
        <w:rPr>
          <w:rFonts w:ascii="arial" w:eastAsia="arial" w:hAnsi="arial" w:cs="arial"/>
          <w:color w:val="000000"/>
          <w:sz w:val="20"/>
          <w:lang w:val="en-US" w:eastAsia="en-US" w:bidi="ar-SA"/>
        </w:rPr>
        <w:t xml:space="preserve"> (Canada Law Book Inc., 1990at 313-14):</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In each case, it is submitted, the court should weigh the objective of fulfilment of the purpose of the legislation against the common law policy of preventing unjust enrichment.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215</w:t>
      </w:r>
      <w:r>
        <w:rPr>
          <w:rFonts w:ascii="arial" w:eastAsia="arial" w:hAnsi="arial" w:cs="arial"/>
          <w:color w:val="000000"/>
          <w:sz w:val="20"/>
          <w:lang w:val="en-US" w:eastAsia="en-US" w:bidi="ar-SA"/>
        </w:rPr>
        <w:t xml:space="preserve">  In addition, Mr. Justice Laskin quoted from </w:t>
      </w:r>
      <w:r>
        <w:rPr>
          <w:rFonts w:ascii="arial" w:eastAsia="arial" w:hAnsi="arial" w:cs="arial"/>
          <w:i/>
          <w:color w:val="000000"/>
          <w:sz w:val="20"/>
          <w:lang w:val="en-US" w:eastAsia="en-US" w:bidi="ar-SA"/>
        </w:rPr>
        <w:t>The Law of Restitution</w:t>
      </w:r>
      <w:r>
        <w:rPr>
          <w:rFonts w:ascii="arial" w:eastAsia="arial" w:hAnsi="arial" w:cs="arial"/>
          <w:color w:val="000000"/>
          <w:sz w:val="20"/>
          <w:lang w:val="en-US" w:eastAsia="en-US" w:bidi="ar-SA"/>
        </w:rPr>
        <w:t>, 3rd ed. (London: Sweet &amp; Maxwell, 1986at 48):</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Occasionally a statute will prohibit any claim whatsoever. More frequently the courts will have to decide whether the recognition of the claim will indirectly frustrate the policy of a particular statute or common law rule.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216</w:t>
      </w:r>
      <w:r>
        <w:rPr>
          <w:rFonts w:ascii="arial" w:eastAsia="arial" w:hAnsi="arial" w:cs="arial"/>
          <w:color w:val="000000"/>
          <w:sz w:val="20"/>
          <w:lang w:val="en-US" w:eastAsia="en-US" w:bidi="ar-SA"/>
        </w:rPr>
        <w:t xml:space="preserve">  BCLC submits that by s. 7(1)(a) of the </w:t>
      </w:r>
      <w:r>
        <w:rPr>
          <w:rFonts w:ascii="arial" w:eastAsia="arial" w:hAnsi="arial" w:cs="arial"/>
          <w:i/>
          <w:color w:val="000000"/>
          <w:sz w:val="20"/>
          <w:lang w:val="en-US" w:eastAsia="en-US" w:bidi="ar-SA"/>
        </w:rPr>
        <w:t>Act</w:t>
      </w:r>
      <w:r>
        <w:rPr>
          <w:rFonts w:ascii="arial" w:eastAsia="arial" w:hAnsi="arial" w:cs="arial"/>
          <w:color w:val="000000"/>
          <w:sz w:val="20"/>
          <w:lang w:val="en-US" w:eastAsia="en-US" w:bidi="ar-SA"/>
        </w:rPr>
        <w:t>, it is legally entitled to take wagers and retain wagers, and to permit restitution in this case would frustrate its legislative mandate.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217</w:t>
      </w:r>
      <w:r>
        <w:rPr>
          <w:rFonts w:ascii="arial" w:eastAsia="arial" w:hAnsi="arial" w:cs="arial"/>
          <w:color w:val="000000"/>
          <w:sz w:val="20"/>
          <w:lang w:val="en-US" w:eastAsia="en-US" w:bidi="ar-SA"/>
        </w:rPr>
        <w:t xml:space="preserve">  BCLC points out that in the plaintiff's "lack of consideration" argument, she has conceded that prior to April 1, 2009, before the </w:t>
      </w:r>
      <w:r>
        <w:rPr>
          <w:rFonts w:ascii="arial" w:eastAsia="arial" w:hAnsi="arial" w:cs="arial"/>
          <w:i/>
          <w:color w:val="000000"/>
          <w:sz w:val="20"/>
          <w:lang w:val="en-US" w:eastAsia="en-US" w:bidi="ar-SA"/>
        </w:rPr>
        <w:t>Jackpot Ineligibility Rules</w:t>
      </w:r>
      <w:r>
        <w:rPr>
          <w:rFonts w:ascii="arial" w:eastAsia="arial" w:hAnsi="arial" w:cs="arial"/>
          <w:color w:val="000000"/>
          <w:sz w:val="20"/>
          <w:lang w:val="en-US" w:eastAsia="en-US" w:bidi="ar-SA"/>
        </w:rPr>
        <w:t xml:space="preserve"> came into effect, it was possible for her to win and keep the money.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218</w:t>
      </w:r>
      <w:r>
        <w:rPr>
          <w:rFonts w:ascii="arial" w:eastAsia="arial" w:hAnsi="arial" w:cs="arial"/>
          <w:color w:val="000000"/>
          <w:sz w:val="20"/>
          <w:lang w:val="en-US" w:eastAsia="en-US" w:bidi="ar-SA"/>
        </w:rPr>
        <w:t>  It is submitted before April 1, 2009 the consideration given to her was her chance to win and receive the winnings, and the juristic reason to retain her wagers was the same chance given to her of the chance to win and receive her money, as with every other gambler entering into a wagering contract.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219</w:t>
      </w:r>
      <w:r>
        <w:rPr>
          <w:rFonts w:ascii="arial" w:eastAsia="arial" w:hAnsi="arial" w:cs="arial"/>
          <w:color w:val="000000"/>
          <w:sz w:val="20"/>
          <w:lang w:val="en-US" w:eastAsia="en-US" w:bidi="ar-SA"/>
        </w:rPr>
        <w:t xml:space="preserve">  As to the </w:t>
      </w:r>
      <w:r>
        <w:rPr>
          <w:rFonts w:ascii="arial" w:eastAsia="arial" w:hAnsi="arial" w:cs="arial"/>
          <w:i/>
          <w:color w:val="000000"/>
          <w:sz w:val="20"/>
          <w:lang w:val="en-US" w:eastAsia="en-US" w:bidi="ar-SA"/>
        </w:rPr>
        <w:t>Jackpot Ineligibility Rules</w:t>
      </w:r>
      <w:r>
        <w:rPr>
          <w:rFonts w:ascii="arial" w:eastAsia="arial" w:hAnsi="arial" w:cs="arial"/>
          <w:color w:val="000000"/>
          <w:sz w:val="20"/>
          <w:lang w:val="en-US" w:eastAsia="en-US" w:bidi="ar-SA"/>
        </w:rPr>
        <w:t xml:space="preserve"> as of April 1, 2009, BCLC submits that they do not disallow all winnings to VSE participants, but only provide that they are ineligible to receive jackpot prizes for which identification is requested to claim them - being payments of $10,000 or more.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220</w:t>
      </w:r>
      <w:r>
        <w:rPr>
          <w:rFonts w:ascii="arial" w:eastAsia="arial" w:hAnsi="arial" w:cs="arial"/>
          <w:color w:val="000000"/>
          <w:sz w:val="20"/>
          <w:lang w:val="en-US" w:eastAsia="en-US" w:bidi="ar-SA"/>
        </w:rPr>
        <w:t xml:space="preserve">  BCLC points out the plaintiff testified she never won a prize over $10,000 for which she was asked for her identification, so the </w:t>
      </w:r>
      <w:r>
        <w:rPr>
          <w:rFonts w:ascii="arial" w:eastAsia="arial" w:hAnsi="arial" w:cs="arial"/>
          <w:i/>
          <w:color w:val="000000"/>
          <w:sz w:val="20"/>
          <w:lang w:val="en-US" w:eastAsia="en-US" w:bidi="ar-SA"/>
        </w:rPr>
        <w:t>Rules</w:t>
      </w:r>
      <w:r>
        <w:rPr>
          <w:rFonts w:ascii="arial" w:eastAsia="arial" w:hAnsi="arial" w:cs="arial"/>
          <w:color w:val="000000"/>
          <w:sz w:val="20"/>
          <w:lang w:val="en-US" w:eastAsia="en-US" w:bidi="ar-SA"/>
        </w:rPr>
        <w:t xml:space="preserve"> did not affect her gambling contracts at all.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221</w:t>
      </w:r>
      <w:r>
        <w:rPr>
          <w:rFonts w:ascii="arial" w:eastAsia="arial" w:hAnsi="arial" w:cs="arial"/>
          <w:color w:val="000000"/>
          <w:sz w:val="20"/>
          <w:lang w:val="en-US" w:eastAsia="en-US" w:bidi="ar-SA"/>
        </w:rPr>
        <w:t xml:space="preserve">  Even if she qualified to win a prize over $10,000, BCLC submits that the purpose of the </w:t>
      </w:r>
      <w:r>
        <w:rPr>
          <w:rFonts w:ascii="arial" w:eastAsia="arial" w:hAnsi="arial" w:cs="arial"/>
          <w:i/>
          <w:color w:val="000000"/>
          <w:sz w:val="20"/>
          <w:lang w:val="en-US" w:eastAsia="en-US" w:bidi="ar-SA"/>
        </w:rPr>
        <w:t>Jackpot Ineligibility Rules</w:t>
      </w:r>
      <w:r>
        <w:rPr>
          <w:rFonts w:ascii="arial" w:eastAsia="arial" w:hAnsi="arial" w:cs="arial"/>
          <w:color w:val="000000"/>
          <w:sz w:val="20"/>
          <w:lang w:val="en-US" w:eastAsia="en-US" w:bidi="ar-SA"/>
        </w:rPr>
        <w:t xml:space="preserve"> is to deter self-exclusion breaches, and to order restitution of these monies to the plaintiff would be contrary to the purpose of the </w:t>
      </w:r>
      <w:r>
        <w:rPr>
          <w:rFonts w:ascii="arial" w:eastAsia="arial" w:hAnsi="arial" w:cs="arial"/>
          <w:i/>
          <w:color w:val="000000"/>
          <w:sz w:val="20"/>
          <w:lang w:val="en-US" w:eastAsia="en-US" w:bidi="ar-SA"/>
        </w:rPr>
        <w:t>Rules.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222</w:t>
      </w:r>
      <w:r>
        <w:rPr>
          <w:rFonts w:ascii="arial" w:eastAsia="arial" w:hAnsi="arial" w:cs="arial"/>
          <w:color w:val="000000"/>
          <w:sz w:val="20"/>
          <w:lang w:val="en-US" w:eastAsia="en-US" w:bidi="ar-SA"/>
        </w:rPr>
        <w:t xml:space="preserve">  Even if the plaintiff is correct on her "lack of consideration" argument, because she was self-excluded, BCLC also submits that the success of her claim would end up benefiting other barred patrons as well, which cannot be consistent with the purpose of the </w:t>
      </w:r>
      <w:r>
        <w:rPr>
          <w:rFonts w:ascii="arial" w:eastAsia="arial" w:hAnsi="arial" w:cs="arial"/>
          <w:i/>
          <w:color w:val="000000"/>
          <w:sz w:val="20"/>
          <w:lang w:val="en-US" w:eastAsia="en-US" w:bidi="ar-SA"/>
        </w:rPr>
        <w:t>Rules</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223</w:t>
      </w:r>
      <w:r>
        <w:rPr>
          <w:rFonts w:ascii="arial" w:eastAsia="arial" w:hAnsi="arial" w:cs="arial"/>
          <w:color w:val="000000"/>
          <w:sz w:val="20"/>
          <w:lang w:val="en-US" w:eastAsia="en-US" w:bidi="ar-SA"/>
        </w:rPr>
        <w:t xml:space="preserve">  On June 3, 2010, s. 93(3) of the </w:t>
      </w:r>
      <w:r>
        <w:rPr>
          <w:rFonts w:ascii="arial" w:eastAsia="arial" w:hAnsi="arial" w:cs="arial"/>
          <w:i/>
          <w:color w:val="000000"/>
          <w:sz w:val="20"/>
          <w:lang w:val="en-US" w:eastAsia="en-US" w:bidi="ar-SA"/>
        </w:rPr>
        <w:t>Act</w:t>
      </w:r>
      <w:r>
        <w:rPr>
          <w:rFonts w:ascii="arial" w:eastAsia="arial" w:hAnsi="arial" w:cs="arial"/>
          <w:color w:val="000000"/>
          <w:sz w:val="20"/>
          <w:lang w:val="en-US" w:eastAsia="en-US" w:bidi="ar-SA"/>
        </w:rPr>
        <w:t xml:space="preserve"> was added to deny a self-exclusion participant any prize or winnings. BCLC submits however, that there is no evidence that the plaintiff gambled in any BC casinos following that day as part of her self-exclusion that ended on June 12, 2010, so again she was not adversely affected by this provision.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224</w:t>
      </w:r>
      <w:r>
        <w:rPr>
          <w:rFonts w:ascii="arial" w:eastAsia="arial" w:hAnsi="arial" w:cs="arial"/>
          <w:color w:val="000000"/>
          <w:sz w:val="20"/>
          <w:lang w:val="en-US" w:eastAsia="en-US" w:bidi="ar-SA"/>
        </w:rPr>
        <w:t>  Finally on this point, BCLC submits the plaintiff always received consideration for her wagering in the form of the entertainment enjoyment she received from a casino's atmosphere, as she has stated in her evidence.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225</w:t>
      </w:r>
      <w:r>
        <w:rPr>
          <w:rFonts w:ascii="arial" w:eastAsia="arial" w:hAnsi="arial" w:cs="arial"/>
          <w:color w:val="000000"/>
          <w:sz w:val="20"/>
          <w:lang w:val="en-US" w:eastAsia="en-US" w:bidi="ar-SA"/>
        </w:rPr>
        <w:t xml:space="preserve">  It is submitted that the plaintiff's wagering contracts remained legal even though her presence as a self-excluded participant was declared unlawful by s. 93 of the </w:t>
      </w:r>
      <w:r>
        <w:rPr>
          <w:rFonts w:ascii="arial" w:eastAsia="arial" w:hAnsi="arial" w:cs="arial"/>
          <w:i/>
          <w:color w:val="000000"/>
          <w:sz w:val="20"/>
          <w:lang w:val="en-US" w:eastAsia="en-US" w:bidi="ar-SA"/>
        </w:rPr>
        <w:t>Act</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226</w:t>
      </w:r>
      <w:r>
        <w:rPr>
          <w:rFonts w:ascii="arial" w:eastAsia="arial" w:hAnsi="arial" w:cs="arial"/>
          <w:color w:val="000000"/>
          <w:sz w:val="20"/>
          <w:lang w:val="en-US" w:eastAsia="en-US" w:bidi="ar-SA"/>
        </w:rPr>
        <w:t>  BCLC points out that s. 93 only prohibits her attendance in a gaming facility and ss. 97 and 98 set out penalties for her presence in a gaming facility and not for any gambling of hers while present.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227</w:t>
      </w:r>
      <w:r>
        <w:rPr>
          <w:rFonts w:ascii="arial" w:eastAsia="arial" w:hAnsi="arial" w:cs="arial"/>
          <w:color w:val="000000"/>
          <w:sz w:val="20"/>
          <w:lang w:val="en-US" w:eastAsia="en-US" w:bidi="ar-SA"/>
        </w:rPr>
        <w:t>  BCLC submits that while the plaintiff breached s. 93 on every occasion she attended gaming facilities while self-excluded, the gaming contracts that she formed while in the facility were not invalidated.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228</w:t>
      </w:r>
      <w:r>
        <w:rPr>
          <w:rFonts w:ascii="arial" w:eastAsia="arial" w:hAnsi="arial" w:cs="arial"/>
          <w:color w:val="000000"/>
          <w:sz w:val="20"/>
          <w:lang w:val="en-US" w:eastAsia="en-US" w:bidi="ar-SA"/>
        </w:rPr>
        <w:t>  It is submitted that to accept the plaintiff's argument that the contracts were illegal, would be to hold BCLC to an obligation to detect all self-excluded and barred patrons, on pain of having to make restitution for all wagers the patrons may have made before detection, when the only requirement on BCLC by the Responsible Gambling Standards was to:</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ensure policies and practices are in place to monitor premises for self-excluded customers and appropriate security procedures are designed to </w:t>
      </w:r>
      <w:r>
        <w:rPr>
          <w:rFonts w:ascii="arial" w:eastAsia="arial" w:hAnsi="arial" w:cs="arial"/>
          <w:color w:val="000000"/>
          <w:sz w:val="20"/>
          <w:u w:val="single"/>
          <w:lang w:val="en-US" w:eastAsia="en-US" w:bidi="ar-SA"/>
        </w:rPr>
        <w:t>reduce</w:t>
      </w:r>
      <w:r>
        <w:rPr>
          <w:rFonts w:ascii="arial" w:eastAsia="arial" w:hAnsi="arial" w:cs="arial"/>
          <w:color w:val="000000"/>
          <w:sz w:val="20"/>
          <w:lang w:val="en-US" w:eastAsia="en-US" w:bidi="ar-SA"/>
        </w:rPr>
        <w:t xml:space="preserve"> [underlining added by BCLC] the ability of excluded players to re-enter the venue.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229</w:t>
      </w:r>
      <w:r>
        <w:rPr>
          <w:rFonts w:ascii="arial" w:eastAsia="arial" w:hAnsi="arial" w:cs="arial"/>
          <w:color w:val="000000"/>
          <w:sz w:val="20"/>
          <w:lang w:val="en-US" w:eastAsia="en-US" w:bidi="ar-SA"/>
        </w:rPr>
        <w:t xml:space="preserve">  BCLC submits the Responsible Gambling Standards and the </w:t>
      </w:r>
      <w:r>
        <w:rPr>
          <w:rFonts w:ascii="arial" w:eastAsia="arial" w:hAnsi="arial" w:cs="arial"/>
          <w:i/>
          <w:color w:val="000000"/>
          <w:sz w:val="20"/>
          <w:lang w:val="en-US" w:eastAsia="en-US" w:bidi="ar-SA"/>
        </w:rPr>
        <w:t>Act</w:t>
      </w:r>
      <w:r>
        <w:rPr>
          <w:rFonts w:ascii="arial" w:eastAsia="arial" w:hAnsi="arial" w:cs="arial"/>
          <w:color w:val="000000"/>
          <w:sz w:val="20"/>
          <w:lang w:val="en-US" w:eastAsia="en-US" w:bidi="ar-SA"/>
        </w:rPr>
        <w:t xml:space="preserve"> itself contemplate that VSE participants may attempt to breach their self-exclusion and may not be detected. It submits that nothing in the legislation and any regulations indicates that it should be liable to return any losses to self-excluded participants if those participants have been successful in not being detected.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230</w:t>
      </w:r>
      <w:r>
        <w:rPr>
          <w:rFonts w:ascii="arial" w:eastAsia="arial" w:hAnsi="arial" w:cs="arial"/>
          <w:color w:val="000000"/>
          <w:sz w:val="20"/>
          <w:lang w:val="en-US" w:eastAsia="en-US" w:bidi="ar-SA"/>
        </w:rPr>
        <w:t xml:space="preserve">  BCLC submits the principle of </w:t>
      </w:r>
      <w:r>
        <w:rPr>
          <w:rFonts w:ascii="arial" w:eastAsia="arial" w:hAnsi="arial" w:cs="arial"/>
          <w:i/>
          <w:color w:val="000000"/>
          <w:sz w:val="20"/>
          <w:lang w:val="en-US" w:eastAsia="en-US" w:bidi="ar-SA"/>
        </w:rPr>
        <w:t>In pari delicto</w:t>
      </w:r>
      <w:r>
        <w:rPr>
          <w:rFonts w:ascii="arial" w:eastAsia="arial" w:hAnsi="arial" w:cs="arial"/>
          <w:color w:val="000000"/>
          <w:sz w:val="20"/>
          <w:lang w:val="en-US" w:eastAsia="en-US" w:bidi="ar-SA"/>
        </w:rPr>
        <w:t xml:space="preserve"> does not apply, even as modified to allow a less blameworthy claimant to recover from a dishonest person, because the only unlawfulness here was by the plaintiff herself in breaching her self-exclusion, and there is no evidence BCLC knowingly accepted her wager while she was in breach.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231</w:t>
      </w:r>
      <w:r>
        <w:rPr>
          <w:rFonts w:ascii="arial" w:eastAsia="arial" w:hAnsi="arial" w:cs="arial"/>
          <w:color w:val="000000"/>
          <w:sz w:val="20"/>
          <w:lang w:val="en-US" w:eastAsia="en-US" w:bidi="ar-SA"/>
        </w:rPr>
        <w:t>  Rather, it is submitted, the legal principle that should apply is "</w:t>
      </w:r>
      <w:r>
        <w:rPr>
          <w:rFonts w:ascii="arial" w:eastAsia="arial" w:hAnsi="arial" w:cs="arial"/>
          <w:i/>
          <w:color w:val="000000"/>
          <w:sz w:val="20"/>
          <w:lang w:val="en-US" w:eastAsia="en-US" w:bidi="ar-SA"/>
        </w:rPr>
        <w:t>ex turpi causa non oritur actio"</w:t>
      </w:r>
      <w:r>
        <w:rPr>
          <w:rFonts w:ascii="arial" w:eastAsia="arial" w:hAnsi="arial" w:cs="arial"/>
          <w:color w:val="000000"/>
          <w:sz w:val="20"/>
          <w:lang w:val="en-US" w:eastAsia="en-US" w:bidi="ar-SA"/>
        </w:rPr>
        <w:t xml:space="preserve"> ("from an immoral consideration an action does not arise").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232</w:t>
      </w:r>
      <w:r>
        <w:rPr>
          <w:rFonts w:ascii="arial" w:eastAsia="arial" w:hAnsi="arial" w:cs="arial"/>
          <w:color w:val="000000"/>
          <w:sz w:val="20"/>
          <w:lang w:val="en-US" w:eastAsia="en-US" w:bidi="ar-SA"/>
        </w:rPr>
        <w:t xml:space="preserve">  When the plaintiff was in breach of s. 93 of the </w:t>
      </w:r>
      <w:r>
        <w:rPr>
          <w:rFonts w:ascii="arial" w:eastAsia="arial" w:hAnsi="arial" w:cs="arial"/>
          <w:i/>
          <w:color w:val="000000"/>
          <w:sz w:val="20"/>
          <w:lang w:val="en-US" w:eastAsia="en-US" w:bidi="ar-SA"/>
        </w:rPr>
        <w:t>Act</w:t>
      </w:r>
      <w:r>
        <w:rPr>
          <w:rFonts w:ascii="arial" w:eastAsia="arial" w:hAnsi="arial" w:cs="arial"/>
          <w:color w:val="000000"/>
          <w:sz w:val="20"/>
          <w:lang w:val="en-US" w:eastAsia="en-US" w:bidi="ar-SA"/>
        </w:rPr>
        <w:t xml:space="preserve"> during her presence in gaming facilities while self-excluded, it is submitted the law should deny restitution recovery because this Court should refuse its aid to any such claim that arises out of this breach.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233</w:t>
      </w:r>
      <w:r>
        <w:rPr>
          <w:rFonts w:ascii="arial" w:eastAsia="arial" w:hAnsi="arial" w:cs="arial"/>
          <w:color w:val="000000"/>
          <w:sz w:val="20"/>
          <w:lang w:val="en-US" w:eastAsia="en-US" w:bidi="ar-SA"/>
        </w:rPr>
        <w:t xml:space="preserve">  BCLC submits that even if a juristic reason for not returning her losses does not exist under the established category of statutory obligations, the plaintiff's claim for unjust enrichment should fail under the second step because BCLC can rebut the </w:t>
      </w:r>
      <w:r>
        <w:rPr>
          <w:rFonts w:ascii="arial" w:eastAsia="arial" w:hAnsi="arial" w:cs="arial"/>
          <w:i/>
          <w:color w:val="000000"/>
          <w:sz w:val="20"/>
          <w:lang w:val="en-US" w:eastAsia="en-US" w:bidi="ar-SA"/>
        </w:rPr>
        <w:t>prima facie</w:t>
      </w:r>
      <w:r>
        <w:rPr>
          <w:rFonts w:ascii="arial" w:eastAsia="arial" w:hAnsi="arial" w:cs="arial"/>
          <w:color w:val="000000"/>
          <w:sz w:val="20"/>
          <w:lang w:val="en-US" w:eastAsia="en-US" w:bidi="ar-SA"/>
        </w:rPr>
        <w:t xml:space="preserve"> presumption for return of the monies by showing there is another reason to deny recovery, being the reasonable expectations of the parties and public policy considerations.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234</w:t>
      </w:r>
      <w:r>
        <w:rPr>
          <w:rFonts w:ascii="arial" w:eastAsia="arial" w:hAnsi="arial" w:cs="arial"/>
          <w:color w:val="000000"/>
          <w:sz w:val="20"/>
          <w:lang w:val="en-US" w:eastAsia="en-US" w:bidi="ar-SA"/>
        </w:rPr>
        <w:t>  As to the reasonable expectation of the parties, BCLC points to the exclusion of liability provisions in the VSE form as indicating that the plaintiff could not have any reasonable expectation of recovering her losses by suing BCLC or its agents, as she agreed to the provisions by signing the form under the heading "by signing this form I acknowledge I have been read the form and understand it."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235</w:t>
      </w:r>
      <w:r>
        <w:rPr>
          <w:rFonts w:ascii="arial" w:eastAsia="arial" w:hAnsi="arial" w:cs="arial"/>
          <w:color w:val="000000"/>
          <w:sz w:val="20"/>
          <w:lang w:val="en-US" w:eastAsia="en-US" w:bidi="ar-SA"/>
        </w:rPr>
        <w:t>  In addition, it is submitted that the plaintiff's evidence itself discloses a reasonable expectation on her part that she would lose money by gambling and it cannot have been any different expectation when she gambled and lost while self-excluded.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236</w:t>
      </w:r>
      <w:r>
        <w:rPr>
          <w:rFonts w:ascii="arial" w:eastAsia="arial" w:hAnsi="arial" w:cs="arial"/>
          <w:color w:val="000000"/>
          <w:sz w:val="20"/>
          <w:lang w:val="en-US" w:eastAsia="en-US" w:bidi="ar-SA"/>
        </w:rPr>
        <w:t>  It is also submitted public policy considerations militate against the recovery of her losses while self-excluded.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237</w:t>
      </w:r>
      <w:r>
        <w:rPr>
          <w:rFonts w:ascii="arial" w:eastAsia="arial" w:hAnsi="arial" w:cs="arial"/>
          <w:color w:val="000000"/>
          <w:sz w:val="20"/>
          <w:lang w:val="en-US" w:eastAsia="en-US" w:bidi="ar-SA"/>
        </w:rPr>
        <w:t>  The whole purpose of the VSE program is to allow participants who are prepared to acknowledge they may have a problem, to ban themselves from gaming venues in order to receive assistance in achieving a goal of eliminating or minimizing their gambling problems. It is submitted this public policy recognizes a need on their part to take personal responsibility to address their gambling addiction.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238</w:t>
      </w:r>
      <w:r>
        <w:rPr>
          <w:rFonts w:ascii="arial" w:eastAsia="arial" w:hAnsi="arial" w:cs="arial"/>
          <w:color w:val="000000"/>
          <w:sz w:val="20"/>
          <w:lang w:val="en-US" w:eastAsia="en-US" w:bidi="ar-SA"/>
        </w:rPr>
        <w:t>  If a self-excluded participant or any other barred patron is able to recover their losses while breaching their agreements to be self-excluded, or while being otherwise barred, it is submitted it would completely defeat the purpose of the VSE program or any other reason to bar patrons. If they are entitled to their losses before being caught this would give them the opportunity to gamble "risk-free" of their self-exclusion agreement or their banning, unlike other patrons who are not banned but gamble and lose and are not entitled to recover their lost wagers.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239</w:t>
      </w:r>
      <w:r>
        <w:rPr>
          <w:rFonts w:ascii="arial" w:eastAsia="arial" w:hAnsi="arial" w:cs="arial"/>
          <w:color w:val="000000"/>
          <w:sz w:val="20"/>
          <w:lang w:val="en-US" w:eastAsia="en-US" w:bidi="ar-SA"/>
        </w:rPr>
        <w:t xml:space="preserve">  Finally, BCLC submits that as "unjust enrichment" is an equitable doctrine, the principle of "he who seeks equity must do equity and come with clean hands" should apply, and when the plaintiff has gambled while self-excluded and has thereby violated s. 93 of the </w:t>
      </w:r>
      <w:r>
        <w:rPr>
          <w:rFonts w:ascii="arial" w:eastAsia="arial" w:hAnsi="arial" w:cs="arial"/>
          <w:i/>
          <w:color w:val="000000"/>
          <w:sz w:val="20"/>
          <w:lang w:val="en-US" w:eastAsia="en-US" w:bidi="ar-SA"/>
        </w:rPr>
        <w:t>Act</w:t>
      </w:r>
      <w:r>
        <w:rPr>
          <w:rFonts w:ascii="arial" w:eastAsia="arial" w:hAnsi="arial" w:cs="arial"/>
          <w:color w:val="000000"/>
          <w:sz w:val="20"/>
          <w:lang w:val="en-US" w:eastAsia="en-US" w:bidi="ar-SA"/>
        </w:rPr>
        <w:t>, by being in a gambling venue, she should lose her right to unjust enrichment for her unlawful attendance because she has not come with "clean hands".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240</w:t>
      </w:r>
      <w:r>
        <w:rPr>
          <w:rFonts w:ascii="arial" w:eastAsia="arial" w:hAnsi="arial" w:cs="arial"/>
          <w:color w:val="000000"/>
          <w:sz w:val="20"/>
          <w:lang w:val="en-US" w:eastAsia="en-US" w:bidi="ar-SA"/>
        </w:rPr>
        <w:t>  BCLC submits the claim for unjust enrichment should be dismissed for all these reasons.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 xml:space="preserve">2. </w:t>
      </w:r>
      <w:r>
        <w:rPr>
          <w:rFonts w:ascii="arial" w:eastAsia="arial" w:hAnsi="arial" w:cs="arial"/>
          <w:b/>
          <w:i/>
          <w:color w:val="000000"/>
          <w:sz w:val="20"/>
          <w:u w:val="single"/>
          <w:lang w:val="en-US" w:eastAsia="en-US" w:bidi="ar-SA"/>
        </w:rPr>
        <w:t>Negligence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241</w:t>
      </w:r>
      <w:r>
        <w:rPr>
          <w:rFonts w:ascii="arial" w:eastAsia="arial" w:hAnsi="arial" w:cs="arial"/>
          <w:color w:val="000000"/>
          <w:sz w:val="20"/>
          <w:lang w:val="en-US" w:eastAsia="en-US" w:bidi="ar-SA"/>
        </w:rPr>
        <w:t xml:space="preserve">  BCLC submits that there are four elements of the tort of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as follows:</w:t>
      </w:r>
      <w:r>
        <w:rPr>
          <w:rFonts w:ascii="arial" w:eastAsia="arial" w:hAnsi="arial" w:cs="arial"/>
          <w:sz w:val="20"/>
          <w:lang w:val="en-US" w:eastAsia="en-US" w:bidi="ar-SA"/>
        </w:rPr>
        <w:cr/>
      </w:r>
    </w:p>
    <w:p>
      <w:pPr>
        <w:numPr>
          <w:numId w:val="3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defendant owes the plaintiff a duty of care.</w:t>
      </w:r>
    </w:p>
    <w:p>
      <w:pPr>
        <w:numPr>
          <w:numId w:val="3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defendant breached this duty of care.</w:t>
      </w:r>
    </w:p>
    <w:p>
      <w:pPr>
        <w:numPr>
          <w:numId w:val="3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plaintiff sustained damages.</w:t>
      </w:r>
    </w:p>
    <w:p>
      <w:pPr>
        <w:numPr>
          <w:numId w:val="3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plaintiff's damages were caused in fact and in law by the defendant's breach of its duty of care.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242</w:t>
      </w:r>
      <w:r>
        <w:rPr>
          <w:rFonts w:ascii="arial" w:eastAsia="arial" w:hAnsi="arial" w:cs="arial"/>
          <w:color w:val="000000"/>
          <w:sz w:val="20"/>
          <w:lang w:val="en-US" w:eastAsia="en-US" w:bidi="ar-SA"/>
        </w:rPr>
        <w:t>  BCLC submits the plaintiff has failed to prove elements one and two and any damage she has suffered under element three were not caused by any breach of duty by BCLC as required by element four.</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3. Duty of Care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243</w:t>
      </w:r>
      <w:r>
        <w:rPr>
          <w:rFonts w:ascii="arial" w:eastAsia="arial" w:hAnsi="arial" w:cs="arial"/>
          <w:color w:val="000000"/>
          <w:sz w:val="20"/>
          <w:lang w:val="en-US" w:eastAsia="en-US" w:bidi="ar-SA"/>
        </w:rPr>
        <w:t>  BCLC submits it owed the plaintiff no duty of care in relation to any of her claims.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244</w:t>
      </w:r>
      <w:r>
        <w:rPr>
          <w:rFonts w:ascii="arial" w:eastAsia="arial" w:hAnsi="arial" w:cs="arial"/>
          <w:color w:val="000000"/>
          <w:sz w:val="20"/>
          <w:lang w:val="en-US" w:eastAsia="en-US" w:bidi="ar-SA"/>
        </w:rPr>
        <w:t xml:space="preserve">  It submits the plaintiff's claims in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rest on alleged duties of care that are novel and untried in law.</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245</w:t>
      </w:r>
      <w:r>
        <w:rPr>
          <w:rFonts w:ascii="arial" w:eastAsia="arial" w:hAnsi="arial" w:cs="arial"/>
          <w:color w:val="000000"/>
          <w:sz w:val="20"/>
          <w:lang w:val="en-US" w:eastAsia="en-US" w:bidi="ar-SA"/>
        </w:rPr>
        <w:t xml:space="preserve">  It is submitted the issue of duty of care must be determined based on the contractual two stage analysis discussed in </w:t>
      </w:r>
      <w:r>
        <w:rPr>
          <w:rFonts w:ascii="arial" w:eastAsia="arial" w:hAnsi="arial" w:cs="arial"/>
          <w:i/>
          <w:color w:val="000000"/>
          <w:sz w:val="20"/>
          <w:lang w:val="en-US" w:eastAsia="en-US" w:bidi="ar-SA"/>
        </w:rPr>
        <w:t>Cooper v. Hobart</w:t>
      </w:r>
      <w:r>
        <w:rPr>
          <w:rFonts w:ascii="arial" w:eastAsia="arial" w:hAnsi="arial" w:cs="arial"/>
          <w:color w:val="000000"/>
          <w:sz w:val="20"/>
          <w:lang w:val="en-US" w:eastAsia="en-US" w:bidi="ar-SA"/>
        </w:rPr>
        <w:t xml:space="preserve">, </w:t>
      </w:r>
      <w:hyperlink r:id="rId22" w:history="1">
        <w:r>
          <w:rPr>
            <w:rFonts w:ascii="arial" w:eastAsia="arial" w:hAnsi="arial" w:cs="arial"/>
            <w:i/>
            <w:color w:val="0077CC"/>
            <w:sz w:val="20"/>
            <w:u w:val="single"/>
            <w:shd w:val="clear" w:color="auto" w:fill="FFFFFF"/>
            <w:lang w:val="en-US" w:eastAsia="en-US" w:bidi="ar-SA"/>
          </w:rPr>
          <w:t>2001 SCC 79</w:t>
        </w:r>
      </w:hyperlink>
      <w:r>
        <w:rPr>
          <w:rFonts w:ascii="arial" w:eastAsia="arial" w:hAnsi="arial" w:cs="arial"/>
          <w:color w:val="000000"/>
          <w:sz w:val="20"/>
          <w:lang w:val="en-US" w:eastAsia="en-US" w:bidi="ar-SA"/>
        </w:rPr>
        <w:t xml:space="preserve"> and explained in </w:t>
      </w:r>
      <w:r>
        <w:rPr>
          <w:rFonts w:ascii="arial" w:eastAsia="arial" w:hAnsi="arial" w:cs="arial"/>
          <w:i/>
          <w:color w:val="000000"/>
          <w:sz w:val="20"/>
          <w:lang w:val="en-US" w:eastAsia="en-US" w:bidi="ar-SA"/>
        </w:rPr>
        <w:t>R. v. Imperial Tobacco Canada Ltd.</w:t>
      </w:r>
      <w:r>
        <w:rPr>
          <w:rFonts w:ascii="arial" w:eastAsia="arial" w:hAnsi="arial" w:cs="arial"/>
          <w:color w:val="000000"/>
          <w:sz w:val="20"/>
          <w:lang w:val="en-US" w:eastAsia="en-US" w:bidi="ar-SA"/>
        </w:rPr>
        <w:t xml:space="preserve">, </w:t>
      </w:r>
      <w:hyperlink r:id="rId25" w:history="1">
        <w:r>
          <w:rPr>
            <w:rFonts w:ascii="arial" w:eastAsia="arial" w:hAnsi="arial" w:cs="arial"/>
            <w:i/>
            <w:color w:val="0077CC"/>
            <w:sz w:val="20"/>
            <w:u w:val="single"/>
            <w:shd w:val="clear" w:color="auto" w:fill="FFFFFF"/>
            <w:lang w:val="en-US" w:eastAsia="en-US" w:bidi="ar-SA"/>
          </w:rPr>
          <w:t>2011 SCC 42</w:t>
        </w:r>
      </w:hyperlink>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246</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R. v. Imperial Tobacco</w:t>
      </w:r>
      <w:r>
        <w:rPr>
          <w:rFonts w:ascii="arial" w:eastAsia="arial" w:hAnsi="arial" w:cs="arial"/>
          <w:color w:val="000000"/>
          <w:sz w:val="20"/>
          <w:lang w:val="en-US" w:eastAsia="en-US" w:bidi="ar-SA"/>
        </w:rPr>
        <w:t xml:space="preserve">, Chief Justice McLachlin delivered the judgment for the Court and at para. 39 on this issue of duty of care explained that at the first stage of this analysis, the question is whether the facts disclose a relationship of proximity in which a failure to take reasonable care might foreseeably cause loss or harm to the plaintiff. If this is established, a </w:t>
      </w:r>
      <w:r>
        <w:rPr>
          <w:rFonts w:ascii="arial" w:eastAsia="arial" w:hAnsi="arial" w:cs="arial"/>
          <w:i/>
          <w:color w:val="000000"/>
          <w:sz w:val="20"/>
          <w:lang w:val="en-US" w:eastAsia="en-US" w:bidi="ar-SA"/>
        </w:rPr>
        <w:t>prima facie</w:t>
      </w:r>
      <w:r>
        <w:rPr>
          <w:rFonts w:ascii="arial" w:eastAsia="arial" w:hAnsi="arial" w:cs="arial"/>
          <w:color w:val="000000"/>
          <w:sz w:val="20"/>
          <w:lang w:val="en-US" w:eastAsia="en-US" w:bidi="ar-SA"/>
        </w:rPr>
        <w:t xml:space="preserve"> duty of care arises and the analysis then proceeds to the second stage, which questions whether there are policy reasons why this </w:t>
      </w:r>
      <w:r>
        <w:rPr>
          <w:rFonts w:ascii="arial" w:eastAsia="arial" w:hAnsi="arial" w:cs="arial"/>
          <w:i/>
          <w:color w:val="000000"/>
          <w:sz w:val="20"/>
          <w:lang w:val="en-US" w:eastAsia="en-US" w:bidi="ar-SA"/>
        </w:rPr>
        <w:t>prima facie</w:t>
      </w:r>
      <w:r>
        <w:rPr>
          <w:rFonts w:ascii="arial" w:eastAsia="arial" w:hAnsi="arial" w:cs="arial"/>
          <w:color w:val="000000"/>
          <w:sz w:val="20"/>
          <w:lang w:val="en-US" w:eastAsia="en-US" w:bidi="ar-SA"/>
        </w:rPr>
        <w:t xml:space="preserve"> duty of care should not be recognized.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247</w:t>
      </w:r>
      <w:r>
        <w:rPr>
          <w:rFonts w:ascii="arial" w:eastAsia="arial" w:hAnsi="arial" w:cs="arial"/>
          <w:color w:val="000000"/>
          <w:sz w:val="20"/>
          <w:lang w:val="en-US" w:eastAsia="en-US" w:bidi="ar-SA"/>
        </w:rPr>
        <w:t xml:space="preserve">  From </w:t>
      </w:r>
      <w:r>
        <w:rPr>
          <w:rFonts w:ascii="arial" w:eastAsia="arial" w:hAnsi="arial" w:cs="arial"/>
          <w:i/>
          <w:color w:val="000000"/>
          <w:sz w:val="20"/>
          <w:lang w:val="en-US" w:eastAsia="en-US" w:bidi="ar-SA"/>
        </w:rPr>
        <w:t>Cooper v. Hobart</w:t>
      </w:r>
      <w:r>
        <w:rPr>
          <w:rFonts w:ascii="arial" w:eastAsia="arial" w:hAnsi="arial" w:cs="arial"/>
          <w:color w:val="000000"/>
          <w:sz w:val="20"/>
          <w:lang w:val="en-US" w:eastAsia="en-US" w:bidi="ar-SA"/>
        </w:rPr>
        <w:t xml:space="preserve">, </w:t>
      </w:r>
      <w:hyperlink r:id="rId22" w:history="1">
        <w:r>
          <w:rPr>
            <w:rFonts w:ascii="arial" w:eastAsia="arial" w:hAnsi="arial" w:cs="arial"/>
            <w:i/>
            <w:color w:val="0077CC"/>
            <w:sz w:val="20"/>
            <w:u w:val="single"/>
            <w:shd w:val="clear" w:color="auto" w:fill="FFFFFF"/>
            <w:lang w:val="en-US" w:eastAsia="en-US" w:bidi="ar-SA"/>
          </w:rPr>
          <w:t>2001 SCC 79</w:t>
        </w:r>
      </w:hyperlink>
      <w:r>
        <w:rPr>
          <w:rFonts w:ascii="arial" w:eastAsia="arial" w:hAnsi="arial" w:cs="arial"/>
          <w:color w:val="000000"/>
          <w:sz w:val="20"/>
          <w:lang w:val="en-US" w:eastAsia="en-US" w:bidi="ar-SA"/>
        </w:rPr>
        <w:t>, BCLC submits proximity is a concept. At para. 34 of the decision, it was said: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Defining the relationship may involve looking at expectations, representations, reliance, and the property or other interests involved. Essentially, these are factors that allow us to evaluate the closeness of the relationship between the plaintiff and the defendant and to determine whether it is just and fair having regard to that relationship to impose a duty of care in law upon the defendant.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248</w:t>
      </w:r>
      <w:r>
        <w:rPr>
          <w:rFonts w:ascii="arial" w:eastAsia="arial" w:hAnsi="arial" w:cs="arial"/>
          <w:color w:val="000000"/>
          <w:sz w:val="20"/>
          <w:lang w:val="en-US" w:eastAsia="en-US" w:bidi="ar-SA"/>
        </w:rPr>
        <w:t>  At para. 25 of that decision, it was said that policy considerations play an important role in determining proximity in new situations.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249</w:t>
      </w:r>
      <w:r>
        <w:rPr>
          <w:rFonts w:ascii="arial" w:eastAsia="arial" w:hAnsi="arial" w:cs="arial"/>
          <w:color w:val="000000"/>
          <w:sz w:val="20"/>
          <w:lang w:val="en-US" w:eastAsia="en-US" w:bidi="ar-SA"/>
        </w:rPr>
        <w:t>  BCLC submits the foreseeability/proximity analysis is more nuanced where the plaintiff alleges, as here, that the defendant was negligent through a failure to act, being an act of omission, and not one of commission.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250</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Childs v. Desormeaux</w:t>
      </w:r>
      <w:r>
        <w:rPr>
          <w:rFonts w:ascii="arial" w:eastAsia="arial" w:hAnsi="arial" w:cs="arial"/>
          <w:color w:val="000000"/>
          <w:sz w:val="20"/>
          <w:lang w:val="en-US" w:eastAsia="en-US" w:bidi="ar-SA"/>
        </w:rPr>
        <w:t xml:space="preserve">, </w:t>
      </w:r>
      <w:hyperlink r:id="rId163" w:history="1">
        <w:r>
          <w:rPr>
            <w:rFonts w:ascii="arial" w:eastAsia="arial" w:hAnsi="arial" w:cs="arial"/>
            <w:i/>
            <w:color w:val="0077CC"/>
            <w:sz w:val="20"/>
            <w:u w:val="single"/>
            <w:shd w:val="clear" w:color="auto" w:fill="FFFFFF"/>
            <w:lang w:val="en-US" w:eastAsia="en-US" w:bidi="ar-SA"/>
          </w:rPr>
          <w:t>2006 SCC 18</w:t>
        </w:r>
      </w:hyperlink>
      <w:r>
        <w:rPr>
          <w:rFonts w:ascii="arial" w:eastAsia="arial" w:hAnsi="arial" w:cs="arial"/>
          <w:color w:val="000000"/>
          <w:sz w:val="20"/>
          <w:lang w:val="en-US" w:eastAsia="en-US" w:bidi="ar-SA"/>
        </w:rPr>
        <w:t xml:space="preserve">, </w:t>
      </w:r>
      <w:hyperlink r:id="rId163" w:history="1">
        <w:r>
          <w:rPr>
            <w:rFonts w:ascii="arial" w:eastAsia="arial" w:hAnsi="arial" w:cs="arial"/>
            <w:i/>
            <w:color w:val="0077CC"/>
            <w:sz w:val="20"/>
            <w:u w:val="single"/>
            <w:shd w:val="clear" w:color="auto" w:fill="FFFFFF"/>
            <w:lang w:val="en-US" w:eastAsia="en-US" w:bidi="ar-SA"/>
          </w:rPr>
          <w:t>[2006] 1 S.C.R. 643</w:t>
        </w:r>
      </w:hyperlink>
      <w:r>
        <w:rPr>
          <w:rFonts w:ascii="arial" w:eastAsia="arial" w:hAnsi="arial" w:cs="arial"/>
          <w:color w:val="000000"/>
          <w:sz w:val="20"/>
          <w:lang w:val="en-US" w:eastAsia="en-US" w:bidi="ar-SA"/>
        </w:rPr>
        <w:t xml:space="preserve">, in discussion of the requirements for duty of care, the court said at para. 31, quoting G.H.L. Fridman, </w:t>
      </w:r>
      <w:r>
        <w:rPr>
          <w:rFonts w:ascii="arial" w:eastAsia="arial" w:hAnsi="arial" w:cs="arial"/>
          <w:i/>
          <w:color w:val="000000"/>
          <w:sz w:val="20"/>
          <w:lang w:val="en-US" w:eastAsia="en-US" w:bidi="ar-SA"/>
        </w:rPr>
        <w:t>The Law of Torts in Canada,</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2nd ed. 2002</w:t>
      </w:r>
      <w:r>
        <w:rPr>
          <w:rFonts w:ascii="arial" w:eastAsia="arial" w:hAnsi="arial" w:cs="arial"/>
          <w:color w:val="000000"/>
          <w:sz w:val="20"/>
          <w:lang w:val="en-US" w:eastAsia="en-US" w:bidi="ar-SA"/>
        </w:rPr>
        <w:t>), p. 320: "Foreseeability does not of itself, and automatically, lead to the conclusion that there is a duty of care."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251</w:t>
      </w:r>
      <w:r>
        <w:rPr>
          <w:rFonts w:ascii="arial" w:eastAsia="arial" w:hAnsi="arial" w:cs="arial"/>
          <w:color w:val="000000"/>
          <w:sz w:val="20"/>
          <w:lang w:val="en-US" w:eastAsia="en-US" w:bidi="ar-SA"/>
        </w:rPr>
        <w:t>  The Court went on to say at para. 31:</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Foreseeability without more </w:t>
      </w:r>
      <w:r>
        <w:rPr>
          <w:rFonts w:ascii="arial" w:eastAsia="arial" w:hAnsi="arial" w:cs="arial"/>
          <w:i/>
          <w:color w:val="000000"/>
          <w:sz w:val="20"/>
          <w:lang w:val="en-US" w:eastAsia="en-US" w:bidi="ar-SA"/>
        </w:rPr>
        <w:t>may</w:t>
      </w:r>
      <w:r>
        <w:rPr>
          <w:rFonts w:ascii="arial" w:eastAsia="arial" w:hAnsi="arial" w:cs="arial"/>
          <w:color w:val="000000"/>
          <w:sz w:val="20"/>
          <w:lang w:val="en-US" w:eastAsia="en-US" w:bidi="ar-SA"/>
        </w:rPr>
        <w:t xml:space="preserve"> establish a duty of care. This is usually the case, for example, where an </w:t>
      </w:r>
      <w:r>
        <w:rPr>
          <w:rFonts w:ascii="arial" w:eastAsia="arial" w:hAnsi="arial" w:cs="arial"/>
          <w:i/>
          <w:color w:val="000000"/>
          <w:sz w:val="20"/>
          <w:lang w:val="en-US" w:eastAsia="en-US" w:bidi="ar-SA"/>
        </w:rPr>
        <w:t>overt act of the defendant</w:t>
      </w:r>
      <w:r>
        <w:rPr>
          <w:rFonts w:ascii="arial" w:eastAsia="arial" w:hAnsi="arial" w:cs="arial"/>
          <w:color w:val="000000"/>
          <w:sz w:val="20"/>
          <w:lang w:val="en-US" w:eastAsia="en-US" w:bidi="ar-SA"/>
        </w:rPr>
        <w:t xml:space="preserve"> has </w:t>
      </w:r>
      <w:r>
        <w:rPr>
          <w:rFonts w:ascii="arial" w:eastAsia="arial" w:hAnsi="arial" w:cs="arial"/>
          <w:i/>
          <w:color w:val="000000"/>
          <w:sz w:val="20"/>
          <w:lang w:val="en-US" w:eastAsia="en-US" w:bidi="ar-SA"/>
        </w:rPr>
        <w:t>directly caused foreseeable physical harm</w:t>
      </w:r>
      <w:r>
        <w:rPr>
          <w:rFonts w:ascii="arial" w:eastAsia="arial" w:hAnsi="arial" w:cs="arial"/>
          <w:color w:val="000000"/>
          <w:sz w:val="20"/>
          <w:lang w:val="en-US" w:eastAsia="en-US" w:bidi="ar-SA"/>
        </w:rPr>
        <w:t xml:space="preserve"> to the plaintiff: see </w:t>
      </w:r>
      <w:r>
        <w:rPr>
          <w:rFonts w:ascii="arial" w:eastAsia="arial" w:hAnsi="arial" w:cs="arial"/>
          <w:i/>
          <w:color w:val="000000"/>
          <w:sz w:val="20"/>
          <w:lang w:val="en-US" w:eastAsia="en-US" w:bidi="ar-SA"/>
        </w:rPr>
        <w:t>Cooper</w:t>
      </w:r>
      <w:r>
        <w:rPr>
          <w:rFonts w:ascii="arial" w:eastAsia="arial" w:hAnsi="arial" w:cs="arial"/>
          <w:color w:val="000000"/>
          <w:sz w:val="20"/>
          <w:lang w:val="en-US" w:eastAsia="en-US" w:bidi="ar-SA"/>
        </w:rPr>
        <w:t xml:space="preserve">. However, where the conduct alleged against the defendant is a </w:t>
      </w:r>
      <w:r>
        <w:rPr>
          <w:rFonts w:ascii="arial" w:eastAsia="arial" w:hAnsi="arial" w:cs="arial"/>
          <w:i/>
          <w:color w:val="000000"/>
          <w:sz w:val="20"/>
          <w:lang w:val="en-US" w:eastAsia="en-US" w:bidi="ar-SA"/>
        </w:rPr>
        <w:t>failure to act</w:t>
      </w:r>
      <w:r>
        <w:rPr>
          <w:rFonts w:ascii="arial" w:eastAsia="arial" w:hAnsi="arial" w:cs="arial"/>
          <w:color w:val="000000"/>
          <w:sz w:val="20"/>
          <w:lang w:val="en-US" w:eastAsia="en-US" w:bidi="ar-SA"/>
        </w:rPr>
        <w:t>, foreseeability alone may not establish a duty of care. In the absence of an overt act on the part of the defendant, the nature of the relationship must be examined to determine whether there is a nexus between the parties. Although there is no doubt that an omission may be negligent, as a general principle, the common law is a jealous guardian of individual autonomy. ...</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252</w:t>
      </w:r>
      <w:r>
        <w:rPr>
          <w:rFonts w:ascii="arial" w:eastAsia="arial" w:hAnsi="arial" w:cs="arial"/>
          <w:color w:val="000000"/>
          <w:sz w:val="20"/>
          <w:lang w:val="en-US" w:eastAsia="en-US" w:bidi="ar-SA"/>
        </w:rPr>
        <w:t>  The Court went on to say in para. 34 that: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A positive duty of care may exist if foreseeability of harm is present </w:t>
      </w:r>
      <w:r>
        <w:rPr>
          <w:rFonts w:ascii="arial" w:eastAsia="arial" w:hAnsi="arial" w:cs="arial"/>
          <w:i/>
          <w:color w:val="000000"/>
          <w:sz w:val="20"/>
          <w:lang w:val="en-US" w:eastAsia="en-US" w:bidi="ar-SA"/>
        </w:rPr>
        <w:t>and</w:t>
      </w:r>
      <w:r>
        <w:rPr>
          <w:rFonts w:ascii="arial" w:eastAsia="arial" w:hAnsi="arial" w:cs="arial"/>
          <w:color w:val="000000"/>
          <w:sz w:val="20"/>
          <w:lang w:val="en-US" w:eastAsia="en-US" w:bidi="ar-SA"/>
        </w:rPr>
        <w:t xml:space="preserve"> if other aspects of the relationship between the plaintiff and the defendant establish a special link or proximity. Three such situations have been identified by the courts. ...</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253</w:t>
      </w:r>
      <w:r>
        <w:rPr>
          <w:rFonts w:ascii="arial" w:eastAsia="arial" w:hAnsi="arial" w:cs="arial"/>
          <w:color w:val="000000"/>
          <w:sz w:val="20"/>
          <w:lang w:val="en-US" w:eastAsia="en-US" w:bidi="ar-SA"/>
        </w:rPr>
        <w:t>  The first situation that the Court referred to is where a defendant intentionally attracts and invites third parties to an inherent and obvious risk that he or she has created or controls. The Court said those cases turn on the defendant's causal relationship to the origin of the risk of injury faced by the plaintiff or on steps taken to invite others to subject themselves to a risk under the defendant's control.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254</w:t>
      </w:r>
      <w:r>
        <w:rPr>
          <w:rFonts w:ascii="arial" w:eastAsia="arial" w:hAnsi="arial" w:cs="arial"/>
          <w:color w:val="000000"/>
          <w:sz w:val="20"/>
          <w:lang w:val="en-US" w:eastAsia="en-US" w:bidi="ar-SA"/>
        </w:rPr>
        <w:t>  The second situation referred to where a positive duty of care is held to exist concerns parentalistic relationships of supervision and control such as those of parent/child or teacher/student. The duty in those cases rests on the special vulnerability of the plaintiff and the formal position of power of the defendant.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255</w:t>
      </w:r>
      <w:r>
        <w:rPr>
          <w:rFonts w:ascii="arial" w:eastAsia="arial" w:hAnsi="arial" w:cs="arial"/>
          <w:color w:val="000000"/>
          <w:sz w:val="20"/>
          <w:lang w:val="en-US" w:eastAsia="en-US" w:bidi="ar-SA"/>
        </w:rPr>
        <w:t>  The third situation referred to is where a duty of care may include the need to take positive steps by defendants who either exercise a public function or engage in a commercial enterprise that includes implied responsibilities to the public at large.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256</w:t>
      </w:r>
      <w:r>
        <w:rPr>
          <w:rFonts w:ascii="arial" w:eastAsia="arial" w:hAnsi="arial" w:cs="arial"/>
          <w:color w:val="000000"/>
          <w:sz w:val="20"/>
          <w:lang w:val="en-US" w:eastAsia="en-US" w:bidi="ar-SA"/>
        </w:rPr>
        <w:t>  The Court explained that in this situation the defendants offer a service to the general public that includes attendant responsibilities to act with special care to reduce risk. Where a defendant assumes a public role, or benefits from offering a service to the public at large, special duties arise.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257</w:t>
      </w:r>
      <w:r>
        <w:rPr>
          <w:rFonts w:ascii="arial" w:eastAsia="arial" w:hAnsi="arial" w:cs="arial"/>
          <w:color w:val="000000"/>
          <w:sz w:val="20"/>
          <w:lang w:val="en-US" w:eastAsia="en-US" w:bidi="ar-SA"/>
        </w:rPr>
        <w:t>  The Court said that running through all these situations is the defendant's material implication in the creation of the risk or his or her control of a risk to which others have been invited but also running through the examples is a concern for the autonomy of the persons affected by the positive action proposed as the law does not impose a duty to eliminate risk. It accepts that competent people have the right to engage in risky activities. It is only when those third parties have a special relationship to the person in danger or a material role in the creation or management of the risk that the law may impinge on autonomy.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258</w:t>
      </w:r>
      <w:r>
        <w:rPr>
          <w:rFonts w:ascii="arial" w:eastAsia="arial" w:hAnsi="arial" w:cs="arial"/>
          <w:color w:val="000000"/>
          <w:sz w:val="20"/>
          <w:lang w:val="en-US" w:eastAsia="en-US" w:bidi="ar-SA"/>
        </w:rPr>
        <w:t>  Finally, the Court said that the theme of reasonable reliance unites examples in all three categories including the reasonable expectation on the part of the public that a person providing public services, often under licence, will take reasonable precautions to reduce the risk of the activity, not merely to immediate clients, but to the general public.</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259</w:t>
      </w:r>
      <w:r>
        <w:rPr>
          <w:rFonts w:ascii="arial" w:eastAsia="arial" w:hAnsi="arial" w:cs="arial"/>
          <w:color w:val="000000"/>
          <w:sz w:val="20"/>
          <w:lang w:val="en-US" w:eastAsia="en-US" w:bidi="ar-SA"/>
        </w:rPr>
        <w:t xml:space="preserve">  BCLC submits none of the situations canvassed in </w:t>
      </w:r>
      <w:r>
        <w:rPr>
          <w:rFonts w:ascii="arial" w:eastAsia="arial" w:hAnsi="arial" w:cs="arial"/>
          <w:i/>
          <w:color w:val="000000"/>
          <w:sz w:val="20"/>
          <w:lang w:val="en-US" w:eastAsia="en-US" w:bidi="ar-SA"/>
        </w:rPr>
        <w:t>Childs</w:t>
      </w:r>
      <w:r>
        <w:rPr>
          <w:rFonts w:ascii="arial" w:eastAsia="arial" w:hAnsi="arial" w:cs="arial"/>
          <w:color w:val="000000"/>
          <w:sz w:val="20"/>
          <w:lang w:val="en-US" w:eastAsia="en-US" w:bidi="ar-SA"/>
        </w:rPr>
        <w:t xml:space="preserve"> goes so far as to impose a positive duty of care to guard against pure economic loss such as the plaintiff claims here.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260</w:t>
      </w:r>
      <w:r>
        <w:rPr>
          <w:rFonts w:ascii="arial" w:eastAsia="arial" w:hAnsi="arial" w:cs="arial"/>
          <w:color w:val="000000"/>
          <w:sz w:val="20"/>
          <w:lang w:val="en-US" w:eastAsia="en-US" w:bidi="ar-SA"/>
        </w:rPr>
        <w:t xml:space="preserve">  BCLC cites </w:t>
      </w:r>
      <w:r>
        <w:rPr>
          <w:rFonts w:ascii="arial" w:eastAsia="arial" w:hAnsi="arial" w:cs="arial"/>
          <w:i/>
          <w:color w:val="000000"/>
          <w:sz w:val="20"/>
          <w:lang w:val="en-US" w:eastAsia="en-US" w:bidi="ar-SA"/>
        </w:rPr>
        <w:t>Martel Building Ltd. v. Canada</w:t>
      </w:r>
      <w:r>
        <w:rPr>
          <w:rFonts w:ascii="arial" w:eastAsia="arial" w:hAnsi="arial" w:cs="arial"/>
          <w:color w:val="000000"/>
          <w:sz w:val="20"/>
          <w:lang w:val="en-US" w:eastAsia="en-US" w:bidi="ar-SA"/>
        </w:rPr>
        <w:t xml:space="preserve">, </w:t>
      </w:r>
      <w:hyperlink r:id="rId164" w:history="1">
        <w:r>
          <w:rPr>
            <w:rFonts w:ascii="arial" w:eastAsia="arial" w:hAnsi="arial" w:cs="arial"/>
            <w:i/>
            <w:color w:val="0077CC"/>
            <w:sz w:val="20"/>
            <w:u w:val="single"/>
            <w:shd w:val="clear" w:color="auto" w:fill="FFFFFF"/>
            <w:lang w:val="en-US" w:eastAsia="en-US" w:bidi="ar-SA"/>
          </w:rPr>
          <w:t>2000 SCC 60</w:t>
        </w:r>
      </w:hyperlink>
      <w:r>
        <w:rPr>
          <w:rFonts w:ascii="arial" w:eastAsia="arial" w:hAnsi="arial" w:cs="arial"/>
          <w:color w:val="000000"/>
          <w:sz w:val="20"/>
          <w:lang w:val="en-US" w:eastAsia="en-US" w:bidi="ar-SA"/>
        </w:rPr>
        <w:t xml:space="preserve">, </w:t>
      </w:r>
      <w:hyperlink r:id="rId164" w:history="1">
        <w:r>
          <w:rPr>
            <w:rFonts w:ascii="arial" w:eastAsia="arial" w:hAnsi="arial" w:cs="arial"/>
            <w:i/>
            <w:color w:val="0077CC"/>
            <w:sz w:val="20"/>
            <w:u w:val="single"/>
            <w:shd w:val="clear" w:color="auto" w:fill="FFFFFF"/>
            <w:lang w:val="en-US" w:eastAsia="en-US" w:bidi="ar-SA"/>
          </w:rPr>
          <w:t>[2000] 2 S.C.R. 860</w:t>
        </w:r>
      </w:hyperlink>
      <w:r>
        <w:rPr>
          <w:rFonts w:ascii="arial" w:eastAsia="arial" w:hAnsi="arial" w:cs="arial"/>
          <w:color w:val="000000"/>
          <w:sz w:val="20"/>
          <w:lang w:val="en-US" w:eastAsia="en-US" w:bidi="ar-SA"/>
        </w:rPr>
        <w:t xml:space="preserve"> where the judgment of the Court said at paras. 36-37:</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it is enough to say that the common law traditionally did not allow recovery of economic loss where a plaintiff had suffered neither physical harm nor property damage.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Over time, the traditional rule was reconsidered. In Rivtow and subsequent cases it has been recognized that in limited circumstances damages for economic loss absent physical or proprietary harm may be recovered. The circumstances in which such damages have been awarded to date are few. To a large extent, this caution derives from the same policy rationale that supported the traditional approach not to recognize the claim at all. First, economic interests are viewed as less compelling of protection than bodily security or proprietary interests. Second, an unbridled recognition of economic loss raises the spectre of indeterminate liability. Third, economic losses often arise in a commercial context, where they are often an inherent business risk best guarded against by the party on whom they fall through such means as insurance. Finally, allowing the recovery of economic loss through tort has been seen to encourage a multiplicity of inappropriate lawsuits.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261</w:t>
      </w:r>
      <w:r>
        <w:rPr>
          <w:rFonts w:ascii="arial" w:eastAsia="arial" w:hAnsi="arial" w:cs="arial"/>
          <w:color w:val="000000"/>
          <w:sz w:val="20"/>
          <w:lang w:val="en-US" w:eastAsia="en-US" w:bidi="ar-SA"/>
        </w:rPr>
        <w:t xml:space="preserve">  BCLC also cites </w:t>
      </w:r>
      <w:r>
        <w:rPr>
          <w:rFonts w:ascii="arial" w:eastAsia="arial" w:hAnsi="arial" w:cs="arial"/>
          <w:i/>
          <w:color w:val="000000"/>
          <w:sz w:val="20"/>
          <w:lang w:val="en-US" w:eastAsia="en-US" w:bidi="ar-SA"/>
        </w:rPr>
        <w:t>R. v. Imperial Tobacco</w:t>
      </w:r>
      <w:r>
        <w:rPr>
          <w:rFonts w:ascii="arial" w:eastAsia="arial" w:hAnsi="arial" w:cs="arial"/>
          <w:color w:val="000000"/>
          <w:sz w:val="20"/>
          <w:lang w:val="en-US" w:eastAsia="en-US" w:bidi="ar-SA"/>
        </w:rPr>
        <w:t xml:space="preserve"> on this issue where the Court said at para. 42:</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Proximity and foreseeability are heightened concerns in claims for economic loss, ...</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262</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Design Services Ltd. v. Canada</w:t>
      </w:r>
      <w:r>
        <w:rPr>
          <w:rFonts w:ascii="arial" w:eastAsia="arial" w:hAnsi="arial" w:cs="arial"/>
          <w:color w:val="000000"/>
          <w:sz w:val="20"/>
          <w:lang w:val="en-US" w:eastAsia="en-US" w:bidi="ar-SA"/>
        </w:rPr>
        <w:t xml:space="preserve">, the </w:t>
      </w:r>
      <w:hyperlink r:id="rId165" w:history="1">
        <w:r>
          <w:rPr>
            <w:rFonts w:ascii="arial" w:eastAsia="arial" w:hAnsi="arial" w:cs="arial"/>
            <w:i/>
            <w:color w:val="0077CC"/>
            <w:sz w:val="20"/>
            <w:u w:val="single"/>
            <w:shd w:val="clear" w:color="auto" w:fill="FFFFFF"/>
            <w:lang w:val="en-US" w:eastAsia="en-US" w:bidi="ar-SA"/>
          </w:rPr>
          <w:t>[2008] 1 S.C.R. 737</w:t>
        </w:r>
      </w:hyperlink>
      <w:r>
        <w:rPr>
          <w:rFonts w:ascii="arial" w:eastAsia="arial" w:hAnsi="arial" w:cs="arial"/>
          <w:color w:val="000000"/>
          <w:sz w:val="20"/>
          <w:lang w:val="en-US" w:eastAsia="en-US" w:bidi="ar-SA"/>
        </w:rPr>
        <w:t xml:space="preserve">, Court said at para. 54, from </w:t>
      </w:r>
      <w:r>
        <w:rPr>
          <w:rFonts w:ascii="arial" w:eastAsia="arial" w:hAnsi="arial" w:cs="arial"/>
          <w:i/>
          <w:color w:val="000000"/>
          <w:sz w:val="20"/>
          <w:lang w:val="en-US" w:eastAsia="en-US" w:bidi="ar-SA"/>
        </w:rPr>
        <w:t>Canadian National Railway Co. v. Norsk Pacific Steamship Co.</w:t>
      </w:r>
      <w:r>
        <w:rPr>
          <w:rFonts w:ascii="arial" w:eastAsia="arial" w:hAnsi="arial" w:cs="arial"/>
          <w:color w:val="000000"/>
          <w:sz w:val="20"/>
          <w:lang w:val="en-US" w:eastAsia="en-US" w:bidi="ar-SA"/>
        </w:rPr>
        <w:t xml:space="preserve">, </w:t>
      </w:r>
      <w:hyperlink r:id="rId42" w:history="1">
        <w:r>
          <w:rPr>
            <w:rFonts w:ascii="arial" w:eastAsia="arial" w:hAnsi="arial" w:cs="arial"/>
            <w:i/>
            <w:color w:val="0077CC"/>
            <w:sz w:val="20"/>
            <w:u w:val="single"/>
            <w:shd w:val="clear" w:color="auto" w:fill="FFFFFF"/>
            <w:lang w:val="en-US" w:eastAsia="en-US" w:bidi="ar-SA"/>
          </w:rPr>
          <w:t>[1992] 1 S.C.R. 1021</w:t>
        </w:r>
      </w:hyperlink>
      <w:r>
        <w:rPr>
          <w:rFonts w:ascii="arial" w:eastAsia="arial" w:hAnsi="arial" w:cs="arial"/>
          <w:color w:val="000000"/>
          <w:sz w:val="20"/>
          <w:lang w:val="en-US" w:eastAsia="en-US" w:bidi="ar-SA"/>
        </w:rPr>
        <w:t xml:space="preserve"> at p. 1116:</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plaintiff's ability to foresee and provide for the particular damage in question is a key factor in the proximity analysis.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263</w:t>
      </w:r>
      <w:r>
        <w:rPr>
          <w:rFonts w:ascii="arial" w:eastAsia="arial" w:hAnsi="arial" w:cs="arial"/>
          <w:color w:val="000000"/>
          <w:sz w:val="20"/>
          <w:lang w:val="en-US" w:eastAsia="en-US" w:bidi="ar-SA"/>
        </w:rPr>
        <w:t xml:space="preserve">  In the context of BCLC being a public body, it cites </w:t>
      </w:r>
      <w:r>
        <w:rPr>
          <w:rFonts w:ascii="arial" w:eastAsia="arial" w:hAnsi="arial" w:cs="arial"/>
          <w:i/>
          <w:color w:val="000000"/>
          <w:sz w:val="20"/>
          <w:lang w:val="en-US" w:eastAsia="en-US" w:bidi="ar-SA"/>
        </w:rPr>
        <w:t>Syl Apps Secure Treatment Centre v. B.D.</w:t>
      </w:r>
      <w:r>
        <w:rPr>
          <w:rFonts w:ascii="arial" w:eastAsia="arial" w:hAnsi="arial" w:cs="arial"/>
          <w:color w:val="000000"/>
          <w:sz w:val="20"/>
          <w:lang w:val="en-US" w:eastAsia="en-US" w:bidi="ar-SA"/>
        </w:rPr>
        <w:t xml:space="preserve">, </w:t>
      </w:r>
      <w:hyperlink r:id="rId44" w:history="1">
        <w:r>
          <w:rPr>
            <w:rFonts w:ascii="arial" w:eastAsia="arial" w:hAnsi="arial" w:cs="arial"/>
            <w:i/>
            <w:color w:val="0077CC"/>
            <w:sz w:val="20"/>
            <w:u w:val="single"/>
            <w:shd w:val="clear" w:color="auto" w:fill="FFFFFF"/>
            <w:lang w:val="en-US" w:eastAsia="en-US" w:bidi="ar-SA"/>
          </w:rPr>
          <w:t>[2007] 3 S.C.R. 83</w:t>
        </w:r>
      </w:hyperlink>
      <w:r>
        <w:rPr>
          <w:rFonts w:ascii="arial" w:eastAsia="arial" w:hAnsi="arial" w:cs="arial"/>
          <w:color w:val="000000"/>
          <w:sz w:val="20"/>
          <w:lang w:val="en-US" w:eastAsia="en-US" w:bidi="ar-SA"/>
        </w:rPr>
        <w:t xml:space="preserve">, </w:t>
      </w:r>
      <w:hyperlink r:id="rId44" w:history="1">
        <w:r>
          <w:rPr>
            <w:rFonts w:ascii="arial" w:eastAsia="arial" w:hAnsi="arial" w:cs="arial"/>
            <w:i/>
            <w:color w:val="0077CC"/>
            <w:sz w:val="20"/>
            <w:u w:val="single"/>
            <w:shd w:val="clear" w:color="auto" w:fill="FFFFFF"/>
            <w:lang w:val="en-US" w:eastAsia="en-US" w:bidi="ar-SA"/>
          </w:rPr>
          <w:t>2007 SCC 38</w:t>
        </w:r>
      </w:hyperlink>
      <w:r>
        <w:rPr>
          <w:rFonts w:ascii="arial" w:eastAsia="arial" w:hAnsi="arial" w:cs="arial"/>
          <w:color w:val="000000"/>
          <w:sz w:val="20"/>
          <w:lang w:val="en-US" w:eastAsia="en-US" w:bidi="ar-SA"/>
        </w:rPr>
        <w:t xml:space="preserve"> where the Court said at para. 27:</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When the relationship occurs in the context of a statutory scheme, the governing statute is a relevant context for assessing the sufficiency of the proximity between the parties (</w:t>
      </w:r>
      <w:r>
        <w:rPr>
          <w:rFonts w:ascii="arial" w:eastAsia="arial" w:hAnsi="arial" w:cs="arial"/>
          <w:i/>
          <w:color w:val="000000"/>
          <w:sz w:val="20"/>
          <w:lang w:val="en-US" w:eastAsia="en-US" w:bidi="ar-SA"/>
        </w:rPr>
        <w:t>Cooper</w:t>
      </w:r>
      <w:r>
        <w:rPr>
          <w:rFonts w:ascii="arial" w:eastAsia="arial" w:hAnsi="arial" w:cs="arial"/>
          <w:color w:val="000000"/>
          <w:sz w:val="20"/>
          <w:lang w:val="en-US" w:eastAsia="en-US" w:bidi="ar-SA"/>
        </w:rPr>
        <w:t xml:space="preserve">, at para. 43; </w:t>
      </w:r>
      <w:r>
        <w:rPr>
          <w:rFonts w:ascii="arial" w:eastAsia="arial" w:hAnsi="arial" w:cs="arial"/>
          <w:i/>
          <w:color w:val="000000"/>
          <w:sz w:val="20"/>
          <w:lang w:val="en-US" w:eastAsia="en-US" w:bidi="ar-SA"/>
        </w:rPr>
        <w:t>Edwards</w:t>
      </w:r>
      <w:r>
        <w:rPr>
          <w:rFonts w:ascii="arial" w:eastAsia="arial" w:hAnsi="arial" w:cs="arial"/>
          <w:color w:val="000000"/>
          <w:sz w:val="20"/>
          <w:lang w:val="en-US" w:eastAsia="en-US" w:bidi="ar-SA"/>
        </w:rPr>
        <w:t xml:space="preserve">, at para. 9 ). As this Court said in </w:t>
      </w:r>
      <w:r>
        <w:rPr>
          <w:rFonts w:ascii="arial" w:eastAsia="arial" w:hAnsi="arial" w:cs="arial"/>
          <w:i/>
          <w:color w:val="000000"/>
          <w:sz w:val="20"/>
          <w:lang w:val="en-US" w:eastAsia="en-US" w:bidi="ar-SA"/>
        </w:rPr>
        <w:t>Edwards</w:t>
      </w:r>
      <w:r>
        <w:rPr>
          <w:rFonts w:ascii="arial" w:eastAsia="arial" w:hAnsi="arial" w:cs="arial"/>
          <w:color w:val="000000"/>
          <w:sz w:val="20"/>
          <w:lang w:val="en-US" w:eastAsia="en-US" w:bidi="ar-SA"/>
        </w:rPr>
        <w:t>: "Factors giving rise to proximity must be grounded in the governing statute when there is one"</w:t>
      </w:r>
    </w:p>
    <w:p>
      <w:pPr>
        <w:spacing w:before="120"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4. Application of stage one: insufficient proximity to support a duty of care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264</w:t>
      </w:r>
      <w:r>
        <w:rPr>
          <w:rFonts w:ascii="arial" w:eastAsia="arial" w:hAnsi="arial" w:cs="arial"/>
          <w:color w:val="000000"/>
          <w:sz w:val="20"/>
          <w:lang w:val="en-US" w:eastAsia="en-US" w:bidi="ar-SA"/>
        </w:rPr>
        <w:t>  BCLC submits the governing legislation and regulatory scheme denies the existence of a duty of care to the plaintiff.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265</w:t>
      </w:r>
      <w:r>
        <w:rPr>
          <w:rFonts w:ascii="arial" w:eastAsia="arial" w:hAnsi="arial" w:cs="arial"/>
          <w:color w:val="000000"/>
          <w:sz w:val="20"/>
          <w:lang w:val="en-US" w:eastAsia="en-US" w:bidi="ar-SA"/>
        </w:rPr>
        <w:t>  It cites the Responsible Gambling Standards promulgated by GPEB which requires BCLC and all gaming service providers to provide VSE programs, but only requires they:</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Ensure policies and practices are in place to monitor premises for self-excluded customers and appropriate security procedures are designed to reduce the ability of excluded players to re-enter the venue.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266</w:t>
      </w:r>
      <w:r>
        <w:rPr>
          <w:rFonts w:ascii="arial" w:eastAsia="arial" w:hAnsi="arial" w:cs="arial"/>
          <w:color w:val="000000"/>
          <w:sz w:val="20"/>
          <w:lang w:val="en-US" w:eastAsia="en-US" w:bidi="ar-SA"/>
        </w:rPr>
        <w:t>  BCLC submits this requirement does not impose any duty on it or its service providers to discover those VSE program participants who are breaching the terms of their self-exclusion, but only requires policies and practices to be in place to reduce the ability of excluded players to re-enter.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267</w:t>
      </w:r>
      <w:r>
        <w:rPr>
          <w:rFonts w:ascii="arial" w:eastAsia="arial" w:hAnsi="arial" w:cs="arial"/>
          <w:color w:val="000000"/>
          <w:sz w:val="20"/>
          <w:lang w:val="en-US" w:eastAsia="en-US" w:bidi="ar-SA"/>
        </w:rPr>
        <w:t xml:space="preserve">  It is submitted that as GPEB does regular audits of the VSE program and the general manager of GPEB has the ability under s. 28 of the </w:t>
      </w:r>
      <w:r>
        <w:rPr>
          <w:rFonts w:ascii="arial" w:eastAsia="arial" w:hAnsi="arial" w:cs="arial"/>
          <w:i/>
          <w:color w:val="000000"/>
          <w:sz w:val="20"/>
          <w:lang w:val="en-US" w:eastAsia="en-US" w:bidi="ar-SA"/>
        </w:rPr>
        <w:t>Act</w:t>
      </w:r>
      <w:r>
        <w:rPr>
          <w:rFonts w:ascii="arial" w:eastAsia="arial" w:hAnsi="arial" w:cs="arial"/>
          <w:color w:val="000000"/>
          <w:sz w:val="20"/>
          <w:lang w:val="en-US" w:eastAsia="en-US" w:bidi="ar-SA"/>
        </w:rPr>
        <w:t xml:space="preserve"> to issue directions if BCLC is not meeting its requirements under the Responsible Gambling Standards, GPEB would surely have corrected it on the requirements, which it has never sought to do.</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268</w:t>
      </w:r>
      <w:r>
        <w:rPr>
          <w:rFonts w:ascii="arial" w:eastAsia="arial" w:hAnsi="arial" w:cs="arial"/>
          <w:color w:val="000000"/>
          <w:sz w:val="20"/>
          <w:lang w:val="en-US" w:eastAsia="en-US" w:bidi="ar-SA"/>
        </w:rPr>
        <w:t xml:space="preserve">  In addition, BCLC points out that the </w:t>
      </w:r>
      <w:r>
        <w:rPr>
          <w:rFonts w:ascii="arial" w:eastAsia="arial" w:hAnsi="arial" w:cs="arial"/>
          <w:i/>
          <w:color w:val="000000"/>
          <w:sz w:val="20"/>
          <w:lang w:val="en-US" w:eastAsia="en-US" w:bidi="ar-SA"/>
        </w:rPr>
        <w:t>Act</w:t>
      </w:r>
      <w:r>
        <w:rPr>
          <w:rFonts w:ascii="arial" w:eastAsia="arial" w:hAnsi="arial" w:cs="arial"/>
          <w:color w:val="000000"/>
          <w:sz w:val="20"/>
          <w:lang w:val="en-US" w:eastAsia="en-US" w:bidi="ar-SA"/>
        </w:rPr>
        <w:t xml:space="preserve"> only requires under s. 92 that BCLC or a person acting on its behalf with reason to believe the presence of a person on the premises is a participant in the VSE program, may:</w:t>
      </w:r>
      <w:r>
        <w:rPr>
          <w:rFonts w:ascii="arial" w:eastAsia="arial" w:hAnsi="arial" w:cs="arial"/>
          <w:sz w:val="20"/>
          <w:lang w:val="en-US" w:eastAsia="en-US" w:bidi="ar-SA"/>
        </w:rPr>
        <w:cr/>
      </w:r>
    </w:p>
    <w:p>
      <w:pPr>
        <w:numPr>
          <w:numId w:val="4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request the person to leave the premises immediately, or,</w:t>
      </w:r>
    </w:p>
    <w:p>
      <w:pPr>
        <w:numPr>
          <w:numId w:val="4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by written notice delivered to the person, forbid him or her to enter the premises of the gaming facility at any time during a period specified in the notice, (which the BCLC did in the VSE form it had the plaintiff sign on her entry into the program).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269</w:t>
      </w:r>
      <w:r>
        <w:rPr>
          <w:rFonts w:ascii="arial" w:eastAsia="arial" w:hAnsi="arial" w:cs="arial"/>
          <w:color w:val="000000"/>
          <w:sz w:val="20"/>
          <w:lang w:val="en-US" w:eastAsia="en-US" w:bidi="ar-SA"/>
        </w:rPr>
        <w:t>  Section 93(1)(c) requires that a person must not enter the premises at any time during the period specified in the written notice referred to in s. 92(b) and s. 97(2)(d) makes it an offence to contravene s. 93(1) while s. 98(3) sets a dollar amount of not more than $5,000 for any person who commits an offence under s. 97(2)(d).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270</w:t>
      </w:r>
      <w:r>
        <w:rPr>
          <w:rFonts w:ascii="arial" w:eastAsia="arial" w:hAnsi="arial" w:cs="arial"/>
          <w:color w:val="000000"/>
          <w:sz w:val="20"/>
          <w:lang w:val="en-US" w:eastAsia="en-US" w:bidi="ar-SA"/>
        </w:rPr>
        <w:t>  It is pointed out there is no similar penalty provision in the legislation directed against BCLC which it submits supports its argument that it had no duty of care to the plaintiff to identify her when she entered a casino while self-excluded.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271</w:t>
      </w:r>
      <w:r>
        <w:rPr>
          <w:rFonts w:ascii="arial" w:eastAsia="arial" w:hAnsi="arial" w:cs="arial"/>
          <w:color w:val="000000"/>
          <w:sz w:val="20"/>
          <w:lang w:val="en-US" w:eastAsia="en-US" w:bidi="ar-SA"/>
        </w:rPr>
        <w:t>  While the plaintiff says she believed she wouldn't be able to gamble because she would be kept out, BCLC submits that this was not a reasonable expectation on her part for a number of reasons.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272</w:t>
      </w:r>
      <w:r>
        <w:rPr>
          <w:rFonts w:ascii="arial" w:eastAsia="arial" w:hAnsi="arial" w:cs="arial"/>
          <w:color w:val="000000"/>
          <w:sz w:val="20"/>
          <w:lang w:val="en-US" w:eastAsia="en-US" w:bidi="ar-SA"/>
        </w:rPr>
        <w:t>  Firstly, she knew she was breaching her self-exclusion commitment when she continued to gamble, whether or not she had any expectation she would be kept out.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273</w:t>
      </w:r>
      <w:r>
        <w:rPr>
          <w:rFonts w:ascii="arial" w:eastAsia="arial" w:hAnsi="arial" w:cs="arial"/>
          <w:color w:val="000000"/>
          <w:sz w:val="20"/>
          <w:lang w:val="en-US" w:eastAsia="en-US" w:bidi="ar-SA"/>
        </w:rPr>
        <w:t>  Secondly, she could not reasonably have believed that if she gambled while self-excluded and lost money BCLC would indemnify her when she had already agreed in the VSE form that neither BCLC nor the service providers would be held responsible for any breach of her self-exclusion or their failure to enforce the self-exclusion.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274</w:t>
      </w:r>
      <w:r>
        <w:rPr>
          <w:rFonts w:ascii="arial" w:eastAsia="arial" w:hAnsi="arial" w:cs="arial"/>
          <w:color w:val="000000"/>
          <w:sz w:val="20"/>
          <w:lang w:val="en-US" w:eastAsia="en-US" w:bidi="ar-SA"/>
        </w:rPr>
        <w:t>  BCLC submits if the plaintiff's evidence is to be believed that she was going to be kept out of the BC casinos, she was obviously not paying attention to the conditions of the VSE program and any reliance she placed on BCLC to keep her out was not reasonable in the circumstances.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275</w:t>
      </w:r>
      <w:r>
        <w:rPr>
          <w:rFonts w:ascii="arial" w:eastAsia="arial" w:hAnsi="arial" w:cs="arial"/>
          <w:color w:val="000000"/>
          <w:sz w:val="20"/>
          <w:lang w:val="en-US" w:eastAsia="en-US" w:bidi="ar-SA"/>
        </w:rPr>
        <w:t>  BCLC points to the plaintiff's evidence that she didn't pay a lot of attention to the VSE form when she was enrolling in the VSE program because she thought she wasn't going to be able to gamble, so why did it matter?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276</w:t>
      </w:r>
      <w:r>
        <w:rPr>
          <w:rFonts w:ascii="arial" w:eastAsia="arial" w:hAnsi="arial" w:cs="arial"/>
          <w:color w:val="000000"/>
          <w:sz w:val="20"/>
          <w:lang w:val="en-US" w:eastAsia="en-US" w:bidi="ar-SA"/>
        </w:rPr>
        <w:t>  In addition, BCLC points to her evidence that she declined counselling because she thought she was not going to be allowed back into casinos so why would she need counselling?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277</w:t>
      </w:r>
      <w:r>
        <w:rPr>
          <w:rFonts w:ascii="arial" w:eastAsia="arial" w:hAnsi="arial" w:cs="arial"/>
          <w:color w:val="000000"/>
          <w:sz w:val="20"/>
          <w:lang w:val="en-US" w:eastAsia="en-US" w:bidi="ar-SA"/>
        </w:rPr>
        <w:t>  BCLC points to this reasoning of hers as being completely flawed because the whole purpose of her reading the VSE form and being offered counselling was because BCLC could not guarantee participants would not be able to gamble.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278</w:t>
      </w:r>
      <w:r>
        <w:rPr>
          <w:rFonts w:ascii="arial" w:eastAsia="arial" w:hAnsi="arial" w:cs="arial"/>
          <w:color w:val="000000"/>
          <w:sz w:val="20"/>
          <w:lang w:val="en-US" w:eastAsia="en-US" w:bidi="ar-SA"/>
        </w:rPr>
        <w:t>  In BCLC's submission, the plaintiff could only reasonably have expected that the counselling sessions were available precisely to assist her personal responsibility in self-exclusion.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279</w:t>
      </w:r>
      <w:r>
        <w:rPr>
          <w:rFonts w:ascii="arial" w:eastAsia="arial" w:hAnsi="arial" w:cs="arial"/>
          <w:color w:val="000000"/>
          <w:sz w:val="20"/>
          <w:lang w:val="en-US" w:eastAsia="en-US" w:bidi="ar-SA"/>
        </w:rPr>
        <w:t>  Thirdly, she could not reasonably have expected that BCLC or the service providers would guarantee she would not breach her self-exclusion commitment by removing her, when the VSE form she signed indicated she would be requested to leave only if she was identified by BCLC or facility staff as a self-excluded person, indicating a condition precedent that she first had to be identified.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280</w:t>
      </w:r>
      <w:r>
        <w:rPr>
          <w:rFonts w:ascii="arial" w:eastAsia="arial" w:hAnsi="arial" w:cs="arial"/>
          <w:color w:val="000000"/>
          <w:sz w:val="20"/>
          <w:lang w:val="en-US" w:eastAsia="en-US" w:bidi="ar-SA"/>
        </w:rPr>
        <w:t>  BCLC denies any reasonable expectation on her part that it assumed liability for her breach of self-exclusion and gambling losses on account of her enrollment in the VSE program, when she testified the form was read to her and she understood it before signing.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281</w:t>
      </w:r>
      <w:r>
        <w:rPr>
          <w:rFonts w:ascii="arial" w:eastAsia="arial" w:hAnsi="arial" w:cs="arial"/>
          <w:color w:val="000000"/>
          <w:sz w:val="20"/>
          <w:lang w:val="en-US" w:eastAsia="en-US" w:bidi="ar-SA"/>
        </w:rPr>
        <w:t>  Fourthly, the plaintiff's evidence is that she saw the "Time Out" pamphlet prior to her enrollment.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282</w:t>
      </w:r>
      <w:r>
        <w:rPr>
          <w:rFonts w:ascii="arial" w:eastAsia="arial" w:hAnsi="arial" w:cs="arial"/>
          <w:color w:val="000000"/>
          <w:sz w:val="20"/>
          <w:lang w:val="en-US" w:eastAsia="en-US" w:bidi="ar-SA"/>
        </w:rPr>
        <w:t>  The face page of that pamphlet notified self-excluded persons that "It's up to you" and the back page stated under the heading: "What happens if I try to get back in?" that "It is your responsibility to honor your commitment" and "You will not be allowed back in before your exclusionary period is up" and "Remember...It's up to you."</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283</w:t>
      </w:r>
      <w:r>
        <w:rPr>
          <w:rFonts w:ascii="arial" w:eastAsia="arial" w:hAnsi="arial" w:cs="arial"/>
          <w:color w:val="000000"/>
          <w:sz w:val="20"/>
          <w:lang w:val="en-US" w:eastAsia="en-US" w:bidi="ar-SA"/>
        </w:rPr>
        <w:t>  BCLC submits that the word "allow" or "allowed" means "permit" or "permitted" and does not mean there was any obligation imposed to keep her out.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284</w:t>
      </w:r>
      <w:r>
        <w:rPr>
          <w:rFonts w:ascii="arial" w:eastAsia="arial" w:hAnsi="arial" w:cs="arial"/>
          <w:color w:val="000000"/>
          <w:sz w:val="20"/>
          <w:lang w:val="en-US" w:eastAsia="en-US" w:bidi="ar-SA"/>
        </w:rPr>
        <w:t>  Finally, it is submitted the plaintiff knew that BC casinos did not require identification prior to entry and she knew the primary means of enforcement of the VSE program by BCLC and the service providers was through visual recognition, because her evidence is that she believed she might not be as easily detected if she went out of town where casino personnel would not be familiar with her face.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285</w:t>
      </w:r>
      <w:r>
        <w:rPr>
          <w:rFonts w:ascii="arial" w:eastAsia="arial" w:hAnsi="arial" w:cs="arial"/>
          <w:color w:val="000000"/>
          <w:sz w:val="20"/>
          <w:lang w:val="en-US" w:eastAsia="en-US" w:bidi="ar-SA"/>
        </w:rPr>
        <w:t>  It is submitted her subsequent conduct in breaching her self-exclusion for the first time in BC, in the City of Victoria, rather than the lower mainland, on July 12, 2007, supports this submission.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286</w:t>
      </w:r>
      <w:r>
        <w:rPr>
          <w:rFonts w:ascii="arial" w:eastAsia="arial" w:hAnsi="arial" w:cs="arial"/>
          <w:color w:val="000000"/>
          <w:sz w:val="20"/>
          <w:lang w:val="en-US" w:eastAsia="en-US" w:bidi="ar-SA"/>
        </w:rPr>
        <w:t>  BCLC submits that the plaintiff's decision to test her self-exclusion ban by continuing to attend BC gaming facilities indicates a lack of any reliance by her on BCLC's ability to detect and exclude her.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287</w:t>
      </w:r>
      <w:r>
        <w:rPr>
          <w:rFonts w:ascii="arial" w:eastAsia="arial" w:hAnsi="arial" w:cs="arial"/>
          <w:color w:val="000000"/>
          <w:sz w:val="20"/>
          <w:lang w:val="en-US" w:eastAsia="en-US" w:bidi="ar-SA"/>
        </w:rPr>
        <w:t>  It is submitted the fact that she started her breaches at casinos far away from Fraser Downs and Cascades casinos and only gravitated back to them over time indicates she was not relying on BCLC or the defendant casinos to keep her out, but was in fact relying on them not being able to identify her and remove her.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288</w:t>
      </w:r>
      <w:r>
        <w:rPr>
          <w:rFonts w:ascii="arial" w:eastAsia="arial" w:hAnsi="arial" w:cs="arial"/>
          <w:color w:val="000000"/>
          <w:sz w:val="20"/>
          <w:lang w:val="en-US" w:eastAsia="en-US" w:bidi="ar-SA"/>
        </w:rPr>
        <w:t>  She never approached any staff of any casinos prior to June 1, 2010 to indicate she was breaching the VSE program, despite not suffering from any psychiatric or psychological disability that prevented her from doing so. Instead she consistently misrepresented her identity on the "hand pay" slips by signing for her winnings with the name "Joy Brennan", because in her words, "when I was gambling, I didn't want to be caught."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289</w:t>
      </w:r>
      <w:r>
        <w:rPr>
          <w:rFonts w:ascii="arial" w:eastAsia="arial" w:hAnsi="arial" w:cs="arial"/>
          <w:color w:val="000000"/>
          <w:sz w:val="20"/>
          <w:lang w:val="en-US" w:eastAsia="en-US" w:bidi="ar-SA"/>
        </w:rPr>
        <w:t>  BCLC submits this indicates clearly that she was not relying on BCLC or the service providers to identify her and remove her but was making efforts to ensure it was not able to identify her.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290</w:t>
      </w:r>
      <w:r>
        <w:rPr>
          <w:rFonts w:ascii="arial" w:eastAsia="arial" w:hAnsi="arial" w:cs="arial"/>
          <w:color w:val="000000"/>
          <w:sz w:val="20"/>
          <w:lang w:val="en-US" w:eastAsia="en-US" w:bidi="ar-SA"/>
        </w:rPr>
        <w:t>  On the whole, BCLC submits any reliance by the plaintiff on BCLC or any service provider to keep her out was not reasonable.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291</w:t>
      </w:r>
      <w:r>
        <w:rPr>
          <w:rFonts w:ascii="arial" w:eastAsia="arial" w:hAnsi="arial" w:cs="arial"/>
          <w:color w:val="000000"/>
          <w:sz w:val="20"/>
          <w:lang w:val="en-US" w:eastAsia="en-US" w:bidi="ar-SA"/>
        </w:rPr>
        <w:t xml:space="preserve">  On the issue of whether Mr. Petrow told her she might be able to get into casinos outside the lower mainland, but would certainly not be able to enter one in the lower mainland, and they would keep an eye out for her and not allow her back in, or told her that she was not going to be able to gamble for sure, BCLC submits it is highly unlikely that any such conversation between her and Mr. Petrow took place, as it would conflict with the wording of the VSE form and the wording of the "Time Out" brochure, as well as the provisions of the </w:t>
      </w:r>
      <w:r>
        <w:rPr>
          <w:rFonts w:ascii="arial" w:eastAsia="arial" w:hAnsi="arial" w:cs="arial"/>
          <w:i/>
          <w:color w:val="000000"/>
          <w:sz w:val="20"/>
          <w:lang w:val="en-US" w:eastAsia="en-US" w:bidi="ar-SA"/>
        </w:rPr>
        <w:t>Act</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292</w:t>
      </w:r>
      <w:r>
        <w:rPr>
          <w:rFonts w:ascii="arial" w:eastAsia="arial" w:hAnsi="arial" w:cs="arial"/>
          <w:color w:val="000000"/>
          <w:sz w:val="20"/>
          <w:lang w:val="en-US" w:eastAsia="en-US" w:bidi="ar-SA"/>
        </w:rPr>
        <w:t>  On the overall issue of proximity as part of stage one of the duty of care, BCLC submits that the plaintiff's losses were self-inflicted when she knew she was in breach of her self-exclusion commitment and unlawfully on the premises, in circumstances where she did not suffer from any disorder, condition or illness that prevented her from identifying herself as being self-excluded, as evidenced by the fact that she was able to do just that on June 1, 2010 when she decided to quit gambling and succeeded.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293</w:t>
      </w:r>
      <w:r>
        <w:rPr>
          <w:rFonts w:ascii="arial" w:eastAsia="arial" w:hAnsi="arial" w:cs="arial"/>
          <w:color w:val="000000"/>
          <w:sz w:val="20"/>
          <w:lang w:val="en-US" w:eastAsia="en-US" w:bidi="ar-SA"/>
        </w:rPr>
        <w:t>  During the period of her gambling while self-excluded she was at risk of losing money as every gambler was, and it is submitted that her effort to recover her losses in this lawsuit when she voluntarily self-excluded should not be rewarded any more than the losses of any other gambler. She cannot be owed any duty of care when other gamblers are not owed the same duty of care for their losses.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294</w:t>
      </w:r>
      <w:r>
        <w:rPr>
          <w:rFonts w:ascii="arial" w:eastAsia="arial" w:hAnsi="arial" w:cs="arial"/>
          <w:color w:val="000000"/>
          <w:sz w:val="20"/>
          <w:lang w:val="en-US" w:eastAsia="en-US" w:bidi="ar-SA"/>
        </w:rPr>
        <w:t>  BCLC submits the Court should be very slow to recognize a duty to prevent self-inflicted losses when loss of money through gambling is an inherent risk for every gambler.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295</w:t>
      </w:r>
      <w:r>
        <w:rPr>
          <w:rFonts w:ascii="arial" w:eastAsia="arial" w:hAnsi="arial" w:cs="arial"/>
          <w:color w:val="000000"/>
          <w:sz w:val="20"/>
          <w:lang w:val="en-US" w:eastAsia="en-US" w:bidi="ar-SA"/>
        </w:rPr>
        <w:t>  BCLC submits there is insufficient proximity between itself and the plaintiff to conclude that it owed her any duty of care to guard against gambling losses suffered while she remained a participant in the VSE program.</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5. Stage two - broad policy considerations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296</w:t>
      </w:r>
      <w:r>
        <w:rPr>
          <w:rFonts w:ascii="arial" w:eastAsia="arial" w:hAnsi="arial" w:cs="arial"/>
          <w:color w:val="000000"/>
          <w:sz w:val="20"/>
          <w:lang w:val="en-US" w:eastAsia="en-US" w:bidi="ar-SA"/>
        </w:rPr>
        <w:t xml:space="preserve">  BCLC submits that if the Court should conclude it owed the plaintiff a </w:t>
      </w:r>
      <w:r>
        <w:rPr>
          <w:rFonts w:ascii="arial" w:eastAsia="arial" w:hAnsi="arial" w:cs="arial"/>
          <w:i/>
          <w:color w:val="000000"/>
          <w:sz w:val="20"/>
          <w:lang w:val="en-US" w:eastAsia="en-US" w:bidi="ar-SA"/>
        </w:rPr>
        <w:t>prima facie</w:t>
      </w:r>
      <w:r>
        <w:rPr>
          <w:rFonts w:ascii="arial" w:eastAsia="arial" w:hAnsi="arial" w:cs="arial"/>
          <w:color w:val="000000"/>
          <w:sz w:val="20"/>
          <w:lang w:val="en-US" w:eastAsia="en-US" w:bidi="ar-SA"/>
        </w:rPr>
        <w:t xml:space="preserve"> duty of care under stage one, the Court must then be concerned under stage two whether the duty should be negated or reduced in scope on account of residual policy concerns such as the effect of recognizing such a duty of care on other legal obligations or on the legal system and society more generally, or may create the spectre of unlimited liability to an unlimited class, or may engage a core policy government decision that is protected from liability.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297</w:t>
      </w:r>
      <w:r>
        <w:rPr>
          <w:rFonts w:ascii="arial" w:eastAsia="arial" w:hAnsi="arial" w:cs="arial"/>
          <w:color w:val="000000"/>
          <w:sz w:val="20"/>
          <w:lang w:val="en-US" w:eastAsia="en-US" w:bidi="ar-SA"/>
        </w:rPr>
        <w:t>  BCLC submits neither the class of plaintiffs who would benefit from the recognition of a duty of care nor the amounts involved can be determined as BCLC does not control the number of persons who are enrolled in the VSE program, the duration for which they enrol, nor the amount they might wager while breaching their self-exclusion.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298</w:t>
      </w:r>
      <w:r>
        <w:rPr>
          <w:rFonts w:ascii="arial" w:eastAsia="arial" w:hAnsi="arial" w:cs="arial"/>
          <w:color w:val="000000"/>
          <w:sz w:val="20"/>
          <w:lang w:val="en-US" w:eastAsia="en-US" w:bidi="ar-SA"/>
        </w:rPr>
        <w:t>  BCLC submits the recognition of a duty of care would undermine the role of personal responsibility of the participants and transfer that obligation from the self-excluded gambler to the state and undermine the whole theory and policy of the VSE program.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299</w:t>
      </w:r>
      <w:r>
        <w:rPr>
          <w:rFonts w:ascii="arial" w:eastAsia="arial" w:hAnsi="arial" w:cs="arial"/>
          <w:color w:val="000000"/>
          <w:sz w:val="20"/>
          <w:lang w:val="en-US" w:eastAsia="en-US" w:bidi="ar-SA"/>
        </w:rPr>
        <w:t>  It is submitted as well that the recognition of a duty of care might serve as a disincentive for other voluntary self-excluded participants to take up the offer of counselling, on the basis that they would consider they don't need it as they would be indemnified for any losses without it.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300</w:t>
      </w:r>
      <w:r>
        <w:rPr>
          <w:rFonts w:ascii="arial" w:eastAsia="arial" w:hAnsi="arial" w:cs="arial"/>
          <w:color w:val="000000"/>
          <w:sz w:val="20"/>
          <w:lang w:val="en-US" w:eastAsia="en-US" w:bidi="ar-SA"/>
        </w:rPr>
        <w:t>  BCLC points out it is an agent of the Provincial Government and as such submits any policy decision of it as agent of the government cannot be the basis for a finding of liability in the absence of bad faith or irrational conduct.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301</w:t>
      </w:r>
      <w:r>
        <w:rPr>
          <w:rFonts w:ascii="arial" w:eastAsia="arial" w:hAnsi="arial" w:cs="arial"/>
          <w:color w:val="000000"/>
          <w:sz w:val="20"/>
          <w:lang w:val="en-US" w:eastAsia="en-US" w:bidi="ar-SA"/>
        </w:rPr>
        <w:t xml:space="preserve">  BCLC submits that all its decisions are driven by social policy considerations and as such negate any </w:t>
      </w:r>
      <w:r>
        <w:rPr>
          <w:rFonts w:ascii="arial" w:eastAsia="arial" w:hAnsi="arial" w:cs="arial"/>
          <w:i/>
          <w:color w:val="000000"/>
          <w:sz w:val="20"/>
          <w:lang w:val="en-US" w:eastAsia="en-US" w:bidi="ar-SA"/>
        </w:rPr>
        <w:t>prima facie</w:t>
      </w:r>
      <w:r>
        <w:rPr>
          <w:rFonts w:ascii="arial" w:eastAsia="arial" w:hAnsi="arial" w:cs="arial"/>
          <w:color w:val="000000"/>
          <w:sz w:val="20"/>
          <w:lang w:val="en-US" w:eastAsia="en-US" w:bidi="ar-SA"/>
        </w:rPr>
        <w:t xml:space="preserve"> duty of care.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6. The standard of care of BCLC if a duty of care exists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302</w:t>
      </w:r>
      <w:r>
        <w:rPr>
          <w:rFonts w:ascii="arial" w:eastAsia="arial" w:hAnsi="arial" w:cs="arial"/>
          <w:color w:val="000000"/>
          <w:sz w:val="20"/>
          <w:lang w:val="en-US" w:eastAsia="en-US" w:bidi="ar-SA"/>
        </w:rPr>
        <w:t>  BCLC summarizes the plaintiff's allegations of breach of standard of care as follows:</w:t>
      </w:r>
      <w:r>
        <w:rPr>
          <w:rFonts w:ascii="arial" w:eastAsia="arial" w:hAnsi="arial" w:cs="arial"/>
          <w:sz w:val="20"/>
          <w:lang w:val="en-US" w:eastAsia="en-US" w:bidi="ar-SA"/>
        </w:rPr>
        <w:cr/>
      </w:r>
    </w:p>
    <w:p>
      <w:pPr>
        <w:numPr>
          <w:numId w:val="4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Failing to ensure that security officers and/or casino staff have adequate knowledge of the persons enrolled in the VSE program; and, in particular, failing to detect the plaintiff after she advised BCLC in March 2008 of her repeated violations.</w:t>
      </w:r>
    </w:p>
    <w:p>
      <w:pPr>
        <w:numPr>
          <w:numId w:val="4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Allowing an unacceptably high rate of employee turnover amongst the security staff of service providers.</w:t>
      </w:r>
    </w:p>
    <w:p>
      <w:pPr>
        <w:numPr>
          <w:numId w:val="4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Allowing an unacceptably high rate of employee turnover amongst the surveillance staff of service providers.</w:t>
      </w:r>
    </w:p>
    <w:p>
      <w:pPr>
        <w:numPr>
          <w:numId w:val="4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Failing by service providers to monitor the in-casino ATMs for repeated cash withdrawals by her. Failing by BCLC to monitor the service providers for this.</w:t>
      </w:r>
    </w:p>
    <w:p>
      <w:pPr>
        <w:numPr>
          <w:numId w:val="4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Failing by service providers to monitor security cameras for persons displaying public signs of gambling addiction and failing to investigate said persons to determine whether they were VSE participants. Failing by BCLC to monitor the service providers for this.</w:t>
      </w:r>
    </w:p>
    <w:p>
      <w:pPr>
        <w:numPr>
          <w:numId w:val="4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Permitting the plaintiff to gamble after displaying public signs of gambling addiction including an occasion in January 2010. Failing by BCLC to monitor the service providers for this.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303</w:t>
      </w:r>
      <w:r>
        <w:rPr>
          <w:rFonts w:ascii="arial" w:eastAsia="arial" w:hAnsi="arial" w:cs="arial"/>
          <w:color w:val="000000"/>
          <w:sz w:val="20"/>
          <w:lang w:val="en-US" w:eastAsia="en-US" w:bidi="ar-SA"/>
        </w:rPr>
        <w:t xml:space="preserve">  BCLC firstly submits that the law of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does not impose any standard of perfection as the applicable standard of care.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304</w:t>
      </w:r>
      <w:r>
        <w:rPr>
          <w:rFonts w:ascii="arial" w:eastAsia="arial" w:hAnsi="arial" w:cs="arial"/>
          <w:color w:val="000000"/>
          <w:sz w:val="20"/>
          <w:lang w:val="en-US" w:eastAsia="en-US" w:bidi="ar-SA"/>
        </w:rPr>
        <w:t>  It submits the standard of care should be that of the ordinary reasonable, cautious, and prudent person in the position of the defendants, and submits a number of different factors go into determining this standard, including the likelihood of a known or a foreseeable harm, the gravity of that harm, the burden or cost which would be incurred to prevent the injury and in addition, external indicators of reasonable conduct such as custom, industry practice and statutory or regulatory standards.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305</w:t>
      </w:r>
      <w:r>
        <w:rPr>
          <w:rFonts w:ascii="arial" w:eastAsia="arial" w:hAnsi="arial" w:cs="arial"/>
          <w:color w:val="000000"/>
          <w:sz w:val="20"/>
          <w:lang w:val="en-US" w:eastAsia="en-US" w:bidi="ar-SA"/>
        </w:rPr>
        <w:t>  BCLC submits that the plaintiff has not pointed to any particular policy or procedure adopted by the province that was breached in this case. The specific procedures adopted by the province with respect to the VSE program are found in the public interest standards promulgated by GPEB. Those public interest standards require:</w:t>
      </w:r>
      <w:r>
        <w:rPr>
          <w:rFonts w:ascii="arial" w:eastAsia="arial" w:hAnsi="arial" w:cs="arial"/>
          <w:sz w:val="20"/>
          <w:lang w:val="en-US" w:eastAsia="en-US" w:bidi="ar-SA"/>
        </w:rPr>
        <w:cr/>
      </w:r>
    </w:p>
    <w:p>
      <w:pPr>
        <w:numPr>
          <w:numId w:val="4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That BCLC and its service providers provide the VSE program.</w:t>
      </w:r>
    </w:p>
    <w:p>
      <w:pPr>
        <w:numPr>
          <w:numId w:val="4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That BCLC and its service providers ensure that policies and practices are in place to monitor premises for self-excluded persons and that appropriate security procedures are designed to reduce the ability of self-excluded persons to re-enter the venue.</w:t>
      </w:r>
    </w:p>
    <w:p>
      <w:pPr>
        <w:numPr>
          <w:numId w:val="5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That BCLC and its service providers ensure that policies and procedures are in place so that marketing and promotional materials are not sent to self-excluded persons; and</w:t>
      </w:r>
    </w:p>
    <w:p>
      <w:pPr>
        <w:numPr>
          <w:numId w:val="5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That security and surveillance staff are to:</w:t>
      </w:r>
    </w:p>
    <w:p>
      <w:pPr>
        <w:numPr>
          <w:numId w:val="5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receive sufficient training and where appropriate, certification to properly fulfill their duties; $* $* &lt;/QL:LISTLEVEL2&gt; $*$*</w:t>
      </w:r>
    </w:p>
    <w:p>
      <w:pPr>
        <w:numPr>
          <w:numId w:val="5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assist in the identification of problem gamblers, so they may be referred to appropriate treatment programs and services, where possible; $* $* &lt;/QL:LISTLEVEL2&gt; $*$*</w:t>
      </w:r>
    </w:p>
    <w:p>
      <w:pPr>
        <w:numPr>
          <w:numId w:val="5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assist in identifying and denying access to minors, barred or voluntary self-excluded individuals. $* $* &lt;/QL:LISTLEVEL2&gt; $*$*</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306</w:t>
      </w:r>
      <w:r>
        <w:rPr>
          <w:rFonts w:ascii="arial" w:eastAsia="arial" w:hAnsi="arial" w:cs="arial"/>
          <w:color w:val="000000"/>
          <w:sz w:val="20"/>
          <w:lang w:val="en-US" w:eastAsia="en-US" w:bidi="ar-SA"/>
        </w:rPr>
        <w:t>  It is submitted there is no evidence BCLC breached these standards. BCLC had extensive policies and procedures in place, including specific policies to monitor the premises for self-excluded persons to reduce the ability of self-excluded persons to re-enter a gambling venue.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307</w:t>
      </w:r>
      <w:r>
        <w:rPr>
          <w:rFonts w:ascii="arial" w:eastAsia="arial" w:hAnsi="arial" w:cs="arial"/>
          <w:color w:val="000000"/>
          <w:sz w:val="20"/>
          <w:lang w:val="en-US" w:eastAsia="en-US" w:bidi="ar-SA"/>
        </w:rPr>
        <w:t>  BCLC submits the Security and Surveillance Standards and Responsible Gambling Standards specifically provide for the reasonable detection and identification of persons who are self-excluded and the detection mechanisms established by those Standards meet or exceed the common practice in gaming environments in North America.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308</w:t>
      </w:r>
      <w:r>
        <w:rPr>
          <w:rFonts w:ascii="arial" w:eastAsia="arial" w:hAnsi="arial" w:cs="arial"/>
          <w:color w:val="000000"/>
          <w:sz w:val="20"/>
          <w:lang w:val="en-US" w:eastAsia="en-US" w:bidi="ar-SA"/>
        </w:rPr>
        <w:t>  BCLC relies on Mr. Zajic's opinion that BCLC implemented industry accepted common practices to monitor, enforce, audit and investigate incidents involving self-exclusion and the oversight of BCLC is within the common practices in North America and it uses all available resources to reasonably deter self-excluded persons, including detection mechanisms, available technology, security and surveillance enforcement and regulatory and administrative oversight.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309</w:t>
      </w:r>
      <w:r>
        <w:rPr>
          <w:rFonts w:ascii="arial" w:eastAsia="arial" w:hAnsi="arial" w:cs="arial"/>
          <w:color w:val="000000"/>
          <w:sz w:val="20"/>
          <w:lang w:val="en-US" w:eastAsia="en-US" w:bidi="ar-SA"/>
        </w:rPr>
        <w:t>  BCLC submits it requires all service provider security and surveillance staff to complete extensive training programs, register with GPEB and complete appropriate response training which Mr. Zajic opines is superior to most gaming facilities in North America and exceeds the common practices of most of those gaming facilities.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310</w:t>
      </w:r>
      <w:r>
        <w:rPr>
          <w:rFonts w:ascii="arial" w:eastAsia="arial" w:hAnsi="arial" w:cs="arial"/>
          <w:color w:val="000000"/>
          <w:sz w:val="20"/>
          <w:lang w:val="en-US" w:eastAsia="en-US" w:bidi="ar-SA"/>
        </w:rPr>
        <w:t>  With respect to BCLC's conduct following the plaintiff's telephone call to BCLC's Murray Ross in March 2008 in which she advised of her ongoing breaches, it is submitted that Mr. Ross took appropriate action by circulating a "Be On The Lookout For" (BOLO) and by contacting the plaintiff after a woman resembling her was subsequently seen at Cascade's Casino.</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311</w:t>
      </w:r>
      <w:r>
        <w:rPr>
          <w:rFonts w:ascii="arial" w:eastAsia="arial" w:hAnsi="arial" w:cs="arial"/>
          <w:color w:val="000000"/>
          <w:sz w:val="20"/>
          <w:lang w:val="en-US" w:eastAsia="en-US" w:bidi="ar-SA"/>
        </w:rPr>
        <w:t>  Similarly, when the plaintiff self-reported at Starlight Casino on June 1, 2010, she was escorted off the premises.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312</w:t>
      </w:r>
      <w:r>
        <w:rPr>
          <w:rFonts w:ascii="arial" w:eastAsia="arial" w:hAnsi="arial" w:cs="arial"/>
          <w:color w:val="000000"/>
          <w:sz w:val="20"/>
          <w:lang w:val="en-US" w:eastAsia="en-US" w:bidi="ar-SA"/>
        </w:rPr>
        <w:t>  BCLC submits the fact the plaintiff gained entry on many occasions while self-excluded does not by itself stand as evidence of a breach of any standard of care. The failure to detect her is rationally explained as a result of her staying away from high-risk casinos during times when her photograph was circulating and returning only after time had passed and memories had faded.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313</w:t>
      </w:r>
      <w:r>
        <w:rPr>
          <w:rFonts w:ascii="arial" w:eastAsia="arial" w:hAnsi="arial" w:cs="arial"/>
          <w:color w:val="000000"/>
          <w:sz w:val="20"/>
          <w:lang w:val="en-US" w:eastAsia="en-US" w:bidi="ar-SA"/>
        </w:rPr>
        <w:t>  BCLC submits that with respect to the plaintiff's ability to avoid detection, her self-professed "not getting caught strategy" meant that, by the time she made her way back to Cascades and Fraser Downs (both after her initial exclusion and her call to Mr. Ross), months had passed. By that time, her photograph would have been one of thousands viewed by security and surveillance over that time.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314</w:t>
      </w:r>
      <w:r>
        <w:rPr>
          <w:rFonts w:ascii="arial" w:eastAsia="arial" w:hAnsi="arial" w:cs="arial"/>
          <w:color w:val="000000"/>
          <w:sz w:val="20"/>
          <w:lang w:val="en-US" w:eastAsia="en-US" w:bidi="ar-SA"/>
        </w:rPr>
        <w:t>  It is submitted that her behaviour had its intended goal of increasing the likelihood that she would not be detected consistent with her desire to "not get caught" and such circumstances clearly do not indicate any breach of any applicable standard of care by BCLC.</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315</w:t>
      </w:r>
      <w:r>
        <w:rPr>
          <w:rFonts w:ascii="arial" w:eastAsia="arial" w:hAnsi="arial" w:cs="arial"/>
          <w:color w:val="000000"/>
          <w:sz w:val="20"/>
          <w:lang w:val="en-US" w:eastAsia="en-US" w:bidi="ar-SA"/>
        </w:rPr>
        <w:t>  It is submitted the VSE program between 2007-2010 was a system dependant on visual facial recognition performed by security and surveillance staff and such a system does not and cannot catch every self-excluded person who is violating their self-exclusion agreement. Nor can this be expected as a matter of practice or law.</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316</w:t>
      </w:r>
      <w:r>
        <w:rPr>
          <w:rFonts w:ascii="arial" w:eastAsia="arial" w:hAnsi="arial" w:cs="arial"/>
          <w:color w:val="000000"/>
          <w:sz w:val="20"/>
          <w:lang w:val="en-US" w:eastAsia="en-US" w:bidi="ar-SA"/>
        </w:rPr>
        <w:t>  Relying on Dr. Ladouceur's opinions, it is submitted a self-excluded program is not ineffective simply because a self-exclusion participant is not detected. Rather its effectiveness is measured by two criteria:</w:t>
      </w:r>
      <w:r>
        <w:rPr>
          <w:rFonts w:ascii="arial" w:eastAsia="arial" w:hAnsi="arial" w:cs="arial"/>
          <w:sz w:val="20"/>
          <w:lang w:val="en-US" w:eastAsia="en-US" w:bidi="ar-SA"/>
        </w:rPr>
        <w:cr/>
      </w:r>
    </w:p>
    <w:p>
      <w:pPr>
        <w:numPr>
          <w:numId w:val="5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How many participants no longer qualify as pathological gamblers by the end of their exclusionary period; and</w:t>
      </w:r>
    </w:p>
    <w:p>
      <w:pPr>
        <w:numPr>
          <w:numId w:val="5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What proportion of those who breach are caught.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317</w:t>
      </w:r>
      <w:r>
        <w:rPr>
          <w:rFonts w:ascii="arial" w:eastAsia="arial" w:hAnsi="arial" w:cs="arial"/>
          <w:color w:val="000000"/>
          <w:sz w:val="20"/>
          <w:lang w:val="en-US" w:eastAsia="en-US" w:bidi="ar-SA"/>
        </w:rPr>
        <w:t>  BCLC cites the opinion of Mr. Hoke who has over 25 years of practical hands-on experience in the areas of security, hospitality and public contact, primarily in the gaming environments, and is an instructor for the University of Nevada in gaming management and specifically for surveillance operations: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Visual surveillance of patrons, whether in person or through cameras, is typically based on a patron's actions and not his or her facial appearance. Visual surveillance relies on body language and behavioural clues that can help identify undesirable patrons. ...visual surveillance is less able to detect voluntary self-excluded registrants than under-age and intoxicated patrons because the voluntary self-excluded registrants conduct and appearance is often similar to that of other patrons.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Visual surveillance was and is in my opinion used by all reasonably prudent casino operators at the relevant time. However, it is important to recognize the limitations of this method. Most important, active visual surveillance depends on the ability of surveillance and security staff to recognize faces that they have seen in the database. These databases can include many thousands of registrants, enrolled at multiple gaming facilities across the jurisdiction, and can extend back many years. In my experience, it is rare that a surveillance employee can remember more than 100 people and be accurate 100% of the time. This method relies heavily on the surveillance operators' memory. Repeat offenders and recent registrants would typically be more likely identified through this method than would first time or historical registrants.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318</w:t>
      </w:r>
      <w:r>
        <w:rPr>
          <w:rFonts w:ascii="arial" w:eastAsia="arial" w:hAnsi="arial" w:cs="arial"/>
          <w:color w:val="000000"/>
          <w:sz w:val="20"/>
          <w:lang w:val="en-US" w:eastAsia="en-US" w:bidi="ar-SA"/>
        </w:rPr>
        <w:t>  BCLC submits that the evidence of Mr. Crawford, a former security officer at Fraser Downs, should be given little or no weight when he says he only reviewed the voluntary self-excluded photograph books on three or four occasions during the three-and-a-half years he worked at Fraser Downs.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319</w:t>
      </w:r>
      <w:r>
        <w:rPr>
          <w:rFonts w:ascii="arial" w:eastAsia="arial" w:hAnsi="arial" w:cs="arial"/>
          <w:color w:val="000000"/>
          <w:sz w:val="20"/>
          <w:lang w:val="en-US" w:eastAsia="en-US" w:bidi="ar-SA"/>
        </w:rPr>
        <w:t>  It is submitted that his evidence does not contravene the SSPPs as the obligation under the SSPPs is to use the casino reporting system (i-TRAK) to view current casino VSE participants, in conjunction with the books.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320</w:t>
      </w:r>
      <w:r>
        <w:rPr>
          <w:rFonts w:ascii="arial" w:eastAsia="arial" w:hAnsi="arial" w:cs="arial"/>
          <w:color w:val="000000"/>
          <w:sz w:val="20"/>
          <w:lang w:val="en-US" w:eastAsia="en-US" w:bidi="ar-SA"/>
        </w:rPr>
        <w:t>  It is submitted that Mr. Crawford's evidence is unreliable because he is a disgruntled former employee at Fraser Downs and because his evidence is different than the evidence of all other security personnel from Fraser Downs who spoke of a regular practice of reviewing log books and i-TRAK.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321</w:t>
      </w:r>
      <w:r>
        <w:rPr>
          <w:rFonts w:ascii="arial" w:eastAsia="arial" w:hAnsi="arial" w:cs="arial"/>
          <w:color w:val="000000"/>
          <w:sz w:val="20"/>
          <w:lang w:val="en-US" w:eastAsia="en-US" w:bidi="ar-SA"/>
        </w:rPr>
        <w:t>  Even then it is submitted he gave evidence that he monitored for and detected self-excluded persons and when he detected them, he removed them. He said he took this task seriously.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322</w:t>
      </w:r>
      <w:r>
        <w:rPr>
          <w:rFonts w:ascii="arial" w:eastAsia="arial" w:hAnsi="arial" w:cs="arial"/>
          <w:color w:val="000000"/>
          <w:sz w:val="20"/>
          <w:lang w:val="en-US" w:eastAsia="en-US" w:bidi="ar-SA"/>
        </w:rPr>
        <w:t>  At the same time, Mr. Crawford could not say he saw the plaintiff in Fraser Downs after she signed up for self-exclusion on June 12, 2007, so his personal practice of reviewing log books has no connection on the whole of the evidence to the plaintiff's claims.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323</w:t>
      </w:r>
      <w:r>
        <w:rPr>
          <w:rFonts w:ascii="arial" w:eastAsia="arial" w:hAnsi="arial" w:cs="arial"/>
          <w:color w:val="000000"/>
          <w:sz w:val="20"/>
          <w:lang w:val="en-US" w:eastAsia="en-US" w:bidi="ar-SA"/>
        </w:rPr>
        <w:t>  Finally, it is submitted Mr. Crawford's evidence cannot change the fact that BCLC had a reasonable system in place to monitor and detect voluntary self-excluded persons, that system met the regulatory requirements of GPEB and is consistent with the prevailing standards in the industry in North America.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324</w:t>
      </w:r>
      <w:r>
        <w:rPr>
          <w:rFonts w:ascii="arial" w:eastAsia="arial" w:hAnsi="arial" w:cs="arial"/>
          <w:color w:val="000000"/>
          <w:sz w:val="20"/>
          <w:lang w:val="en-US" w:eastAsia="en-US" w:bidi="ar-SA"/>
        </w:rPr>
        <w:t>  BCLC submits that the plaintiff has abandoned her claim of excess employee turnover at the defendant casinos but in any event, BCLC submits there cannot be any duty on any service provider or BCLC to safeguard against excessive turnover because that is a matter of freedom of contract between the service provider and the employee.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325</w:t>
      </w:r>
      <w:r>
        <w:rPr>
          <w:rFonts w:ascii="arial" w:eastAsia="arial" w:hAnsi="arial" w:cs="arial"/>
          <w:color w:val="000000"/>
          <w:sz w:val="20"/>
          <w:lang w:val="en-US" w:eastAsia="en-US" w:bidi="ar-SA"/>
        </w:rPr>
        <w:t>  BCLC submits the plaintiff has also abandoned any claim of not monitoring ATMs and not monitoring security cameras for gamblers in distress.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326</w:t>
      </w:r>
      <w:r>
        <w:rPr>
          <w:rFonts w:ascii="arial" w:eastAsia="arial" w:hAnsi="arial" w:cs="arial"/>
          <w:color w:val="000000"/>
          <w:sz w:val="20"/>
          <w:lang w:val="en-US" w:eastAsia="en-US" w:bidi="ar-SA"/>
        </w:rPr>
        <w:t>  As to the January 2010 incident when an employee approached the plaintiff and Mr. Ashton during their all-night birthday marathon, it is submitted that this was an employee of GPEB for which BCLC and any service provider have no responsibility.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327</w:t>
      </w:r>
      <w:r>
        <w:rPr>
          <w:rFonts w:ascii="arial" w:eastAsia="arial" w:hAnsi="arial" w:cs="arial"/>
          <w:color w:val="000000"/>
          <w:sz w:val="20"/>
          <w:lang w:val="en-US" w:eastAsia="en-US" w:bidi="ar-SA"/>
        </w:rPr>
        <w:t>  In any event, it is submitted that the employee of GPEB acted most appropriately in the circumstances by inquiring whether everything was alright to which Mr. Ashton responded that they were fine and having a good time.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328</w:t>
      </w:r>
      <w:r>
        <w:rPr>
          <w:rFonts w:ascii="arial" w:eastAsia="arial" w:hAnsi="arial" w:cs="arial"/>
          <w:color w:val="000000"/>
          <w:sz w:val="20"/>
          <w:lang w:val="en-US" w:eastAsia="en-US" w:bidi="ar-SA"/>
        </w:rPr>
        <w:t xml:space="preserve">  BCLC submits the plaintiff has not proven any losses she suffered at the two defendant casinos were caused by any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on the part of BCLC.</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329</w:t>
      </w:r>
      <w:r>
        <w:rPr>
          <w:rFonts w:ascii="arial" w:eastAsia="arial" w:hAnsi="arial" w:cs="arial"/>
          <w:color w:val="000000"/>
          <w:sz w:val="20"/>
          <w:lang w:val="en-US" w:eastAsia="en-US" w:bidi="ar-SA"/>
        </w:rPr>
        <w:t xml:space="preserve">  BCLC submits that the defence of </w:t>
      </w:r>
      <w:r>
        <w:rPr>
          <w:rFonts w:ascii="arial" w:eastAsia="arial" w:hAnsi="arial" w:cs="arial"/>
          <w:i/>
          <w:color w:val="000000"/>
          <w:sz w:val="20"/>
          <w:lang w:val="en-US" w:eastAsia="en-US" w:bidi="ar-SA"/>
        </w:rPr>
        <w:t>ex turpi causa non oritur actio</w:t>
      </w:r>
      <w:r>
        <w:rPr>
          <w:rFonts w:ascii="arial" w:eastAsia="arial" w:hAnsi="arial" w:cs="arial"/>
          <w:color w:val="000000"/>
          <w:sz w:val="20"/>
          <w:lang w:val="en-US" w:eastAsia="en-US" w:bidi="ar-SA"/>
        </w:rPr>
        <w:t xml:space="preserve"> applies as well as the defence of </w:t>
      </w:r>
      <w:r>
        <w:rPr>
          <w:rFonts w:ascii="arial" w:eastAsia="arial" w:hAnsi="arial" w:cs="arial"/>
          <w:i/>
          <w:color w:val="000000"/>
          <w:sz w:val="20"/>
          <w:lang w:val="en-US" w:eastAsia="en-US" w:bidi="ar-SA"/>
        </w:rPr>
        <w:t>volenti non fit injuria</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330</w:t>
      </w:r>
      <w:r>
        <w:rPr>
          <w:rFonts w:ascii="arial" w:eastAsia="arial" w:hAnsi="arial" w:cs="arial"/>
          <w:color w:val="000000"/>
          <w:sz w:val="20"/>
          <w:lang w:val="en-US" w:eastAsia="en-US" w:bidi="ar-SA"/>
        </w:rPr>
        <w:t xml:space="preserve">  BCLC submits the defence of </w:t>
      </w:r>
      <w:r>
        <w:rPr>
          <w:rFonts w:ascii="arial" w:eastAsia="arial" w:hAnsi="arial" w:cs="arial"/>
          <w:i/>
          <w:color w:val="000000"/>
          <w:sz w:val="20"/>
          <w:lang w:val="en-US" w:eastAsia="en-US" w:bidi="ar-SA"/>
        </w:rPr>
        <w:t>ex turpi causa non oritur actio</w:t>
      </w:r>
      <w:r>
        <w:rPr>
          <w:rFonts w:ascii="arial" w:eastAsia="arial" w:hAnsi="arial" w:cs="arial"/>
          <w:color w:val="000000"/>
          <w:sz w:val="20"/>
          <w:lang w:val="en-US" w:eastAsia="en-US" w:bidi="ar-SA"/>
        </w:rPr>
        <w:t xml:space="preserve"> applies to defeat the plaintiff's claims because she cannot seek the court's assistance while relying on her unlawful conduct in entering casinos while she was self-excluded.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331</w:t>
      </w:r>
      <w:r>
        <w:rPr>
          <w:rFonts w:ascii="arial" w:eastAsia="arial" w:hAnsi="arial" w:cs="arial"/>
          <w:color w:val="000000"/>
          <w:sz w:val="20"/>
          <w:lang w:val="en-US" w:eastAsia="en-US" w:bidi="ar-SA"/>
        </w:rPr>
        <w:t xml:space="preserve">  BCLC submits that the principle of </w:t>
      </w:r>
      <w:r>
        <w:rPr>
          <w:rFonts w:ascii="arial" w:eastAsia="arial" w:hAnsi="arial" w:cs="arial"/>
          <w:i/>
          <w:color w:val="000000"/>
          <w:sz w:val="20"/>
          <w:lang w:val="en-US" w:eastAsia="en-US" w:bidi="ar-SA"/>
        </w:rPr>
        <w:t>volenti non fit injuria</w:t>
      </w:r>
      <w:r>
        <w:rPr>
          <w:rFonts w:ascii="arial" w:eastAsia="arial" w:hAnsi="arial" w:cs="arial"/>
          <w:color w:val="000000"/>
          <w:sz w:val="20"/>
          <w:lang w:val="en-US" w:eastAsia="en-US" w:bidi="ar-SA"/>
        </w:rPr>
        <w:t xml:space="preserve"> also applies where it is clear the plaintiff, knowing of the virtually certain risk of harm, has essentially bargained away her right to sue for injuries incurred as a result of any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on the part of BCLC.</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332</w:t>
      </w:r>
      <w:r>
        <w:rPr>
          <w:rFonts w:ascii="arial" w:eastAsia="arial" w:hAnsi="arial" w:cs="arial"/>
          <w:color w:val="000000"/>
          <w:sz w:val="20"/>
          <w:lang w:val="en-US" w:eastAsia="en-US" w:bidi="ar-SA"/>
        </w:rPr>
        <w:t>  BCLC says the application of this principle is clear from the VSE form the plaintiff signed where both parties agreed BCLC would have no responsibility to take care for her safety.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333</w:t>
      </w:r>
      <w:r>
        <w:rPr>
          <w:rFonts w:ascii="arial" w:eastAsia="arial" w:hAnsi="arial" w:cs="arial"/>
          <w:color w:val="000000"/>
          <w:sz w:val="20"/>
          <w:lang w:val="en-US" w:eastAsia="en-US" w:bidi="ar-SA"/>
        </w:rPr>
        <w:t>  It is submitted by this form she fully accepted the risk that she might fail to control her gambling and might suffer gambling losses even though enrolled in the VSE program.</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7. Fiduciary duty of care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334</w:t>
      </w:r>
      <w:r>
        <w:rPr>
          <w:rFonts w:ascii="arial" w:eastAsia="arial" w:hAnsi="arial" w:cs="arial"/>
          <w:color w:val="000000"/>
          <w:sz w:val="20"/>
          <w:lang w:val="en-US" w:eastAsia="en-US" w:bidi="ar-SA"/>
        </w:rPr>
        <w:t>  The plaintiff's pleading alleges fiduciary duties owed by BCLC and the two defendant service providers once they learned of her vulnerability due to her problem with gambling and once she relied on them in requesting self-exclusion to address her problem.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335</w:t>
      </w:r>
      <w:r>
        <w:rPr>
          <w:rFonts w:ascii="arial" w:eastAsia="arial" w:hAnsi="arial" w:cs="arial"/>
          <w:color w:val="000000"/>
          <w:sz w:val="20"/>
          <w:lang w:val="en-US" w:eastAsia="en-US" w:bidi="ar-SA"/>
        </w:rPr>
        <w:t>  She relies upon her alleged vulnerability as a pathological gambler.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336</w:t>
      </w:r>
      <w:r>
        <w:rPr>
          <w:rFonts w:ascii="arial" w:eastAsia="arial" w:hAnsi="arial" w:cs="arial"/>
          <w:color w:val="000000"/>
          <w:sz w:val="20"/>
          <w:lang w:val="en-US" w:eastAsia="en-US" w:bidi="ar-SA"/>
        </w:rPr>
        <w:t xml:space="preserve">  BCLC submits pathological gamblers cannot be equated with those who are mentally incompetent so as to give rise to a duty founded on the </w:t>
      </w:r>
      <w:r>
        <w:rPr>
          <w:rFonts w:ascii="arial" w:eastAsia="arial" w:hAnsi="arial" w:cs="arial"/>
          <w:i/>
          <w:color w:val="000000"/>
          <w:sz w:val="20"/>
          <w:lang w:val="en-US" w:eastAsia="en-US" w:bidi="ar-SA"/>
        </w:rPr>
        <w:t>parens patriae</w:t>
      </w:r>
      <w:r>
        <w:rPr>
          <w:rFonts w:ascii="arial" w:eastAsia="arial" w:hAnsi="arial" w:cs="arial"/>
          <w:color w:val="000000"/>
          <w:sz w:val="20"/>
          <w:lang w:val="en-US" w:eastAsia="en-US" w:bidi="ar-SA"/>
        </w:rPr>
        <w:t xml:space="preserve"> jurisdiction of the Provincial Government or BCLC nor can she make out an </w:t>
      </w:r>
      <w:r>
        <w:rPr>
          <w:rFonts w:ascii="arial" w:eastAsia="arial" w:hAnsi="arial" w:cs="arial"/>
          <w:i/>
          <w:color w:val="000000"/>
          <w:sz w:val="20"/>
          <w:lang w:val="en-US" w:eastAsia="en-US" w:bidi="ar-SA"/>
        </w:rPr>
        <w:t>ad hoc</w:t>
      </w:r>
      <w:r>
        <w:rPr>
          <w:rFonts w:ascii="arial" w:eastAsia="arial" w:hAnsi="arial" w:cs="arial"/>
          <w:color w:val="000000"/>
          <w:sz w:val="20"/>
          <w:lang w:val="en-US" w:eastAsia="en-US" w:bidi="ar-SA"/>
        </w:rPr>
        <w:t xml:space="preserve"> fiduciary relationship with any of the defendants.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337</w:t>
      </w:r>
      <w:r>
        <w:rPr>
          <w:rFonts w:ascii="arial" w:eastAsia="arial" w:hAnsi="arial" w:cs="arial"/>
          <w:color w:val="000000"/>
          <w:sz w:val="20"/>
          <w:lang w:val="en-US" w:eastAsia="en-US" w:bidi="ar-SA"/>
        </w:rPr>
        <w:t>  BCLC submits the particular relationships in which fiduciary law focuses are those in which one party is given a discretionary power to affect the legal or practical interests of the other.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338</w:t>
      </w:r>
      <w:r>
        <w:rPr>
          <w:rFonts w:ascii="arial" w:eastAsia="arial" w:hAnsi="arial" w:cs="arial"/>
          <w:color w:val="000000"/>
          <w:sz w:val="20"/>
          <w:lang w:val="en-US" w:eastAsia="en-US" w:bidi="ar-SA"/>
        </w:rPr>
        <w:t>  While the plaintiff argues that she falls within the class of pathological gamblers who are mentally incompetent and unable to resist the urge to gamble, BCLC counters that Dr. Blaszczynski opines that the plaintiff did have the capacity to exercise control over her behaviour and suffered from no psychiatric nor psychological impediments that prevented or impeded her capacity to identify herself to casino staff as a voluntary self-excluded program participant.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339</w:t>
      </w:r>
      <w:r>
        <w:rPr>
          <w:rFonts w:ascii="arial" w:eastAsia="arial" w:hAnsi="arial" w:cs="arial"/>
          <w:color w:val="000000"/>
          <w:sz w:val="20"/>
          <w:lang w:val="en-US" w:eastAsia="en-US" w:bidi="ar-SA"/>
        </w:rPr>
        <w:t xml:space="preserve">  BCLC also relies upon </w:t>
      </w:r>
      <w:r>
        <w:rPr>
          <w:rFonts w:ascii="arial" w:eastAsia="arial" w:hAnsi="arial" w:cs="arial"/>
          <w:i/>
          <w:color w:val="000000"/>
          <w:sz w:val="20"/>
          <w:lang w:val="en-US" w:eastAsia="en-US" w:bidi="ar-SA"/>
        </w:rPr>
        <w:t>Galambos v. Perez</w:t>
      </w:r>
      <w:r>
        <w:rPr>
          <w:rFonts w:ascii="arial" w:eastAsia="arial" w:hAnsi="arial" w:cs="arial"/>
          <w:color w:val="000000"/>
          <w:sz w:val="20"/>
          <w:lang w:val="en-US" w:eastAsia="en-US" w:bidi="ar-SA"/>
        </w:rPr>
        <w:t xml:space="preserve">, </w:t>
      </w:r>
      <w:hyperlink r:id="rId166" w:history="1">
        <w:r>
          <w:rPr>
            <w:rFonts w:ascii="arial" w:eastAsia="arial" w:hAnsi="arial" w:cs="arial"/>
            <w:i/>
            <w:color w:val="0077CC"/>
            <w:sz w:val="20"/>
            <w:u w:val="single"/>
            <w:shd w:val="clear" w:color="auto" w:fill="FFFFFF"/>
            <w:lang w:val="en-US" w:eastAsia="en-US" w:bidi="ar-SA"/>
          </w:rPr>
          <w:t>2009 SCC 48</w:t>
        </w:r>
      </w:hyperlink>
      <w:r>
        <w:rPr>
          <w:rFonts w:ascii="arial" w:eastAsia="arial" w:hAnsi="arial" w:cs="arial"/>
          <w:color w:val="000000"/>
          <w:sz w:val="20"/>
          <w:lang w:val="en-US" w:eastAsia="en-US" w:bidi="ar-SA"/>
        </w:rPr>
        <w:t xml:space="preserve">, </w:t>
      </w:r>
      <w:hyperlink r:id="rId166" w:history="1">
        <w:r>
          <w:rPr>
            <w:rFonts w:ascii="arial" w:eastAsia="arial" w:hAnsi="arial" w:cs="arial"/>
            <w:i/>
            <w:color w:val="0077CC"/>
            <w:sz w:val="20"/>
            <w:u w:val="single"/>
            <w:shd w:val="clear" w:color="auto" w:fill="FFFFFF"/>
            <w:lang w:val="en-US" w:eastAsia="en-US" w:bidi="ar-SA"/>
          </w:rPr>
          <w:t>[2009] 3 S.C.R. 247</w:t>
        </w:r>
      </w:hyperlink>
      <w:r>
        <w:rPr>
          <w:rFonts w:ascii="arial" w:eastAsia="arial" w:hAnsi="arial" w:cs="arial"/>
          <w:color w:val="000000"/>
          <w:sz w:val="20"/>
          <w:lang w:val="en-US" w:eastAsia="en-US" w:bidi="ar-SA"/>
        </w:rPr>
        <w:t xml:space="preserve"> were Mr. Justice Cromwell said that fiduciary law is more concerned with the position of the parties that results from the relationship which gives rise to the fiduciary duty than the respective positions of the parties before they enter into the relationship.</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340</w:t>
      </w:r>
      <w:r>
        <w:rPr>
          <w:rFonts w:ascii="arial" w:eastAsia="arial" w:hAnsi="arial" w:cs="arial"/>
          <w:color w:val="000000"/>
          <w:sz w:val="20"/>
          <w:lang w:val="en-US" w:eastAsia="en-US" w:bidi="ar-SA"/>
        </w:rPr>
        <w:t>  While vulnerability in the broad sense from factors prior to the relationship is extended to the relationship as a relevant consideration, a more important issue is the extent to which vulnerability arises from the relationship.</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341</w:t>
      </w:r>
      <w:r>
        <w:rPr>
          <w:rFonts w:ascii="arial" w:eastAsia="arial" w:hAnsi="arial" w:cs="arial"/>
          <w:color w:val="000000"/>
          <w:sz w:val="20"/>
          <w:lang w:val="en-US" w:eastAsia="en-US" w:bidi="ar-SA"/>
        </w:rPr>
        <w:t xml:space="preserve">  BCLC cites </w:t>
      </w:r>
      <w:r>
        <w:rPr>
          <w:rFonts w:ascii="arial" w:eastAsia="arial" w:hAnsi="arial" w:cs="arial"/>
          <w:i/>
          <w:color w:val="000000"/>
          <w:sz w:val="20"/>
          <w:lang w:val="en-US" w:eastAsia="en-US" w:bidi="ar-SA"/>
        </w:rPr>
        <w:t>Alberta v. Elder Advocates of Alberta Society</w:t>
      </w:r>
      <w:r>
        <w:rPr>
          <w:rFonts w:ascii="arial" w:eastAsia="arial" w:hAnsi="arial" w:cs="arial"/>
          <w:color w:val="000000"/>
          <w:sz w:val="20"/>
          <w:lang w:val="en-US" w:eastAsia="en-US" w:bidi="ar-SA"/>
        </w:rPr>
        <w:t xml:space="preserve">, </w:t>
      </w:r>
      <w:hyperlink r:id="rId43" w:history="1">
        <w:r>
          <w:rPr>
            <w:rFonts w:ascii="arial" w:eastAsia="arial" w:hAnsi="arial" w:cs="arial"/>
            <w:i/>
            <w:color w:val="0077CC"/>
            <w:sz w:val="20"/>
            <w:u w:val="single"/>
            <w:shd w:val="clear" w:color="auto" w:fill="FFFFFF"/>
            <w:lang w:val="en-US" w:eastAsia="en-US" w:bidi="ar-SA"/>
          </w:rPr>
          <w:t>2011 SCC 24</w:t>
        </w:r>
      </w:hyperlink>
      <w:r>
        <w:rPr>
          <w:rFonts w:ascii="arial" w:eastAsia="arial" w:hAnsi="arial" w:cs="arial"/>
          <w:color w:val="000000"/>
          <w:sz w:val="20"/>
          <w:lang w:val="en-US" w:eastAsia="en-US" w:bidi="ar-SA"/>
        </w:rPr>
        <w:t xml:space="preserve">, </w:t>
      </w:r>
      <w:hyperlink r:id="rId43" w:history="1">
        <w:r>
          <w:rPr>
            <w:rFonts w:ascii="arial" w:eastAsia="arial" w:hAnsi="arial" w:cs="arial"/>
            <w:i/>
            <w:color w:val="0077CC"/>
            <w:sz w:val="20"/>
            <w:u w:val="single"/>
            <w:shd w:val="clear" w:color="auto" w:fill="FFFFFF"/>
            <w:lang w:val="en-US" w:eastAsia="en-US" w:bidi="ar-SA"/>
          </w:rPr>
          <w:t>[2011] 2 S.C.R. 261</w:t>
        </w:r>
      </w:hyperlink>
      <w:r>
        <w:rPr>
          <w:rFonts w:ascii="arial" w:eastAsia="arial" w:hAnsi="arial" w:cs="arial"/>
          <w:color w:val="000000"/>
          <w:sz w:val="20"/>
          <w:lang w:val="en-US" w:eastAsia="en-US" w:bidi="ar-SA"/>
        </w:rPr>
        <w:t xml:space="preserve"> for the requirements that it must be shown:</w:t>
      </w:r>
      <w:r>
        <w:rPr>
          <w:rFonts w:ascii="arial" w:eastAsia="arial" w:hAnsi="arial" w:cs="arial"/>
          <w:sz w:val="20"/>
          <w:lang w:val="en-US" w:eastAsia="en-US" w:bidi="ar-SA"/>
        </w:rPr>
        <w:cr/>
      </w:r>
    </w:p>
    <w:p>
      <w:pPr>
        <w:numPr>
          <w:numId w:val="5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alleged fiduciary gave an undertaking of responsibility to act in the best interests of the beneficiary.</w:t>
      </w:r>
    </w:p>
    <w:p>
      <w:pPr>
        <w:numPr>
          <w:numId w:val="5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there is a defined person or class of persons, vulnerable to the fiduciary in the sense that the fiduciary has a discretionary power over him/them, to whom the duty is owed; and</w:t>
      </w:r>
    </w:p>
    <w:p>
      <w:pPr>
        <w:numPr>
          <w:numId w:val="5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alleged fiduciary's power may affect the legal or substantial practical interests of the beneficiary.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342</w:t>
      </w:r>
      <w:r>
        <w:rPr>
          <w:rFonts w:ascii="arial" w:eastAsia="arial" w:hAnsi="arial" w:cs="arial"/>
          <w:color w:val="000000"/>
          <w:sz w:val="20"/>
          <w:lang w:val="en-US" w:eastAsia="en-US" w:bidi="ar-SA"/>
        </w:rPr>
        <w:t>  BCLC points out that in that case the court said the special characteristics of governmental responsibilities and functions means that governments will owe fiduciary duties only in limited and special circumstances because it wears many hats and represents many interests, some of which cannot help but be conflicting.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343</w:t>
      </w:r>
      <w:r>
        <w:rPr>
          <w:rFonts w:ascii="arial" w:eastAsia="arial" w:hAnsi="arial" w:cs="arial"/>
          <w:color w:val="000000"/>
          <w:sz w:val="20"/>
          <w:lang w:val="en-US" w:eastAsia="en-US" w:bidi="ar-SA"/>
        </w:rPr>
        <w:t>  BCLC's statutory mandate gave it responsibility for the conduct and management of gaming on behalf of the Provincial Government and that necessarily involves the mediation of diverse interests, another factor at odds with the recognition of any fiduciary duty.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344</w:t>
      </w:r>
      <w:r>
        <w:rPr>
          <w:rFonts w:ascii="arial" w:eastAsia="arial" w:hAnsi="arial" w:cs="arial"/>
          <w:color w:val="000000"/>
          <w:sz w:val="20"/>
          <w:lang w:val="en-US" w:eastAsia="en-US" w:bidi="ar-SA"/>
        </w:rPr>
        <w:t>  BCLC submits the plaintiff's vulnerability doesn't arise from the relationship between the defendants and her but arises from her alone as a VSE program participant or as a pathological gambler. Her vulnerability is self-induced and pre-existing.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345</w:t>
      </w:r>
      <w:r>
        <w:rPr>
          <w:rFonts w:ascii="arial" w:eastAsia="arial" w:hAnsi="arial" w:cs="arial"/>
          <w:color w:val="000000"/>
          <w:sz w:val="20"/>
          <w:lang w:val="en-US" w:eastAsia="en-US" w:bidi="ar-SA"/>
        </w:rPr>
        <w:t>  In addition, BCLC submits there is no evidence any defendant undertook any responsibility to act in her best interests. To the contrary, as pointed out in the VSE form, she recognized BCLC was taking no responsibility for a breach of her self-exclusion.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346</w:t>
      </w:r>
      <w:r>
        <w:rPr>
          <w:rFonts w:ascii="arial" w:eastAsia="arial" w:hAnsi="arial" w:cs="arial"/>
          <w:color w:val="000000"/>
          <w:sz w:val="20"/>
          <w:lang w:val="en-US" w:eastAsia="en-US" w:bidi="ar-SA"/>
        </w:rPr>
        <w:t>  BCLC submits the very notion of a VSE program anchored in the personal responsibility of the participant is inconsistent with any notion of BCLC undertaking any obligation to act in the participant's best interest.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347</w:t>
      </w:r>
      <w:r>
        <w:rPr>
          <w:rFonts w:ascii="arial" w:eastAsia="arial" w:hAnsi="arial" w:cs="arial"/>
          <w:color w:val="000000"/>
          <w:sz w:val="20"/>
          <w:lang w:val="en-US" w:eastAsia="en-US" w:bidi="ar-SA"/>
        </w:rPr>
        <w:t>  Finally, BCLC submits it had no discretionary power over the plaintiff as a VSE program participant because the whole program was designed to encourage personal responsibility for gambling problems. If a participant seeks entry to a casino while self-excluded and is identified, the defendants had no discretion but to remove the participant immediately.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348</w:t>
      </w:r>
      <w:r>
        <w:rPr>
          <w:rFonts w:ascii="arial" w:eastAsia="arial" w:hAnsi="arial" w:cs="arial"/>
          <w:color w:val="000000"/>
          <w:sz w:val="20"/>
          <w:lang w:val="en-US" w:eastAsia="en-US" w:bidi="ar-SA"/>
        </w:rPr>
        <w:t>  It is submitted this claim must also fail.</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8. The VSE enrollment form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349</w:t>
      </w:r>
      <w:r>
        <w:rPr>
          <w:rFonts w:ascii="arial" w:eastAsia="arial" w:hAnsi="arial" w:cs="arial"/>
          <w:color w:val="000000"/>
          <w:sz w:val="20"/>
          <w:lang w:val="en-US" w:eastAsia="en-US" w:bidi="ar-SA"/>
        </w:rPr>
        <w:t>  BCLC submits that the enrollment form is nothing more than that -an enrollment form and not a contract - and does not contain any offer by BCLC nor any contact promise by BCLC.</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350</w:t>
      </w:r>
      <w:r>
        <w:rPr>
          <w:rFonts w:ascii="arial" w:eastAsia="arial" w:hAnsi="arial" w:cs="arial"/>
          <w:color w:val="000000"/>
          <w:sz w:val="20"/>
          <w:lang w:val="en-US" w:eastAsia="en-US" w:bidi="ar-SA"/>
        </w:rPr>
        <w:t>  BCLC submits there is no mutual exchange of acts or promises between it and the plaintiff and there are no contractual obligations imposed on BCLC.</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351</w:t>
      </w:r>
      <w:r>
        <w:rPr>
          <w:rFonts w:ascii="arial" w:eastAsia="arial" w:hAnsi="arial" w:cs="arial"/>
          <w:color w:val="000000"/>
          <w:sz w:val="20"/>
          <w:lang w:val="en-US" w:eastAsia="en-US" w:bidi="ar-SA"/>
        </w:rPr>
        <w:t xml:space="preserve">  It is submitted the prohibition in para. 4 of the form as per s. 92(b) of the </w:t>
      </w:r>
      <w:r>
        <w:rPr>
          <w:rFonts w:ascii="arial" w:eastAsia="arial" w:hAnsi="arial" w:cs="arial"/>
          <w:i/>
          <w:color w:val="000000"/>
          <w:sz w:val="20"/>
          <w:lang w:val="en-US" w:eastAsia="en-US" w:bidi="ar-SA"/>
        </w:rPr>
        <w:t>Act</w:t>
      </w:r>
      <w:r>
        <w:rPr>
          <w:rFonts w:ascii="arial" w:eastAsia="arial" w:hAnsi="arial" w:cs="arial"/>
          <w:color w:val="000000"/>
          <w:sz w:val="20"/>
          <w:lang w:val="en-US" w:eastAsia="en-US" w:bidi="ar-SA"/>
        </w:rPr>
        <w:t xml:space="preserve"> is a statutory prohibition and not a contractual prohibition imposed by BCLC and performance of an existing duty is no consideration in law (</w:t>
      </w:r>
      <w:r>
        <w:rPr>
          <w:rFonts w:ascii="arial" w:eastAsia="arial" w:hAnsi="arial" w:cs="arial"/>
          <w:i/>
          <w:color w:val="000000"/>
          <w:sz w:val="20"/>
          <w:lang w:val="en-US" w:eastAsia="en-US" w:bidi="ar-SA"/>
        </w:rPr>
        <w:t>Rahemtulla v. Vanfed Credit Union</w:t>
      </w:r>
      <w:r>
        <w:rPr>
          <w:rFonts w:ascii="arial" w:eastAsia="arial" w:hAnsi="arial" w:cs="arial"/>
          <w:color w:val="000000"/>
          <w:sz w:val="20"/>
          <w:lang w:val="en-US" w:eastAsia="en-US" w:bidi="ar-SA"/>
        </w:rPr>
        <w:t xml:space="preserve">, </w:t>
      </w:r>
      <w:hyperlink r:id="rId167" w:history="1">
        <w:r>
          <w:rPr>
            <w:rFonts w:ascii="arial" w:eastAsia="arial" w:hAnsi="arial" w:cs="arial"/>
            <w:i/>
            <w:color w:val="0077CC"/>
            <w:sz w:val="20"/>
            <w:u w:val="single"/>
            <w:shd w:val="clear" w:color="auto" w:fill="FFFFFF"/>
            <w:lang w:val="en-US" w:eastAsia="en-US" w:bidi="ar-SA"/>
          </w:rPr>
          <w:t>[1984] 51 B.C.L.R. 200</w:t>
        </w:r>
      </w:hyperlink>
      <w:r>
        <w:rPr>
          <w:rFonts w:ascii="arial" w:eastAsia="arial" w:hAnsi="arial" w:cs="arial"/>
          <w:color w:val="000000"/>
          <w:sz w:val="20"/>
          <w:lang w:val="en-US" w:eastAsia="en-US" w:bidi="ar-SA"/>
        </w:rPr>
        <w:t xml:space="preserve"> at 207-8.</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352</w:t>
      </w:r>
      <w:r>
        <w:rPr>
          <w:rFonts w:ascii="arial" w:eastAsia="arial" w:hAnsi="arial" w:cs="arial"/>
          <w:color w:val="000000"/>
          <w:sz w:val="20"/>
          <w:lang w:val="en-US" w:eastAsia="en-US" w:bidi="ar-SA"/>
        </w:rPr>
        <w:t xml:space="preserve">  BCLC submits that the obligation to provide a self-exclusion program and to have policies and practices in place to monitor premises for self-excluded persons, with appropriate security procedures designed to reduce the ability of excluded persons to re-enter, flows from the Responsible Gambling Standards established by the general manager of GPEB under s. 27(2)(d) of the </w:t>
      </w:r>
      <w:r>
        <w:rPr>
          <w:rFonts w:ascii="arial" w:eastAsia="arial" w:hAnsi="arial" w:cs="arial"/>
          <w:i/>
          <w:color w:val="000000"/>
          <w:sz w:val="20"/>
          <w:lang w:val="en-US" w:eastAsia="en-US" w:bidi="ar-SA"/>
        </w:rPr>
        <w:t>Act</w:t>
      </w:r>
      <w:r>
        <w:rPr>
          <w:rFonts w:ascii="arial" w:eastAsia="arial" w:hAnsi="arial" w:cs="arial"/>
          <w:color w:val="000000"/>
          <w:sz w:val="20"/>
          <w:lang w:val="en-US" w:eastAsia="en-US" w:bidi="ar-SA"/>
        </w:rPr>
        <w:t xml:space="preserve"> and s. 6.1 and 6.3 of those Standards.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353</w:t>
      </w:r>
      <w:r>
        <w:rPr>
          <w:rFonts w:ascii="arial" w:eastAsia="arial" w:hAnsi="arial" w:cs="arial"/>
          <w:color w:val="000000"/>
          <w:sz w:val="20"/>
          <w:lang w:val="en-US" w:eastAsia="en-US" w:bidi="ar-SA"/>
        </w:rPr>
        <w:t>  Finally, BCLC relies upon the fact that para. 5 of the form disclaims any liability of BCLC and its gaming service providers and submits that this provision confirms BCLC has assumed no enforceable contractual obligations under the form.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354</w:t>
      </w:r>
      <w:r>
        <w:rPr>
          <w:rFonts w:ascii="arial" w:eastAsia="arial" w:hAnsi="arial" w:cs="arial"/>
          <w:color w:val="000000"/>
          <w:sz w:val="20"/>
          <w:lang w:val="en-US" w:eastAsia="en-US" w:bidi="ar-SA"/>
        </w:rPr>
        <w:t xml:space="preserve">  BCLC submits the language of para. 5 is clear and unambiguous. There is no ambiguity and no relevance to the doctrine of </w:t>
      </w:r>
      <w:r>
        <w:rPr>
          <w:rFonts w:ascii="arial" w:eastAsia="arial" w:hAnsi="arial" w:cs="arial"/>
          <w:i/>
          <w:color w:val="000000"/>
          <w:sz w:val="20"/>
          <w:lang w:val="en-US" w:eastAsia="en-US" w:bidi="ar-SA"/>
        </w:rPr>
        <w:t>contra proferentem.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355</w:t>
      </w:r>
      <w:r>
        <w:rPr>
          <w:rFonts w:ascii="arial" w:eastAsia="arial" w:hAnsi="arial" w:cs="arial"/>
          <w:color w:val="000000"/>
          <w:sz w:val="20"/>
          <w:lang w:val="en-US" w:eastAsia="en-US" w:bidi="ar-SA"/>
        </w:rPr>
        <w:t>  It is submitted the plaintiff has not identified any public policy issue to be considered. Any allegation that there was an unequal bargaining power at issue in the enrollment procedure it is submitted is unsustainable.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356</w:t>
      </w:r>
      <w:r>
        <w:rPr>
          <w:rFonts w:ascii="arial" w:eastAsia="arial" w:hAnsi="arial" w:cs="arial"/>
          <w:color w:val="000000"/>
          <w:sz w:val="20"/>
          <w:lang w:val="en-US" w:eastAsia="en-US" w:bidi="ar-SA"/>
        </w:rPr>
        <w:t>  BCLC says it only offered the plaintiff assistance in achieving internal control of her gambling problem and para. 5 is included in the form to actually support public policy because it underscores the notion of personal responsibility of the plaintiff by emphasizing that enrollment does not transfer responsibility to BCLC or its service providers but leaves it to the plaintiff enrolling to continue to take on personal responsibility.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V. GATEWAY SUBMISSIONS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1. Unjust enrichment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357</w:t>
      </w:r>
      <w:r>
        <w:rPr>
          <w:rFonts w:ascii="arial" w:eastAsia="arial" w:hAnsi="arial" w:cs="arial"/>
          <w:color w:val="000000"/>
          <w:sz w:val="20"/>
          <w:lang w:val="en-US" w:eastAsia="en-US" w:bidi="ar-SA"/>
        </w:rPr>
        <w:t>  Gateway also concedes that the defendants were enriched and the plaintiff deprived of her lost wagers during her self-exclusion period.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358</w:t>
      </w:r>
      <w:r>
        <w:rPr>
          <w:rFonts w:ascii="arial" w:eastAsia="arial" w:hAnsi="arial" w:cs="arial"/>
          <w:color w:val="000000"/>
          <w:sz w:val="20"/>
          <w:lang w:val="en-US" w:eastAsia="en-US" w:bidi="ar-SA"/>
        </w:rPr>
        <w:t>  It focuses its submissions as well on the third requirement of no juristic reason for the enrichment.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359</w:t>
      </w:r>
      <w:r>
        <w:rPr>
          <w:rFonts w:ascii="arial" w:eastAsia="arial" w:hAnsi="arial" w:cs="arial"/>
          <w:color w:val="000000"/>
          <w:sz w:val="20"/>
          <w:lang w:val="en-US" w:eastAsia="en-US" w:bidi="ar-SA"/>
        </w:rPr>
        <w:t>  It relies on the established category of contract to provide this juristic reason, referring to the waiver/release in the VSE enrollment form that the plaintiff signed in 2007 as being a contractual barrier to her claims for recovery of her wagers.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360</w:t>
      </w:r>
      <w:r>
        <w:rPr>
          <w:rFonts w:ascii="arial" w:eastAsia="arial" w:hAnsi="arial" w:cs="arial"/>
          <w:color w:val="000000"/>
          <w:sz w:val="20"/>
          <w:lang w:val="en-US" w:eastAsia="en-US" w:bidi="ar-SA"/>
        </w:rPr>
        <w:t>  It also relies on the equitable principle that she should not be allowed to rely on her illegal act of breaching her self-exclusion obligation to not enter BC gaming facilities, to support a claim for recovery of her wagers which she lost during her breach.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361</w:t>
      </w:r>
      <w:r>
        <w:rPr>
          <w:rFonts w:ascii="arial" w:eastAsia="arial" w:hAnsi="arial" w:cs="arial"/>
          <w:color w:val="000000"/>
          <w:sz w:val="20"/>
          <w:lang w:val="en-US" w:eastAsia="en-US" w:bidi="ar-SA"/>
        </w:rPr>
        <w:t>  Gateway submits it had no knowledge the plaintiff was breaching her self-exclusion obligation and as a consequence cannot be considered as compliant in this breach by being enriched with any notice of her breach.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362</w:t>
      </w:r>
      <w:r>
        <w:rPr>
          <w:rFonts w:ascii="arial" w:eastAsia="arial" w:hAnsi="arial" w:cs="arial"/>
          <w:color w:val="000000"/>
          <w:sz w:val="20"/>
          <w:lang w:val="en-US" w:eastAsia="en-US" w:bidi="ar-SA"/>
        </w:rPr>
        <w:t>  It submits that as it is innocent of any such knowledge on equitable principles it should be able to retain the plaintiff's wagers.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363</w:t>
      </w:r>
      <w:r>
        <w:rPr>
          <w:rFonts w:ascii="arial" w:eastAsia="arial" w:hAnsi="arial" w:cs="arial"/>
          <w:color w:val="000000"/>
          <w:sz w:val="20"/>
          <w:lang w:val="en-US" w:eastAsia="en-US" w:bidi="ar-SA"/>
        </w:rPr>
        <w:t>  Finally, Gateway also submits that the entire regulatory scheme for gambling in BC supports the retention of these wagers and like BCLC submits that to allow the plaintiff to recover these wagers would bring about indeterminate liability and frustrate the purposes of the VSE program, which is to support self-exclusion participants in their own efforts to reduce or avoid their urge to gamble.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 xml:space="preserve">2. </w:t>
      </w:r>
      <w:r>
        <w:rPr>
          <w:rFonts w:ascii="arial" w:eastAsia="arial" w:hAnsi="arial" w:cs="arial"/>
          <w:b/>
          <w:i/>
          <w:color w:val="000000"/>
          <w:sz w:val="20"/>
          <w:u w:val="single"/>
          <w:lang w:val="en-US" w:eastAsia="en-US" w:bidi="ar-SA"/>
        </w:rPr>
        <w:t>Negligence</w:t>
      </w:r>
    </w:p>
    <w:p>
      <w:pPr>
        <w:spacing w:before="120"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3. Duty of care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364</w:t>
      </w:r>
      <w:r>
        <w:rPr>
          <w:rFonts w:ascii="arial" w:eastAsia="arial" w:hAnsi="arial" w:cs="arial"/>
          <w:color w:val="000000"/>
          <w:sz w:val="20"/>
          <w:lang w:val="en-US" w:eastAsia="en-US" w:bidi="ar-SA"/>
        </w:rPr>
        <w:t>  Gateway submits it did not owe the plaintiff any duties of care to prevent her from gambling at Cascades Casino during her period of enrollment in the VSE program.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365</w:t>
      </w:r>
      <w:r>
        <w:rPr>
          <w:rFonts w:ascii="arial" w:eastAsia="arial" w:hAnsi="arial" w:cs="arial"/>
          <w:color w:val="000000"/>
          <w:sz w:val="20"/>
          <w:lang w:val="en-US" w:eastAsia="en-US" w:bidi="ar-SA"/>
        </w:rPr>
        <w:t>  Gateway submits the COSA between itself and BCLC specifically denies to any third party any rights under the agreement.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366</w:t>
      </w:r>
      <w:r>
        <w:rPr>
          <w:rFonts w:ascii="arial" w:eastAsia="arial" w:hAnsi="arial" w:cs="arial"/>
          <w:color w:val="000000"/>
          <w:sz w:val="20"/>
          <w:lang w:val="en-US" w:eastAsia="en-US" w:bidi="ar-SA"/>
        </w:rPr>
        <w:t>  The plaintiff not being privy to that agreement nor intended to be a beneficiary of any duties set out in the agreement, it is submitted she is not entitled to rely on it to support any claim of a breach of duty by Gateway to her.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367</w:t>
      </w:r>
      <w:r>
        <w:rPr>
          <w:rFonts w:ascii="arial" w:eastAsia="arial" w:hAnsi="arial" w:cs="arial"/>
          <w:color w:val="000000"/>
          <w:sz w:val="20"/>
          <w:lang w:val="en-US" w:eastAsia="en-US" w:bidi="ar-SA"/>
        </w:rPr>
        <w:t xml:space="preserve">  Gateway submits that the provisions of s. 92, 93, 97 and 98 of the </w:t>
      </w:r>
      <w:r>
        <w:rPr>
          <w:rFonts w:ascii="arial" w:eastAsia="arial" w:hAnsi="arial" w:cs="arial"/>
          <w:i/>
          <w:color w:val="000000"/>
          <w:sz w:val="20"/>
          <w:lang w:val="en-US" w:eastAsia="en-US" w:bidi="ar-SA"/>
        </w:rPr>
        <w:t>Act</w:t>
      </w:r>
      <w:r>
        <w:rPr>
          <w:rFonts w:ascii="arial" w:eastAsia="arial" w:hAnsi="arial" w:cs="arial"/>
          <w:color w:val="000000"/>
          <w:sz w:val="20"/>
          <w:lang w:val="en-US" w:eastAsia="en-US" w:bidi="ar-SA"/>
        </w:rPr>
        <w:t xml:space="preserve"> prohibited the plaintiff from entering or remaining in Cascades during the period of her self-exclusion and made it an offence for her to do so, and consequently do not support any cause of action for her by statute.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368</w:t>
      </w:r>
      <w:r>
        <w:rPr>
          <w:rFonts w:ascii="arial" w:eastAsia="arial" w:hAnsi="arial" w:cs="arial"/>
          <w:color w:val="000000"/>
          <w:sz w:val="20"/>
          <w:lang w:val="en-US" w:eastAsia="en-US" w:bidi="ar-SA"/>
        </w:rPr>
        <w:t>  Gateway further submits that because nothing in these sections confers on VSE participants any cause of action against BCLC or any service provider, either expressly or impliedly, it must mean that no private law duty of care to the plaintiff exists, because statutory provisions that prohibit conduct of a party cannot sensibly co-exist with a duty of care to reward the party for their prohibited conduct.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369</w:t>
      </w:r>
      <w:r>
        <w:rPr>
          <w:rFonts w:ascii="arial" w:eastAsia="arial" w:hAnsi="arial" w:cs="arial"/>
          <w:color w:val="000000"/>
          <w:sz w:val="20"/>
          <w:lang w:val="en-US" w:eastAsia="en-US" w:bidi="ar-SA"/>
        </w:rPr>
        <w:t>  Gateway also points out that the GPEB Responsible Gambling Standards only requires BCLC and all gaming service providers to provide VSE programs and "ensure policies and practices are in place to monitor premises for self-excluded customers and appropriate security procedures are designed to reduce the ability of excluded players to re-enter the venue", rather than to prevent excluded players from re-entering.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370</w:t>
      </w:r>
      <w:r>
        <w:rPr>
          <w:rFonts w:ascii="arial" w:eastAsia="arial" w:hAnsi="arial" w:cs="arial"/>
          <w:color w:val="000000"/>
          <w:sz w:val="20"/>
          <w:lang w:val="en-US" w:eastAsia="en-US" w:bidi="ar-SA"/>
        </w:rPr>
        <w:t>  It argues that GPEB's conditions of registration for gaming service providers that requires the providers to "obey the standard operating procedures...that are established by the general manager or the lottery corporation" does not grant VSE participants a cause of action for any breach by a gaming service provider of its obligations.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371</w:t>
      </w:r>
      <w:r>
        <w:rPr>
          <w:rFonts w:ascii="arial" w:eastAsia="arial" w:hAnsi="arial" w:cs="arial"/>
          <w:color w:val="000000"/>
          <w:sz w:val="20"/>
          <w:lang w:val="en-US" w:eastAsia="en-US" w:bidi="ar-SA"/>
        </w:rPr>
        <w:t>  Gateway submits that none of the elements in the regulatory structure for VSE participants supports a cause of action for any breach by a gaming service provider of its obligations to comply with the standards and procedures set out by GPEB and BCLC.</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372</w:t>
      </w:r>
      <w:r>
        <w:rPr>
          <w:rFonts w:ascii="arial" w:eastAsia="arial" w:hAnsi="arial" w:cs="arial"/>
          <w:color w:val="000000"/>
          <w:sz w:val="20"/>
          <w:lang w:val="en-US" w:eastAsia="en-US" w:bidi="ar-SA"/>
        </w:rPr>
        <w:t xml:space="preserve">  Further, it is argued that no private law duty of care to the plaintiff should be implied from the statutory and regulatory framework applicable to gaming, because breach of a statute is not by itself a tort. (See </w:t>
      </w:r>
      <w:r>
        <w:rPr>
          <w:rFonts w:ascii="arial" w:eastAsia="arial" w:hAnsi="arial" w:cs="arial"/>
          <w:i/>
          <w:color w:val="000000"/>
          <w:sz w:val="20"/>
          <w:lang w:val="en-US" w:eastAsia="en-US" w:bidi="ar-SA"/>
        </w:rPr>
        <w:t>Canada v. Saskatchewan Wheat Pool</w:t>
      </w:r>
      <w:r>
        <w:rPr>
          <w:rFonts w:ascii="arial" w:eastAsia="arial" w:hAnsi="arial" w:cs="arial"/>
          <w:color w:val="000000"/>
          <w:sz w:val="20"/>
          <w:lang w:val="en-US" w:eastAsia="en-US" w:bidi="ar-SA"/>
        </w:rPr>
        <w:t xml:space="preserve">, </w:t>
      </w:r>
      <w:hyperlink r:id="rId33" w:history="1">
        <w:r>
          <w:rPr>
            <w:rFonts w:ascii="arial" w:eastAsia="arial" w:hAnsi="arial" w:cs="arial"/>
            <w:i/>
            <w:color w:val="0077CC"/>
            <w:sz w:val="20"/>
            <w:u w:val="single"/>
            <w:shd w:val="clear" w:color="auto" w:fill="FFFFFF"/>
            <w:lang w:val="en-US" w:eastAsia="en-US" w:bidi="ar-SA"/>
          </w:rPr>
          <w:t>[1983] 1 S.C.R. 205</w:t>
        </w:r>
      </w:hyperlink>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373</w:t>
      </w:r>
      <w:r>
        <w:rPr>
          <w:rFonts w:ascii="arial" w:eastAsia="arial" w:hAnsi="arial" w:cs="arial"/>
          <w:color w:val="000000"/>
          <w:sz w:val="20"/>
          <w:lang w:val="en-US" w:eastAsia="en-US" w:bidi="ar-SA"/>
        </w:rPr>
        <w:t xml:space="preserve">  Reliance is also placed on the decision in </w:t>
      </w:r>
      <w:r>
        <w:rPr>
          <w:rFonts w:ascii="arial" w:eastAsia="arial" w:hAnsi="arial" w:cs="arial"/>
          <w:i/>
          <w:color w:val="000000"/>
          <w:sz w:val="20"/>
          <w:lang w:val="en-US" w:eastAsia="en-US" w:bidi="ar-SA"/>
        </w:rPr>
        <w:t>Burrell v. Metropolitan Entertainment Group</w:t>
      </w:r>
      <w:r>
        <w:rPr>
          <w:rFonts w:ascii="arial" w:eastAsia="arial" w:hAnsi="arial" w:cs="arial"/>
          <w:color w:val="000000"/>
          <w:sz w:val="20"/>
          <w:lang w:val="en-US" w:eastAsia="en-US" w:bidi="ar-SA"/>
        </w:rPr>
        <w:t xml:space="preserve">, </w:t>
      </w:r>
      <w:hyperlink r:id="rId168" w:history="1">
        <w:r>
          <w:rPr>
            <w:rFonts w:ascii="arial" w:eastAsia="arial" w:hAnsi="arial" w:cs="arial"/>
            <w:i/>
            <w:color w:val="0077CC"/>
            <w:sz w:val="20"/>
            <w:u w:val="single"/>
            <w:shd w:val="clear" w:color="auto" w:fill="FFFFFF"/>
            <w:lang w:val="en-US" w:eastAsia="en-US" w:bidi="ar-SA"/>
          </w:rPr>
          <w:t>2011 NSCA 108</w:t>
        </w:r>
      </w:hyperlink>
      <w:r>
        <w:rPr>
          <w:rFonts w:ascii="arial" w:eastAsia="arial" w:hAnsi="arial" w:cs="arial"/>
          <w:color w:val="000000"/>
          <w:sz w:val="20"/>
          <w:lang w:val="en-US" w:eastAsia="en-US" w:bidi="ar-SA"/>
        </w:rPr>
        <w:t xml:space="preserve"> where the Court found no duty of care owed to Mr. Burrell to exist under the statute and regulation dealing with gambling, for losses he suffered before he signed up for the VSE program.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374</w:t>
      </w:r>
      <w:r>
        <w:rPr>
          <w:rFonts w:ascii="arial" w:eastAsia="arial" w:hAnsi="arial" w:cs="arial"/>
          <w:color w:val="000000"/>
          <w:sz w:val="20"/>
          <w:lang w:val="en-US" w:eastAsia="en-US" w:bidi="ar-SA"/>
        </w:rPr>
        <w:t xml:space="preserve">  On the issue of any common law duty of care, Gateway starts by also citing </w:t>
      </w:r>
      <w:r>
        <w:rPr>
          <w:rFonts w:ascii="arial" w:eastAsia="arial" w:hAnsi="arial" w:cs="arial"/>
          <w:i/>
          <w:color w:val="000000"/>
          <w:sz w:val="20"/>
          <w:lang w:val="en-US" w:eastAsia="en-US" w:bidi="ar-SA"/>
        </w:rPr>
        <w:t>Childs v. Desormeaux</w:t>
      </w:r>
      <w:r>
        <w:rPr>
          <w:rFonts w:ascii="arial" w:eastAsia="arial" w:hAnsi="arial" w:cs="arial"/>
          <w:color w:val="000000"/>
          <w:sz w:val="20"/>
          <w:lang w:val="en-US" w:eastAsia="en-US" w:bidi="ar-SA"/>
        </w:rPr>
        <w:t xml:space="preserve"> for the description of the two-stage test proposed by </w:t>
      </w:r>
      <w:r>
        <w:rPr>
          <w:rFonts w:ascii="arial" w:eastAsia="arial" w:hAnsi="arial" w:cs="arial"/>
          <w:i/>
          <w:color w:val="000000"/>
          <w:sz w:val="20"/>
          <w:lang w:val="en-US" w:eastAsia="en-US" w:bidi="ar-SA"/>
        </w:rPr>
        <w:t>Anns v. Merton London Borough Council</w:t>
      </w:r>
      <w:r>
        <w:rPr>
          <w:rFonts w:ascii="arial" w:eastAsia="arial" w:hAnsi="arial" w:cs="arial"/>
          <w:color w:val="000000"/>
          <w:sz w:val="20"/>
          <w:lang w:val="en-US" w:eastAsia="en-US" w:bidi="ar-SA"/>
        </w:rPr>
        <w:t xml:space="preserve">, [1978] A.C. 728 - is there sufficient proximity and foreseeability of harm to give rise to a </w:t>
      </w:r>
      <w:r>
        <w:rPr>
          <w:rFonts w:ascii="arial" w:eastAsia="arial" w:hAnsi="arial" w:cs="arial"/>
          <w:i/>
          <w:color w:val="000000"/>
          <w:sz w:val="20"/>
          <w:lang w:val="en-US" w:eastAsia="en-US" w:bidi="ar-SA"/>
        </w:rPr>
        <w:t>prima facie</w:t>
      </w:r>
      <w:r>
        <w:rPr>
          <w:rFonts w:ascii="arial" w:eastAsia="arial" w:hAnsi="arial" w:cs="arial"/>
          <w:color w:val="000000"/>
          <w:sz w:val="20"/>
          <w:lang w:val="en-US" w:eastAsia="en-US" w:bidi="ar-SA"/>
        </w:rPr>
        <w:t xml:space="preserve"> duty, and, if so, are there policy reasons to deny or limit that duty of care?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375</w:t>
      </w:r>
      <w:r>
        <w:rPr>
          <w:rFonts w:ascii="arial" w:eastAsia="arial" w:hAnsi="arial" w:cs="arial"/>
          <w:color w:val="000000"/>
          <w:sz w:val="20"/>
          <w:lang w:val="en-US" w:eastAsia="en-US" w:bidi="ar-SA"/>
        </w:rPr>
        <w:t>  It is submitted that Canadian courts have concluded casinos do not owe a duty of care to problem gamblers as a class, and several of the policy reasons that led to the courts to deny this broad duty to all problem gamblers include the promotion of individual autonomy, the need to respect the risk allocation agreed between the parties (waivers),and the need to discourage problem gamblers from continuing to gamble, which all should militate against recognizing any narrow duty of care to VSE participants.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376</w:t>
      </w:r>
      <w:r>
        <w:rPr>
          <w:rFonts w:ascii="arial" w:eastAsia="arial" w:hAnsi="arial" w:cs="arial"/>
          <w:color w:val="000000"/>
          <w:sz w:val="20"/>
          <w:lang w:val="en-US" w:eastAsia="en-US" w:bidi="ar-SA"/>
        </w:rPr>
        <w:t>  Gateway submits another policy reason to reject any narrow duty of care to VSE participants is that any such duty would undermine the therapeutic purpose of the VSE programs and impose indeterminate liability on casinos.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377</w:t>
      </w:r>
      <w:r>
        <w:rPr>
          <w:rFonts w:ascii="arial" w:eastAsia="arial" w:hAnsi="arial" w:cs="arial"/>
          <w:color w:val="000000"/>
          <w:sz w:val="20"/>
          <w:lang w:val="en-US" w:eastAsia="en-US" w:bidi="ar-SA"/>
        </w:rPr>
        <w:t xml:space="preserve">  Gateway submits the decision cited by the plaintiff of </w:t>
      </w:r>
      <w:r>
        <w:rPr>
          <w:rFonts w:ascii="arial" w:eastAsia="arial" w:hAnsi="arial" w:cs="arial"/>
          <w:i/>
          <w:color w:val="000000"/>
          <w:sz w:val="20"/>
          <w:lang w:val="en-US" w:eastAsia="en-US" w:bidi="ar-SA"/>
        </w:rPr>
        <w:t>Calvert v. William Hill Credit Ltd.</w:t>
      </w:r>
      <w:r>
        <w:rPr>
          <w:rFonts w:ascii="arial" w:eastAsia="arial" w:hAnsi="arial" w:cs="arial"/>
          <w:color w:val="000000"/>
          <w:sz w:val="20"/>
          <w:lang w:val="en-US" w:eastAsia="en-US" w:bidi="ar-SA"/>
        </w:rPr>
        <w:t>, which found a duty of care owed to a severe pathological gambler for reasons not relevant to this case, is still helpful to its defence for a number of reasons.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378</w:t>
      </w:r>
      <w:r>
        <w:rPr>
          <w:rFonts w:ascii="arial" w:eastAsia="arial" w:hAnsi="arial" w:cs="arial"/>
          <w:color w:val="000000"/>
          <w:sz w:val="20"/>
          <w:lang w:val="en-US" w:eastAsia="en-US" w:bidi="ar-SA"/>
        </w:rPr>
        <w:t>  Firstly, it is submitted the Court rejected any broad duty of care to problem gamblers as a class. The Court said the defendant's social responsibility policy and procedures were designed to operate in such a way that any gambler offered self-exclusion would be required to acknowledge by his signature an express disclaimer of legal liability to the casino for the consequences of any gambling while excluded.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379</w:t>
      </w:r>
      <w:r>
        <w:rPr>
          <w:rFonts w:ascii="arial" w:eastAsia="arial" w:hAnsi="arial" w:cs="arial"/>
          <w:color w:val="000000"/>
          <w:sz w:val="20"/>
          <w:lang w:val="en-US" w:eastAsia="en-US" w:bidi="ar-SA"/>
        </w:rPr>
        <w:t xml:space="preserve">  The Court applied </w:t>
      </w:r>
      <w:r>
        <w:rPr>
          <w:rFonts w:ascii="arial" w:eastAsia="arial" w:hAnsi="arial" w:cs="arial"/>
          <w:i/>
          <w:color w:val="000000"/>
          <w:sz w:val="20"/>
          <w:lang w:val="en-US" w:eastAsia="en-US" w:bidi="ar-SA"/>
        </w:rPr>
        <w:t>Hedley Byrne &amp; Co. Ltd. v. Heller &amp; Partners Ltd.,</w:t>
      </w:r>
      <w:r>
        <w:rPr>
          <w:rFonts w:ascii="arial" w:eastAsia="arial" w:hAnsi="arial" w:cs="arial"/>
          <w:color w:val="000000"/>
          <w:sz w:val="20"/>
          <w:lang w:val="en-US" w:eastAsia="en-US" w:bidi="ar-SA"/>
        </w:rPr>
        <w:t xml:space="preserve"> [1964] AC 465, where it was determined that a person asked to do something may decline all together, or agree to do it with a disclaimer of responsibility for the consequences, or do it without qualifications.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380</w:t>
      </w:r>
      <w:r>
        <w:rPr>
          <w:rFonts w:ascii="arial" w:eastAsia="arial" w:hAnsi="arial" w:cs="arial"/>
          <w:color w:val="000000"/>
          <w:sz w:val="20"/>
          <w:lang w:val="en-US" w:eastAsia="en-US" w:bidi="ar-SA"/>
        </w:rPr>
        <w:t xml:space="preserve">  The Court in </w:t>
      </w:r>
      <w:r>
        <w:rPr>
          <w:rFonts w:ascii="arial" w:eastAsia="arial" w:hAnsi="arial" w:cs="arial"/>
          <w:i/>
          <w:color w:val="000000"/>
          <w:sz w:val="20"/>
          <w:lang w:val="en-US" w:eastAsia="en-US" w:bidi="ar-SA"/>
        </w:rPr>
        <w:t>Calvert</w:t>
      </w:r>
      <w:r>
        <w:rPr>
          <w:rFonts w:ascii="arial" w:eastAsia="arial" w:hAnsi="arial" w:cs="arial"/>
          <w:color w:val="000000"/>
          <w:sz w:val="20"/>
          <w:lang w:val="en-US" w:eastAsia="en-US" w:bidi="ar-SA"/>
        </w:rPr>
        <w:t xml:space="preserve"> found that the defendant had chosen the second alternative to do it with a disclaimer of responsibility.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381</w:t>
      </w:r>
      <w:r>
        <w:rPr>
          <w:rFonts w:ascii="arial" w:eastAsia="arial" w:hAnsi="arial" w:cs="arial"/>
          <w:color w:val="000000"/>
          <w:sz w:val="20"/>
          <w:lang w:val="en-US" w:eastAsia="en-US" w:bidi="ar-SA"/>
        </w:rPr>
        <w:t>  The Court also found it to be an invasion of the autonomy of the claimant to impose a broad duty of care on the defendant in relation to an activity for which he was primarily responsible for the consequences.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382</w:t>
      </w:r>
      <w:r>
        <w:rPr>
          <w:rFonts w:ascii="arial" w:eastAsia="arial" w:hAnsi="arial" w:cs="arial"/>
          <w:color w:val="000000"/>
          <w:sz w:val="20"/>
          <w:lang w:val="en-US" w:eastAsia="en-US" w:bidi="ar-SA"/>
        </w:rPr>
        <w:t>  Finally, the Court said that imposing a broad duty of care would leave the plaintiff to freely take home his profits and also recover from the defendant all his losses.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383</w:t>
      </w:r>
      <w:r>
        <w:rPr>
          <w:rFonts w:ascii="arial" w:eastAsia="arial" w:hAnsi="arial" w:cs="arial"/>
          <w:color w:val="000000"/>
          <w:sz w:val="20"/>
          <w:lang w:val="en-US" w:eastAsia="en-US" w:bidi="ar-SA"/>
        </w:rPr>
        <w:t>  Gateway submits that these three reasons apply equally to the plaintiff here. She signed the VSE enrollment form and acknowledged by her signature an express disclaimer of legal liability of BCLC and any of its service providers for any breach of her self-exclusion or for any failure on their part to enforce the self-exclusion. Any broad duty on service providers to approach her to determine if she needed help would be a violation of her autonomy, and imposing a duty of care to her here when she did not rely on any assistance by the defendants to control her losses after self-excluding would leave her to retain her winnings and be able to sue to recover her losses.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384</w:t>
      </w:r>
      <w:r>
        <w:rPr>
          <w:rFonts w:ascii="arial" w:eastAsia="arial" w:hAnsi="arial" w:cs="arial"/>
          <w:color w:val="000000"/>
          <w:sz w:val="20"/>
          <w:lang w:val="en-US" w:eastAsia="en-US" w:bidi="ar-SA"/>
        </w:rPr>
        <w:t xml:space="preserve">  Gateway submits the decision in </w:t>
      </w:r>
      <w:r>
        <w:rPr>
          <w:rFonts w:ascii="arial" w:eastAsia="arial" w:hAnsi="arial" w:cs="arial"/>
          <w:i/>
          <w:color w:val="000000"/>
          <w:sz w:val="20"/>
          <w:lang w:val="en-US" w:eastAsia="en-US" w:bidi="ar-SA"/>
        </w:rPr>
        <w:t>Calvert</w:t>
      </w:r>
      <w:r>
        <w:rPr>
          <w:rFonts w:ascii="arial" w:eastAsia="arial" w:hAnsi="arial" w:cs="arial"/>
          <w:color w:val="000000"/>
          <w:sz w:val="20"/>
          <w:lang w:val="en-US" w:eastAsia="en-US" w:bidi="ar-SA"/>
        </w:rPr>
        <w:t xml:space="preserve"> to impose a duty of care was based on a particular finding there that the defendant employee had promised to the plaintiff that his account had been closed and he would not be permitted to gamble there for six months and that the employer would implement these requirements.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385</w:t>
      </w:r>
      <w:r>
        <w:rPr>
          <w:rFonts w:ascii="arial" w:eastAsia="arial" w:hAnsi="arial" w:cs="arial"/>
          <w:color w:val="000000"/>
          <w:sz w:val="20"/>
          <w:lang w:val="en-US" w:eastAsia="en-US" w:bidi="ar-SA"/>
        </w:rPr>
        <w:t>  It is submitted that these are not the facts in the case at bar.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386</w:t>
      </w:r>
      <w:r>
        <w:rPr>
          <w:rFonts w:ascii="arial" w:eastAsia="arial" w:hAnsi="arial" w:cs="arial"/>
          <w:color w:val="000000"/>
          <w:sz w:val="20"/>
          <w:lang w:val="en-US" w:eastAsia="en-US" w:bidi="ar-SA"/>
        </w:rPr>
        <w:t xml:space="preserve">  Gateway specifically relies on the decision in </w:t>
      </w:r>
      <w:r>
        <w:rPr>
          <w:rFonts w:ascii="arial" w:eastAsia="arial" w:hAnsi="arial" w:cs="arial"/>
          <w:i/>
          <w:color w:val="000000"/>
          <w:sz w:val="20"/>
          <w:lang w:val="en-US" w:eastAsia="en-US" w:bidi="ar-SA"/>
        </w:rPr>
        <w:t>Foroughi v. Star City Pty Limited,</w:t>
      </w:r>
      <w:r>
        <w:rPr>
          <w:rFonts w:ascii="arial" w:eastAsia="arial" w:hAnsi="arial" w:cs="arial"/>
          <w:color w:val="000000"/>
          <w:sz w:val="20"/>
          <w:lang w:val="en-US" w:eastAsia="en-US" w:bidi="ar-SA"/>
        </w:rPr>
        <w:t xml:space="preserve"> [2007] FCA 1503, an Australian Federal Court authority that denied a duty of care to a claimant in circumstances quite similar to the case at bar.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387</w:t>
      </w:r>
      <w:r>
        <w:rPr>
          <w:rFonts w:ascii="arial" w:eastAsia="arial" w:hAnsi="arial" w:cs="arial"/>
          <w:color w:val="000000"/>
          <w:sz w:val="20"/>
          <w:lang w:val="en-US" w:eastAsia="en-US" w:bidi="ar-SA"/>
        </w:rPr>
        <w:t>  Gateway submits that in that case the circumstances were closely on point with the facts in the present case as follows:</w:t>
      </w:r>
      <w:r>
        <w:rPr>
          <w:rFonts w:ascii="arial" w:eastAsia="arial" w:hAnsi="arial" w:cs="arial"/>
          <w:sz w:val="20"/>
          <w:lang w:val="en-US" w:eastAsia="en-US" w:bidi="ar-SA"/>
        </w:rPr>
        <w:cr/>
      </w:r>
    </w:p>
    <w:p>
      <w:pPr>
        <w:numPr>
          <w:numId w:val="6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systems of self-exclusion were similar, involving registration forms that invoked statutory bans and releases of any liability arising from the registrant's own breach.</w:t>
      </w:r>
    </w:p>
    <w:p>
      <w:pPr>
        <w:numPr>
          <w:numId w:val="6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exclusion application process was conducted in very similar terms, involving a verbal review of the terms of the form with the registrant.</w:t>
      </w:r>
    </w:p>
    <w:p>
      <w:pPr>
        <w:numPr>
          <w:numId w:val="6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plaintiffs in both cases had the capacity to choose how and when to gamble and both chose to test the system shortly after registering for self-exclusion. Having not been caught, they both chose to continue gambling.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388</w:t>
      </w:r>
      <w:r>
        <w:rPr>
          <w:rFonts w:ascii="arial" w:eastAsia="arial" w:hAnsi="arial" w:cs="arial"/>
          <w:color w:val="000000"/>
          <w:sz w:val="20"/>
          <w:lang w:val="en-US" w:eastAsia="en-US" w:bidi="ar-SA"/>
        </w:rPr>
        <w:t xml:space="preserve">  Gateway submits that on the strength of the reasoning in </w:t>
      </w:r>
      <w:r>
        <w:rPr>
          <w:rFonts w:ascii="arial" w:eastAsia="arial" w:hAnsi="arial" w:cs="arial"/>
          <w:i/>
          <w:color w:val="000000"/>
          <w:sz w:val="20"/>
          <w:lang w:val="en-US" w:eastAsia="en-US" w:bidi="ar-SA"/>
        </w:rPr>
        <w:t>Burrell, Calvert</w:t>
      </w:r>
      <w:r>
        <w:rPr>
          <w:rFonts w:ascii="arial" w:eastAsia="arial" w:hAnsi="arial" w:cs="arial"/>
          <w:color w:val="000000"/>
          <w:sz w:val="20"/>
          <w:lang w:val="en-US" w:eastAsia="en-US" w:bidi="ar-SA"/>
        </w:rPr>
        <w:t xml:space="preserve"> and </w:t>
      </w:r>
      <w:r>
        <w:rPr>
          <w:rFonts w:ascii="arial" w:eastAsia="arial" w:hAnsi="arial" w:cs="arial"/>
          <w:i/>
          <w:color w:val="000000"/>
          <w:sz w:val="20"/>
          <w:lang w:val="en-US" w:eastAsia="en-US" w:bidi="ar-SA"/>
        </w:rPr>
        <w:t>Foroughi</w:t>
      </w:r>
      <w:r>
        <w:rPr>
          <w:rFonts w:ascii="arial" w:eastAsia="arial" w:hAnsi="arial" w:cs="arial"/>
          <w:color w:val="000000"/>
          <w:sz w:val="20"/>
          <w:lang w:val="en-US" w:eastAsia="en-US" w:bidi="ar-SA"/>
        </w:rPr>
        <w:t>, the Court should find that Gateway did not owe any duty of care to the plaintiff.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389</w:t>
      </w:r>
      <w:r>
        <w:rPr>
          <w:rFonts w:ascii="arial" w:eastAsia="arial" w:hAnsi="arial" w:cs="arial"/>
          <w:color w:val="000000"/>
          <w:sz w:val="20"/>
          <w:lang w:val="en-US" w:eastAsia="en-US" w:bidi="ar-SA"/>
        </w:rPr>
        <w:t xml:space="preserve">  Alternatively, it submits that if the plaintiff is successful in proving a relationship of proximity and foreseeability between her and Gateway, there are many policy reasons at the second stage of </w:t>
      </w:r>
      <w:r>
        <w:rPr>
          <w:rFonts w:ascii="arial" w:eastAsia="arial" w:hAnsi="arial" w:cs="arial"/>
          <w:i/>
          <w:color w:val="000000"/>
          <w:sz w:val="20"/>
          <w:lang w:val="en-US" w:eastAsia="en-US" w:bidi="ar-SA"/>
        </w:rPr>
        <w:t>Anns</w:t>
      </w:r>
      <w:r>
        <w:rPr>
          <w:rFonts w:ascii="arial" w:eastAsia="arial" w:hAnsi="arial" w:cs="arial"/>
          <w:color w:val="000000"/>
          <w:sz w:val="20"/>
          <w:lang w:val="en-US" w:eastAsia="en-US" w:bidi="ar-SA"/>
        </w:rPr>
        <w:t xml:space="preserve"> to deny a duty of care to her, including the following policy reasons:</w:t>
      </w:r>
      <w:r>
        <w:rPr>
          <w:rFonts w:ascii="arial" w:eastAsia="arial" w:hAnsi="arial" w:cs="arial"/>
          <w:sz w:val="20"/>
          <w:lang w:val="en-US" w:eastAsia="en-US" w:bidi="ar-SA"/>
        </w:rPr>
        <w:cr/>
      </w:r>
    </w:p>
    <w:p>
      <w:pPr>
        <w:numPr>
          <w:numId w:val="6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individual autonomy of a VSE participant should be respected with its concomitant responsibilities, and a duty of care would shift the consequences from the VSE participant of their choice to continue to gamble, to the service provider.</w:t>
      </w:r>
    </w:p>
    <w:p>
      <w:pPr>
        <w:numPr>
          <w:numId w:val="6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No duty of care should be imposed to VSE participants who have precluded such a duty in their enrollment form.</w:t>
      </w:r>
    </w:p>
    <w:p>
      <w:pPr>
        <w:numPr>
          <w:numId w:val="6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 duty of care should not be imposed to VSE participants because the consequences would be that they would be able to keep their winnings before being caught but also be able to recover their losses when caught. It is submitted that this would encourage them to breach their VSE obligation, because there would be no downside to their continued gambling but only an upside in the form of gambling insurance.</w:t>
      </w:r>
    </w:p>
    <w:p>
      <w:pPr>
        <w:numPr>
          <w:numId w:val="6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Since any gambler can enter the VSE program whether or not they are problem gamblers, imposing such a duty of care would encourage every gambler to enter the program in order to obtain this gambling insurance and thereby create indeterminate liability.</w:t>
      </w:r>
    </w:p>
    <w:p>
      <w:pPr>
        <w:numPr>
          <w:numId w:val="6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Imposing a duty of care would harm the VSE persons who are in actual need of assistance by undermining the program's therapeutic effect which is based on a participant assuming personal responsibility to address their gambling issues and being motivated to do something about it.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390</w:t>
      </w:r>
      <w:r>
        <w:rPr>
          <w:rFonts w:ascii="arial" w:eastAsia="arial" w:hAnsi="arial" w:cs="arial"/>
          <w:color w:val="000000"/>
          <w:sz w:val="20"/>
          <w:lang w:val="en-US" w:eastAsia="en-US" w:bidi="ar-SA"/>
        </w:rPr>
        <w:t>  Gateway submits for all these reasons no duty of care to the plaintiff should be found.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4. Standard of care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391</w:t>
      </w:r>
      <w:r>
        <w:rPr>
          <w:rFonts w:ascii="arial" w:eastAsia="arial" w:hAnsi="arial" w:cs="arial"/>
          <w:color w:val="000000"/>
          <w:sz w:val="20"/>
          <w:lang w:val="en-US" w:eastAsia="en-US" w:bidi="ar-SA"/>
        </w:rPr>
        <w:t>  Alternatively, Gateway submits that if the Court should find that it owed the plaintiff a duty of care, it should also find that it met the necessary standard of care by taking reasonable steps through its surveillance and security departments to identify and remove self-excluded participants through visual surveillance in conjunction with BCLC's database of VSE participants.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392</w:t>
      </w:r>
      <w:r>
        <w:rPr>
          <w:rFonts w:ascii="arial" w:eastAsia="arial" w:hAnsi="arial" w:cs="arial"/>
          <w:color w:val="000000"/>
          <w:sz w:val="20"/>
          <w:lang w:val="en-US" w:eastAsia="en-US" w:bidi="ar-SA"/>
        </w:rPr>
        <w:t>  Gateway points out that it implemented the VSE program at its casino as required by GPEB and as designed by BCLC.</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393</w:t>
      </w:r>
      <w:r>
        <w:rPr>
          <w:rFonts w:ascii="arial" w:eastAsia="arial" w:hAnsi="arial" w:cs="arial"/>
          <w:color w:val="000000"/>
          <w:sz w:val="20"/>
          <w:lang w:val="en-US" w:eastAsia="en-US" w:bidi="ar-SA"/>
        </w:rPr>
        <w:t>  It submits that program met the standard of care equal to industry standards across North America and by implementing that program, Gateway met the required standard of care of a reasonably prudent casino operator.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394</w:t>
      </w:r>
      <w:r>
        <w:rPr>
          <w:rFonts w:ascii="arial" w:eastAsia="arial" w:hAnsi="arial" w:cs="arial"/>
          <w:color w:val="000000"/>
          <w:sz w:val="20"/>
          <w:lang w:val="en-US" w:eastAsia="en-US" w:bidi="ar-SA"/>
        </w:rPr>
        <w:t xml:space="preserve">  Gateway also cites again the decision of </w:t>
      </w:r>
      <w:r>
        <w:rPr>
          <w:rFonts w:ascii="arial" w:eastAsia="arial" w:hAnsi="arial" w:cs="arial"/>
          <w:i/>
          <w:color w:val="000000"/>
          <w:sz w:val="20"/>
          <w:lang w:val="en-US" w:eastAsia="en-US" w:bidi="ar-SA"/>
        </w:rPr>
        <w:t>Foroughi</w:t>
      </w:r>
      <w:r>
        <w:rPr>
          <w:rFonts w:ascii="arial" w:eastAsia="arial" w:hAnsi="arial" w:cs="arial"/>
          <w:color w:val="000000"/>
          <w:sz w:val="20"/>
          <w:lang w:val="en-US" w:eastAsia="en-US" w:bidi="ar-SA"/>
        </w:rPr>
        <w:t xml:space="preserve"> that approved a reasonable standard of care consisting of a computerized database of VSE participants, a battery of surveillance cameras, and a monitoring system dependent on facial recognition, all similar to the system in place in the case at bar.</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5. Failure to warn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395</w:t>
      </w:r>
      <w:r>
        <w:rPr>
          <w:rFonts w:ascii="arial" w:eastAsia="arial" w:hAnsi="arial" w:cs="arial"/>
          <w:color w:val="000000"/>
          <w:sz w:val="20"/>
          <w:lang w:val="en-US" w:eastAsia="en-US" w:bidi="ar-SA"/>
        </w:rPr>
        <w:t>  On the plaintiff's allegation of failure to warn her that the VSE program depended on her being first identified before she could be stopped, Gateway submits that on her own evidence Mr. Petrow told her the program might not be effective if she gambled elsewhere in the Lower Mainland. If that was her understanding, then she was fully warned that the system was not 100% effective in preventing her from gambling in the province.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396</w:t>
      </w:r>
      <w:r>
        <w:rPr>
          <w:rFonts w:ascii="arial" w:eastAsia="arial" w:hAnsi="arial" w:cs="arial"/>
          <w:color w:val="000000"/>
          <w:sz w:val="20"/>
          <w:lang w:val="en-US" w:eastAsia="en-US" w:bidi="ar-SA"/>
        </w:rPr>
        <w:t>  In addition, if she did not know this immediately, she certainly learned it the first time she gambled again in BC in Victoria in July 2007 when she was not identified. She had an opportunity at that time to take other steps to ensure her exclusion on her own, if she was so interested in that as she now submits.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397</w:t>
      </w:r>
      <w:r>
        <w:rPr>
          <w:rFonts w:ascii="arial" w:eastAsia="arial" w:hAnsi="arial" w:cs="arial"/>
          <w:color w:val="000000"/>
          <w:sz w:val="20"/>
          <w:lang w:val="en-US" w:eastAsia="en-US" w:bidi="ar-SA"/>
        </w:rPr>
        <w:t>  Gateway submits that her continuing gambling in BC after her self-exclusion proves beyond any reasonable doubt that she was never relying on any warning to change her conduct.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 xml:space="preserve">6. Operational </w:t>
      </w:r>
      <w:r>
        <w:rPr>
          <w:rFonts w:ascii="arial" w:eastAsia="arial" w:hAnsi="arial" w:cs="arial"/>
          <w:b/>
          <w:i/>
          <w:color w:val="000000"/>
          <w:sz w:val="20"/>
          <w:u w:val="single"/>
          <w:lang w:val="en-US" w:eastAsia="en-US" w:bidi="ar-SA"/>
        </w:rPr>
        <w:t>negligence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398</w:t>
      </w:r>
      <w:r>
        <w:rPr>
          <w:rFonts w:ascii="arial" w:eastAsia="arial" w:hAnsi="arial" w:cs="arial"/>
          <w:color w:val="000000"/>
          <w:sz w:val="20"/>
          <w:lang w:val="en-US" w:eastAsia="en-US" w:bidi="ar-SA"/>
        </w:rPr>
        <w:t xml:space="preserve">  Gateway denies any allegations of operational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against it over her gambling there at night for long periods of time, sometimes sleeping in her car, excessive turnover of its staff, and staff knowledge of her. It submits that staff turnover cannot be proven to have caused the plaintiff any losses and any other losses that could be connected to the other conduct of hers can only be those losses proved by that particular conduct and no more, and there is no evidence that any floor staff at Cascade's Casino had any knowledge that the plaintiff was self-excluded.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399</w:t>
      </w:r>
      <w:r>
        <w:rPr>
          <w:rFonts w:ascii="arial" w:eastAsia="arial" w:hAnsi="arial" w:cs="arial"/>
          <w:color w:val="000000"/>
          <w:sz w:val="20"/>
          <w:lang w:val="en-US" w:eastAsia="en-US" w:bidi="ar-SA"/>
        </w:rPr>
        <w:t xml:space="preserve">  Gateway also relies on the principle of </w:t>
      </w:r>
      <w:r>
        <w:rPr>
          <w:rFonts w:ascii="arial" w:eastAsia="arial" w:hAnsi="arial" w:cs="arial"/>
          <w:i/>
          <w:color w:val="000000"/>
          <w:sz w:val="20"/>
          <w:lang w:val="en-US" w:eastAsia="en-US" w:bidi="ar-SA"/>
        </w:rPr>
        <w:t>volenti non fit injuria</w:t>
      </w:r>
      <w:r>
        <w:rPr>
          <w:rFonts w:ascii="arial" w:eastAsia="arial" w:hAnsi="arial" w:cs="arial"/>
          <w:color w:val="000000"/>
          <w:sz w:val="20"/>
          <w:lang w:val="en-US" w:eastAsia="en-US" w:bidi="ar-SA"/>
        </w:rPr>
        <w:t xml:space="preserve"> to deny the plaintiff's claim, as it submits that she knew the risk of continuing to gamble while self-excluded, she knew by the VSE enrollment form that the defendants did not agree to assume that risk, and she chose to run the risk of losing. She must therefore be taken to have accepted the risk for herself voluntarily.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400</w:t>
      </w:r>
      <w:r>
        <w:rPr>
          <w:rFonts w:ascii="arial" w:eastAsia="arial" w:hAnsi="arial" w:cs="arial"/>
          <w:color w:val="000000"/>
          <w:sz w:val="20"/>
          <w:lang w:val="en-US" w:eastAsia="en-US" w:bidi="ar-SA"/>
        </w:rPr>
        <w:t xml:space="preserve">  Gateway also submits that the principle of </w:t>
      </w:r>
      <w:r>
        <w:rPr>
          <w:rFonts w:ascii="arial" w:eastAsia="arial" w:hAnsi="arial" w:cs="arial"/>
          <w:i/>
          <w:color w:val="000000"/>
          <w:sz w:val="20"/>
          <w:lang w:val="en-US" w:eastAsia="en-US" w:bidi="ar-SA"/>
        </w:rPr>
        <w:t>ex turpi causa non oritur actio</w:t>
      </w:r>
      <w:r>
        <w:rPr>
          <w:rFonts w:ascii="arial" w:eastAsia="arial" w:hAnsi="arial" w:cs="arial"/>
          <w:color w:val="000000"/>
          <w:sz w:val="20"/>
          <w:lang w:val="en-US" w:eastAsia="en-US" w:bidi="ar-SA"/>
        </w:rPr>
        <w:t xml:space="preserve"> should apply to deny the plaintiff recovery because in violating her self-exclusion obligation by entering casinos in British Columbia during her self-exclusion, she was breaching her statutory obligation set out in s. 93 of the </w:t>
      </w:r>
      <w:r>
        <w:rPr>
          <w:rFonts w:ascii="arial" w:eastAsia="arial" w:hAnsi="arial" w:cs="arial"/>
          <w:i/>
          <w:color w:val="000000"/>
          <w:sz w:val="20"/>
          <w:lang w:val="en-US" w:eastAsia="en-US" w:bidi="ar-SA"/>
        </w:rPr>
        <w:t>Act</w:t>
      </w:r>
      <w:r>
        <w:rPr>
          <w:rFonts w:ascii="arial" w:eastAsia="arial" w:hAnsi="arial" w:cs="arial"/>
          <w:color w:val="000000"/>
          <w:sz w:val="20"/>
          <w:lang w:val="en-US" w:eastAsia="en-US" w:bidi="ar-SA"/>
        </w:rPr>
        <w:t xml:space="preserve"> not to "enter the premises of the gaming facility at any time during the period specified in a written notice referred to in s. 92(b) that has been delivered to the person in accordance with s. 92(b)."</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401</w:t>
      </w:r>
      <w:r>
        <w:rPr>
          <w:rFonts w:ascii="arial" w:eastAsia="arial" w:hAnsi="arial" w:cs="arial"/>
          <w:color w:val="000000"/>
          <w:sz w:val="20"/>
          <w:lang w:val="en-US" w:eastAsia="en-US" w:bidi="ar-SA"/>
        </w:rPr>
        <w:t>  This being illegal entry by her, she should not be entitled to profit by her own illegal activity and a damage award to the plaintiff for her losses would allow her to profit by this illegal conduct.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7. Fiduciary duty of care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402</w:t>
      </w:r>
      <w:r>
        <w:rPr>
          <w:rFonts w:ascii="arial" w:eastAsia="arial" w:hAnsi="arial" w:cs="arial"/>
          <w:color w:val="000000"/>
          <w:sz w:val="20"/>
          <w:lang w:val="en-US" w:eastAsia="en-US" w:bidi="ar-SA"/>
        </w:rPr>
        <w:t>  Gateway denies that it owes any fiduciary duties of care to the plaintiff.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403</w:t>
      </w:r>
      <w:r>
        <w:rPr>
          <w:rFonts w:ascii="arial" w:eastAsia="arial" w:hAnsi="arial" w:cs="arial"/>
          <w:color w:val="000000"/>
          <w:sz w:val="20"/>
          <w:lang w:val="en-US" w:eastAsia="en-US" w:bidi="ar-SA"/>
        </w:rPr>
        <w:t>  It submits the VSE enrollment form that denies any responsibility of the service providers also covers any fiduciary duty of care owed to the plaintiff.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404</w:t>
      </w:r>
      <w:r>
        <w:rPr>
          <w:rFonts w:ascii="arial" w:eastAsia="arial" w:hAnsi="arial" w:cs="arial"/>
          <w:color w:val="000000"/>
          <w:sz w:val="20"/>
          <w:lang w:val="en-US" w:eastAsia="en-US" w:bidi="ar-SA"/>
        </w:rPr>
        <w:t>  It is submitted that VSE participants are not vulnerable to any power or discretion of the service providers when they intentionally breach their VSE obligations by continuing to gamble.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405</w:t>
      </w:r>
      <w:r>
        <w:rPr>
          <w:rFonts w:ascii="arial" w:eastAsia="arial" w:hAnsi="arial" w:cs="arial"/>
          <w:color w:val="000000"/>
          <w:sz w:val="20"/>
          <w:lang w:val="en-US" w:eastAsia="en-US" w:bidi="ar-SA"/>
        </w:rPr>
        <w:t xml:space="preserve">  In addition, it is submitted that the plaintiff has no legal or substantial interests to protect as is required to impose a fiduciary duty of care, because any loss that she has suffered during her self-exclusion gambling resulted from her own breach of the VSE requirements and of s. 93 of the </w:t>
      </w:r>
      <w:r>
        <w:rPr>
          <w:rFonts w:ascii="arial" w:eastAsia="arial" w:hAnsi="arial" w:cs="arial"/>
          <w:i/>
          <w:color w:val="000000"/>
          <w:sz w:val="20"/>
          <w:lang w:val="en-US" w:eastAsia="en-US" w:bidi="ar-SA"/>
        </w:rPr>
        <w:t>Act</w:t>
      </w:r>
      <w:r>
        <w:rPr>
          <w:rFonts w:ascii="arial" w:eastAsia="arial" w:hAnsi="arial" w:cs="arial"/>
          <w:color w:val="000000"/>
          <w:sz w:val="20"/>
          <w:lang w:val="en-US" w:eastAsia="en-US" w:bidi="ar-SA"/>
        </w:rPr>
        <w: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8. The VSE enrollment form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406</w:t>
      </w:r>
      <w:r>
        <w:rPr>
          <w:rFonts w:ascii="arial" w:eastAsia="arial" w:hAnsi="arial" w:cs="arial"/>
          <w:color w:val="000000"/>
          <w:sz w:val="20"/>
          <w:lang w:val="en-US" w:eastAsia="en-US" w:bidi="ar-SA"/>
        </w:rPr>
        <w:t>  Gateway submits that the VSE enrollment form is a contract at law between the plaintiff and BCLC in which BCLC offers to use its statutory power to bar anyone who wishes to be banned in return for the waiver and releases in para. 5 of the form.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407</w:t>
      </w:r>
      <w:r>
        <w:rPr>
          <w:rFonts w:ascii="arial" w:eastAsia="arial" w:hAnsi="arial" w:cs="arial"/>
          <w:color w:val="000000"/>
          <w:sz w:val="20"/>
          <w:lang w:val="en-US" w:eastAsia="en-US" w:bidi="ar-SA"/>
        </w:rPr>
        <w:t>  When the plaintiff requested self-exclusion and completed the form, it is submitted she accepted these contractual terms as governing her ability to enter the program, thereby completing the contract.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408</w:t>
      </w:r>
      <w:r>
        <w:rPr>
          <w:rFonts w:ascii="arial" w:eastAsia="arial" w:hAnsi="arial" w:cs="arial"/>
          <w:color w:val="000000"/>
          <w:sz w:val="20"/>
          <w:lang w:val="en-US" w:eastAsia="en-US" w:bidi="ar-SA"/>
        </w:rPr>
        <w:t xml:space="preserve">  Gateway submits that s. 92(b) of the </w:t>
      </w:r>
      <w:r>
        <w:rPr>
          <w:rFonts w:ascii="arial" w:eastAsia="arial" w:hAnsi="arial" w:cs="arial"/>
          <w:i/>
          <w:color w:val="000000"/>
          <w:sz w:val="20"/>
          <w:lang w:val="en-US" w:eastAsia="en-US" w:bidi="ar-SA"/>
        </w:rPr>
        <w:t>Act</w:t>
      </w:r>
      <w:r>
        <w:rPr>
          <w:rFonts w:ascii="arial" w:eastAsia="arial" w:hAnsi="arial" w:cs="arial"/>
          <w:color w:val="000000"/>
          <w:sz w:val="20"/>
          <w:lang w:val="en-US" w:eastAsia="en-US" w:bidi="ar-SA"/>
        </w:rPr>
        <w:t xml:space="preserve"> grants BCLC a discretion to bar a person from gaming facilities, but not any duty to do so.</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409</w:t>
      </w:r>
      <w:r>
        <w:rPr>
          <w:rFonts w:ascii="arial" w:eastAsia="arial" w:hAnsi="arial" w:cs="arial"/>
          <w:color w:val="000000"/>
          <w:sz w:val="20"/>
          <w:lang w:val="en-US" w:eastAsia="en-US" w:bidi="ar-SA"/>
        </w:rPr>
        <w:t xml:space="preserve">  It is submitted that the plaintiff's completion and submission of the VSE enrollment form was sufficient to bind BCLC to use its statutory power of prohibition under s. 92(b) of the </w:t>
      </w:r>
      <w:r>
        <w:rPr>
          <w:rFonts w:ascii="arial" w:eastAsia="arial" w:hAnsi="arial" w:cs="arial"/>
          <w:i/>
          <w:color w:val="000000"/>
          <w:sz w:val="20"/>
          <w:lang w:val="en-US" w:eastAsia="en-US" w:bidi="ar-SA"/>
        </w:rPr>
        <w:t>Act.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410</w:t>
      </w:r>
      <w:r>
        <w:rPr>
          <w:rFonts w:ascii="arial" w:eastAsia="arial" w:hAnsi="arial" w:cs="arial"/>
          <w:color w:val="000000"/>
          <w:sz w:val="20"/>
          <w:lang w:val="en-US" w:eastAsia="en-US" w:bidi="ar-SA"/>
        </w:rPr>
        <w:t xml:space="preserve">  Gateway relies upon the decision in </w:t>
      </w:r>
      <w:r>
        <w:rPr>
          <w:rFonts w:ascii="arial" w:eastAsia="arial" w:hAnsi="arial" w:cs="arial"/>
          <w:i/>
          <w:color w:val="000000"/>
          <w:sz w:val="20"/>
          <w:lang w:val="en-US" w:eastAsia="en-US" w:bidi="ar-SA"/>
        </w:rPr>
        <w:t>Thierman v. Western Canada Lottery Corporation,</w:t>
      </w:r>
      <w:r>
        <w:rPr>
          <w:rFonts w:ascii="arial" w:eastAsia="arial" w:hAnsi="arial" w:cs="arial"/>
          <w:color w:val="000000"/>
          <w:sz w:val="20"/>
          <w:lang w:val="en-US" w:eastAsia="en-US" w:bidi="ar-SA"/>
        </w:rPr>
        <w:t xml:space="preserve"> </w:t>
      </w:r>
      <w:hyperlink r:id="rId169" w:history="1">
        <w:r>
          <w:rPr>
            <w:rFonts w:ascii="arial" w:eastAsia="arial" w:hAnsi="arial" w:cs="arial"/>
            <w:i/>
            <w:color w:val="0077CC"/>
            <w:sz w:val="20"/>
            <w:u w:val="single"/>
            <w:shd w:val="clear" w:color="auto" w:fill="FFFFFF"/>
            <w:lang w:val="en-US" w:eastAsia="en-US" w:bidi="ar-SA"/>
          </w:rPr>
          <w:t>[1995] S.J. No. 456</w:t>
        </w:r>
      </w:hyperlink>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411</w:t>
      </w:r>
      <w:r>
        <w:rPr>
          <w:rFonts w:ascii="arial" w:eastAsia="arial" w:hAnsi="arial" w:cs="arial"/>
          <w:color w:val="000000"/>
          <w:sz w:val="20"/>
          <w:lang w:val="en-US" w:eastAsia="en-US" w:bidi="ar-SA"/>
        </w:rPr>
        <w:t>  In that case, the plaintiff purchased a Lotto 6/49 ticket for which his pre-selected numbers would be entered into a series of consecutive weekly draws commencing after his subscription was processed.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412</w:t>
      </w:r>
      <w:r>
        <w:rPr>
          <w:rFonts w:ascii="arial" w:eastAsia="arial" w:hAnsi="arial" w:cs="arial"/>
          <w:color w:val="000000"/>
          <w:sz w:val="20"/>
          <w:lang w:val="en-US" w:eastAsia="en-US" w:bidi="ar-SA"/>
        </w:rPr>
        <w:t>  When his numbers turned up prior to his subscription being processed, the defendant lottery corporation refused to award him the prize.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413</w:t>
      </w:r>
      <w:r>
        <w:rPr>
          <w:rFonts w:ascii="arial" w:eastAsia="arial" w:hAnsi="arial" w:cs="arial"/>
          <w:color w:val="000000"/>
          <w:sz w:val="20"/>
          <w:lang w:val="en-US" w:eastAsia="en-US" w:bidi="ar-SA"/>
        </w:rPr>
        <w:t xml:space="preserve">  The court relied upon a decision in another lottery case, </w:t>
      </w:r>
      <w:r>
        <w:rPr>
          <w:rFonts w:ascii="arial" w:eastAsia="arial" w:hAnsi="arial" w:cs="arial"/>
          <w:i/>
          <w:color w:val="000000"/>
          <w:sz w:val="20"/>
          <w:lang w:val="en-US" w:eastAsia="en-US" w:bidi="ar-SA"/>
        </w:rPr>
        <w:t>G.A.S.P. v. Manitoba Licensing Lotteries Board,</w:t>
      </w:r>
      <w:r>
        <w:rPr>
          <w:rFonts w:ascii="arial" w:eastAsia="arial" w:hAnsi="arial" w:cs="arial"/>
          <w:color w:val="000000"/>
          <w:sz w:val="20"/>
          <w:lang w:val="en-US" w:eastAsia="en-US" w:bidi="ar-SA"/>
        </w:rPr>
        <w:t xml:space="preserve"> </w:t>
      </w:r>
      <w:hyperlink r:id="rId170" w:history="1">
        <w:r>
          <w:rPr>
            <w:rFonts w:ascii="arial" w:eastAsia="arial" w:hAnsi="arial" w:cs="arial"/>
            <w:i/>
            <w:color w:val="0077CC"/>
            <w:sz w:val="20"/>
            <w:u w:val="single"/>
            <w:shd w:val="clear" w:color="auto" w:fill="FFFFFF"/>
            <w:lang w:val="en-US" w:eastAsia="en-US" w:bidi="ar-SA"/>
          </w:rPr>
          <w:t>[1980] 6 W.W.R. 367</w:t>
        </w:r>
      </w:hyperlink>
      <w:r>
        <w:rPr>
          <w:rFonts w:ascii="arial" w:eastAsia="arial" w:hAnsi="arial" w:cs="arial"/>
          <w:color w:val="000000"/>
          <w:sz w:val="20"/>
          <w:lang w:val="en-US" w:eastAsia="en-US" w:bidi="ar-SA"/>
        </w:rPr>
        <w:t xml:space="preserve"> (Man C.A.) where the court said at p. 371:</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private rights and remedies growing out of prize winning contests are discussed in an annotation in (1963), 87 A.L.R. (2d) 649 et seq. Several cases are cited in which the principle is accepted that a contract comes into existence by the promoter's offer and the contestant's performance of the act required in the offer. At p. 661, the following statement is made:</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"The general rule of the law of contracts that where an offer or promise for an act is made, the only acceptance of the offer that is necessary is the performance of the act, applies to prize-winning contests. The promoter of such a contest, by making public the conditions and rules of the contest, makes an offer, and if before the offer is withdrawn another person acts upon it, the promoter is bound to perform his promise." ...</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414</w:t>
      </w:r>
      <w:r>
        <w:rPr>
          <w:rFonts w:ascii="arial" w:eastAsia="arial" w:hAnsi="arial" w:cs="arial"/>
          <w:color w:val="000000"/>
          <w:sz w:val="20"/>
          <w:lang w:val="en-US" w:eastAsia="en-US" w:bidi="ar-SA"/>
        </w:rPr>
        <w:t xml:space="preserve">  Here Gateway submits that the circumstances are identical. In </w:t>
      </w:r>
      <w:r>
        <w:rPr>
          <w:rFonts w:ascii="arial" w:eastAsia="arial" w:hAnsi="arial" w:cs="arial"/>
          <w:i/>
          <w:color w:val="000000"/>
          <w:sz w:val="20"/>
          <w:lang w:val="en-US" w:eastAsia="en-US" w:bidi="ar-SA"/>
        </w:rPr>
        <w:t>Thierman</w:t>
      </w:r>
      <w:r>
        <w:rPr>
          <w:rFonts w:ascii="arial" w:eastAsia="arial" w:hAnsi="arial" w:cs="arial"/>
          <w:color w:val="000000"/>
          <w:sz w:val="20"/>
          <w:lang w:val="en-US" w:eastAsia="en-US" w:bidi="ar-SA"/>
        </w:rPr>
        <w:t xml:space="preserve"> the lottery was open to the public at large. Here the VSE program is also open to the public at large.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415</w:t>
      </w:r>
      <w:r>
        <w:rPr>
          <w:rFonts w:ascii="arial" w:eastAsia="arial" w:hAnsi="arial" w:cs="arial"/>
          <w:color w:val="000000"/>
          <w:sz w:val="20"/>
          <w:lang w:val="en-US" w:eastAsia="en-US" w:bidi="ar-SA"/>
        </w:rPr>
        <w:t xml:space="preserve">  The lottery offered a prize in </w:t>
      </w:r>
      <w:r>
        <w:rPr>
          <w:rFonts w:ascii="arial" w:eastAsia="arial" w:hAnsi="arial" w:cs="arial"/>
          <w:i/>
          <w:color w:val="000000"/>
          <w:sz w:val="20"/>
          <w:lang w:val="en-US" w:eastAsia="en-US" w:bidi="ar-SA"/>
        </w:rPr>
        <w:t>Thierman</w:t>
      </w:r>
      <w:r>
        <w:rPr>
          <w:rFonts w:ascii="arial" w:eastAsia="arial" w:hAnsi="arial" w:cs="arial"/>
          <w:color w:val="000000"/>
          <w:sz w:val="20"/>
          <w:lang w:val="en-US" w:eastAsia="en-US" w:bidi="ar-SA"/>
        </w:rPr>
        <w:t xml:space="preserve"> while the VSE program imposes a banning under s. 92(b) of the </w:t>
      </w:r>
      <w:r>
        <w:rPr>
          <w:rFonts w:ascii="arial" w:eastAsia="arial" w:hAnsi="arial" w:cs="arial"/>
          <w:i/>
          <w:color w:val="000000"/>
          <w:sz w:val="20"/>
          <w:lang w:val="en-US" w:eastAsia="en-US" w:bidi="ar-SA"/>
        </w:rPr>
        <w:t>Act</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416</w:t>
      </w:r>
      <w:r>
        <w:rPr>
          <w:rFonts w:ascii="arial" w:eastAsia="arial" w:hAnsi="arial" w:cs="arial"/>
          <w:color w:val="000000"/>
          <w:sz w:val="20"/>
          <w:lang w:val="en-US" w:eastAsia="en-US" w:bidi="ar-SA"/>
        </w:rPr>
        <w:t>  BCLC agreed to do something in the form that it was not otherwise compelled to do - that is ban the plaintiff, while the plaintiff had to bring herself within the terms of the offer which she did by completing and submitting the VSE form, thereby acknowledging her acceptance of BCLC's offer on all its terms.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417</w:t>
      </w:r>
      <w:r>
        <w:rPr>
          <w:rFonts w:ascii="arial" w:eastAsia="arial" w:hAnsi="arial" w:cs="arial"/>
          <w:color w:val="000000"/>
          <w:sz w:val="20"/>
          <w:lang w:val="en-US" w:eastAsia="en-US" w:bidi="ar-SA"/>
        </w:rPr>
        <w:t>  Gateway submits the waiver and release in para. 5 represent the price of admission into the VSE program.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418</w:t>
      </w:r>
      <w:r>
        <w:rPr>
          <w:rFonts w:ascii="arial" w:eastAsia="arial" w:hAnsi="arial" w:cs="arial"/>
          <w:color w:val="000000"/>
          <w:sz w:val="20"/>
          <w:lang w:val="en-US" w:eastAsia="en-US" w:bidi="ar-SA"/>
        </w:rPr>
        <w:t xml:space="preserve">  Gateway cites </w:t>
      </w:r>
      <w:r>
        <w:rPr>
          <w:rFonts w:ascii="arial" w:eastAsia="arial" w:hAnsi="arial" w:cs="arial"/>
          <w:i/>
          <w:color w:val="000000"/>
          <w:sz w:val="20"/>
          <w:lang w:val="en-US" w:eastAsia="en-US" w:bidi="ar-SA"/>
        </w:rPr>
        <w:t>Loychuk v. Cougar Mountain Adventures Ltd.</w:t>
      </w:r>
      <w:r>
        <w:rPr>
          <w:rFonts w:ascii="arial" w:eastAsia="arial" w:hAnsi="arial" w:cs="arial"/>
          <w:color w:val="000000"/>
          <w:sz w:val="20"/>
          <w:lang w:val="en-US" w:eastAsia="en-US" w:bidi="ar-SA"/>
        </w:rPr>
        <w:t xml:space="preserve">, </w:t>
      </w:r>
      <w:hyperlink r:id="rId171" w:history="1">
        <w:r>
          <w:rPr>
            <w:rFonts w:ascii="arial" w:eastAsia="arial" w:hAnsi="arial" w:cs="arial"/>
            <w:i/>
            <w:color w:val="0077CC"/>
            <w:sz w:val="20"/>
            <w:u w:val="single"/>
            <w:shd w:val="clear" w:color="auto" w:fill="FFFFFF"/>
            <w:lang w:val="en-US" w:eastAsia="en-US" w:bidi="ar-SA"/>
          </w:rPr>
          <w:t>2012 BCCA 122</w:t>
        </w:r>
      </w:hyperlink>
      <w:r>
        <w:rPr>
          <w:rFonts w:ascii="arial" w:eastAsia="arial" w:hAnsi="arial" w:cs="arial"/>
          <w:color w:val="000000"/>
          <w:sz w:val="20"/>
          <w:lang w:val="en-US" w:eastAsia="en-US" w:bidi="ar-SA"/>
        </w:rPr>
        <w:t>, a case dealing with a recreational activity where the Court considered these factors on the issue of waiver or release:</w:t>
      </w:r>
      <w:r>
        <w:rPr>
          <w:rFonts w:ascii="arial" w:eastAsia="arial" w:hAnsi="arial" w:cs="arial"/>
          <w:sz w:val="20"/>
          <w:lang w:val="en-US" w:eastAsia="en-US" w:bidi="ar-SA"/>
        </w:rPr>
        <w:cr/>
      </w:r>
    </w:p>
    <w:p>
      <w:pPr>
        <w:numPr>
          <w:numId w:val="6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waiver must on its terms apply to the circumstances in which it is involved.</w:t>
      </w:r>
    </w:p>
    <w:p>
      <w:pPr>
        <w:numPr>
          <w:numId w:val="6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It must not be unconscionable to enforce the waiver.</w:t>
      </w:r>
    </w:p>
    <w:p>
      <w:pPr>
        <w:numPr>
          <w:numId w:val="7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There must be no policy reasons that might preclude the use of such waivers.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419</w:t>
      </w:r>
      <w:r>
        <w:rPr>
          <w:rFonts w:ascii="arial" w:eastAsia="arial" w:hAnsi="arial" w:cs="arial"/>
          <w:color w:val="000000"/>
          <w:sz w:val="20"/>
          <w:lang w:val="en-US" w:eastAsia="en-US" w:bidi="ar-SA"/>
        </w:rPr>
        <w:t>  Gateway submits that on application of these factors here:</w:t>
      </w:r>
      <w:r>
        <w:rPr>
          <w:rFonts w:ascii="arial" w:eastAsia="arial" w:hAnsi="arial" w:cs="arial"/>
          <w:sz w:val="20"/>
          <w:lang w:val="en-US" w:eastAsia="en-US" w:bidi="ar-SA"/>
        </w:rPr>
        <w:cr/>
      </w:r>
    </w:p>
    <w:p>
      <w:pPr>
        <w:numPr>
          <w:numId w:val="7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VSE form with the waiver in para. 5 applies to the very circumstances that might typically ensue from any breach of and failure to enforce a registrant's self-exclusion - financial losses.</w:t>
      </w:r>
    </w:p>
    <w:p>
      <w:pPr>
        <w:numPr>
          <w:numId w:val="7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It is not unconscionable to enforce the waiver here where the VSE program is set up to assist the participant in their self-exclusion while maintaining their responsibility to remain self-excluded, but not to transfer that responsibility to BCLC or its service providers.</w:t>
      </w:r>
    </w:p>
    <w:p>
      <w:pPr>
        <w:numPr>
          <w:numId w:val="7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There are no public policy reasons to refuse to enforce the waiver and release when it is a voluntary self-exclusion program and not a required exclusion program for the plaintiff, and when the responsibility remains on the plaintiff to self-exclude in circumstances where it is impossible to prevent her from entering casinos during her exclusion period unless, by the terms of the form, she is identified.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420</w:t>
      </w:r>
      <w:r>
        <w:rPr>
          <w:rFonts w:ascii="arial" w:eastAsia="arial" w:hAnsi="arial" w:cs="arial"/>
          <w:color w:val="000000"/>
          <w:sz w:val="20"/>
          <w:lang w:val="en-US" w:eastAsia="en-US" w:bidi="ar-SA"/>
        </w:rPr>
        <w:t>  It is also submitted that the fact the plaintiff is a pathological gambler does not make it unconscionable to uphold para. 5 because the plaintiff had sufficient capacity to understand and accept the terms of the program when she entered into the program through her signature on the form, and she therefore knew and accepted the responsibility that remained with her to self-exclude.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421</w:t>
      </w:r>
      <w:r>
        <w:rPr>
          <w:rFonts w:ascii="arial" w:eastAsia="arial" w:hAnsi="arial" w:cs="arial"/>
          <w:color w:val="000000"/>
          <w:sz w:val="20"/>
          <w:lang w:val="en-US" w:eastAsia="en-US" w:bidi="ar-SA"/>
        </w:rPr>
        <w:t>  Gateway submits that even though it is not specifically named in para. 5, it is a service provider and service providers are generally named as beneficiaries in para. 5. It is the service providers who must implement the VSE program in their casinos and the plaintiff expressly agreed to waive and release service providers as a term of entering the VSE program. It is submitted as a service provider it should receive the benefits of paras. 5 along with BCLC.</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422</w:t>
      </w:r>
      <w:r>
        <w:rPr>
          <w:rFonts w:ascii="arial" w:eastAsia="arial" w:hAnsi="arial" w:cs="arial"/>
          <w:color w:val="000000"/>
          <w:sz w:val="20"/>
          <w:lang w:val="en-US" w:eastAsia="en-US" w:bidi="ar-SA"/>
        </w:rPr>
        <w:t xml:space="preserve">  Gateway cites </w:t>
      </w:r>
      <w:r>
        <w:rPr>
          <w:rFonts w:ascii="arial" w:eastAsia="arial" w:hAnsi="arial" w:cs="arial"/>
          <w:i/>
          <w:color w:val="000000"/>
          <w:sz w:val="20"/>
          <w:lang w:val="en-US" w:eastAsia="en-US" w:bidi="ar-SA"/>
        </w:rPr>
        <w:t>London Drugs Ltd. v. Kuehne &amp; Nagel International Ltd.</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[1992] 3 S.C.R. 299</w:t>
      </w:r>
      <w:r>
        <w:rPr>
          <w:rFonts w:ascii="arial" w:eastAsia="arial" w:hAnsi="arial" w:cs="arial"/>
          <w:color w:val="000000"/>
          <w:sz w:val="20"/>
          <w:lang w:val="en-US" w:eastAsia="en-US" w:bidi="ar-SA"/>
        </w:rPr>
        <w:t>, in support, where the doctrine of privity was relaxed in circumstances where two parties expressly or impliedly agreed that some of the obligation under the contract would be carried out by a third party. One of the contracting parties sought to enforce the contract against the third party while avoiding its own obligations under the contract.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423</w:t>
      </w:r>
      <w:r>
        <w:rPr>
          <w:rFonts w:ascii="arial" w:eastAsia="arial" w:hAnsi="arial" w:cs="arial"/>
          <w:color w:val="000000"/>
          <w:sz w:val="20"/>
          <w:lang w:val="en-US" w:eastAsia="en-US" w:bidi="ar-SA"/>
        </w:rPr>
        <w:t>  Iacobucci J. writing for the majority said: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Upholding a strict application of the doctrine of privity in the circumstances of this case would also have the effect of allowing the appellant to circumvent or escape the limitation of liability clause to which it had expressly consented. [para. 246].</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424</w:t>
      </w:r>
      <w:r>
        <w:rPr>
          <w:rFonts w:ascii="arial" w:eastAsia="arial" w:hAnsi="arial" w:cs="arial"/>
          <w:color w:val="000000"/>
          <w:sz w:val="20"/>
          <w:lang w:val="en-US" w:eastAsia="en-US" w:bidi="ar-SA"/>
        </w:rPr>
        <w:t>  Gateway submits the circumstances here are the same. To allow the plaintiff to sue Gateway would be to circumvent the agreement she reached by the VSE enrollment form to not hold Gateway as a service provider responsible for her breach of the self-exclusion or failure to enforce it, and to release from any such liability.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425</w:t>
      </w:r>
      <w:r>
        <w:rPr>
          <w:rFonts w:ascii="arial" w:eastAsia="arial" w:hAnsi="arial" w:cs="arial"/>
          <w:color w:val="000000"/>
          <w:sz w:val="20"/>
          <w:lang w:val="en-US" w:eastAsia="en-US" w:bidi="ar-SA"/>
        </w:rPr>
        <w:t xml:space="preserve">  Gateway also cites </w:t>
      </w:r>
      <w:r>
        <w:rPr>
          <w:rFonts w:ascii="arial" w:eastAsia="arial" w:hAnsi="arial" w:cs="arial"/>
          <w:i/>
          <w:color w:val="000000"/>
          <w:sz w:val="20"/>
          <w:lang w:val="en-US" w:eastAsia="en-US" w:bidi="ar-SA"/>
        </w:rPr>
        <w:t>Dyck v. Manitoba Snowmobile Assn.</w:t>
      </w:r>
      <w:r>
        <w:rPr>
          <w:rFonts w:ascii="arial" w:eastAsia="arial" w:hAnsi="arial" w:cs="arial"/>
          <w:color w:val="000000"/>
          <w:sz w:val="20"/>
          <w:lang w:val="en-US" w:eastAsia="en-US" w:bidi="ar-SA"/>
        </w:rPr>
        <w:t xml:space="preserve">, </w:t>
      </w:r>
      <w:hyperlink r:id="rId172" w:history="1">
        <w:r>
          <w:rPr>
            <w:rFonts w:ascii="arial" w:eastAsia="arial" w:hAnsi="arial" w:cs="arial"/>
            <w:i/>
            <w:color w:val="0077CC"/>
            <w:sz w:val="20"/>
            <w:u w:val="single"/>
            <w:shd w:val="clear" w:color="auto" w:fill="FFFFFF"/>
            <w:lang w:val="en-US" w:eastAsia="en-US" w:bidi="ar-SA"/>
          </w:rPr>
          <w:t>[1981] 5 W.W.R. 97</w:t>
        </w:r>
      </w:hyperlink>
      <w:r>
        <w:rPr>
          <w:rFonts w:ascii="arial" w:eastAsia="arial" w:hAnsi="arial" w:cs="arial"/>
          <w:color w:val="000000"/>
          <w:sz w:val="20"/>
          <w:lang w:val="en-US" w:eastAsia="en-US" w:bidi="ar-SA"/>
        </w:rPr>
        <w:t>, where Mr. Dyck was injured while competing in a snowmobile race when he came into contact with a race official who negligently stepped onto the track.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426</w:t>
      </w:r>
      <w:r>
        <w:rPr>
          <w:rFonts w:ascii="arial" w:eastAsia="arial" w:hAnsi="arial" w:cs="arial"/>
          <w:color w:val="000000"/>
          <w:sz w:val="20"/>
          <w:lang w:val="en-US" w:eastAsia="en-US" w:bidi="ar-SA"/>
        </w:rPr>
        <w:t>  Mr. Dyck was a member of the Manitoba Snowmobile Association (MSA) and had signed an entry form for the specific race that released MSA and its organizers, their respective agents, officials, servants and representatives in the entry form.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427</w:t>
      </w:r>
      <w:r>
        <w:rPr>
          <w:rFonts w:ascii="arial" w:eastAsia="arial" w:hAnsi="arial" w:cs="arial"/>
          <w:color w:val="000000"/>
          <w:sz w:val="20"/>
          <w:lang w:val="en-US" w:eastAsia="en-US" w:bidi="ar-SA"/>
        </w:rPr>
        <w:t>  Mr. Dyck sued both MSA and the race official. The race official was also a member of the MSA but had no contract with it for the race and was essentially a volunteer official.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428</w:t>
      </w:r>
      <w:r>
        <w:rPr>
          <w:rFonts w:ascii="arial" w:eastAsia="arial" w:hAnsi="arial" w:cs="arial"/>
          <w:color w:val="000000"/>
          <w:sz w:val="20"/>
          <w:lang w:val="en-US" w:eastAsia="en-US" w:bidi="ar-SA"/>
        </w:rPr>
        <w:t>  The trial judge concluded that both MSA and the race official were protected by the releases in the entry form.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429</w:t>
      </w:r>
      <w:r>
        <w:rPr>
          <w:rFonts w:ascii="arial" w:eastAsia="arial" w:hAnsi="arial" w:cs="arial"/>
          <w:color w:val="000000"/>
          <w:sz w:val="20"/>
          <w:lang w:val="en-US" w:eastAsia="en-US" w:bidi="ar-SA"/>
        </w:rPr>
        <w:t>  The trial judge said that MSA existed for the sole purpose of promoting and conducting snowmobile races and in conducting its activities utilized the services of persons who were prepared to devote their time and effort.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430</w:t>
      </w:r>
      <w:r>
        <w:rPr>
          <w:rFonts w:ascii="arial" w:eastAsia="arial" w:hAnsi="arial" w:cs="arial"/>
          <w:color w:val="000000"/>
          <w:sz w:val="20"/>
          <w:lang w:val="en-US" w:eastAsia="en-US" w:bidi="ar-SA"/>
        </w:rPr>
        <w:t xml:space="preserve">  MSA could only attract liability for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through the acts of its servants or representatives and its seemed to the court the suggestion the purpose of the release was to only protect MSA and leave its officials exposed was difficult to sustain.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431</w:t>
      </w:r>
      <w:r>
        <w:rPr>
          <w:rFonts w:ascii="arial" w:eastAsia="arial" w:hAnsi="arial" w:cs="arial"/>
          <w:color w:val="000000"/>
          <w:sz w:val="20"/>
          <w:lang w:val="en-US" w:eastAsia="en-US" w:bidi="ar-SA"/>
        </w:rPr>
        <w:t xml:space="preserve">  Mr. Dyck's appeal was denied. </w:t>
      </w:r>
      <w:hyperlink r:id="rId173" w:history="1">
        <w:r>
          <w:rPr>
            <w:rFonts w:ascii="arial" w:eastAsia="arial" w:hAnsi="arial" w:cs="arial"/>
            <w:i/>
            <w:color w:val="0077CC"/>
            <w:sz w:val="20"/>
            <w:u w:val="single"/>
            <w:shd w:val="clear" w:color="auto" w:fill="FFFFFF"/>
            <w:lang w:val="en-US" w:eastAsia="en-US" w:bidi="ar-SA"/>
          </w:rPr>
          <w:t>[1982] 4 W.W.R. 318</w:t>
        </w:r>
      </w:hyperlink>
      <w:r>
        <w:rPr>
          <w:rFonts w:ascii="arial" w:eastAsia="arial" w:hAnsi="arial" w:cs="arial"/>
          <w:color w:val="000000"/>
          <w:sz w:val="20"/>
          <w:lang w:val="en-US" w:eastAsia="en-US" w:bidi="ar-SA"/>
        </w:rPr>
        <w:t>, where the court applied a four part test to conclude that the official was also protected by the release.</w:t>
      </w:r>
      <w:r>
        <w:rPr>
          <w:rFonts w:ascii="arial" w:eastAsia="arial" w:hAnsi="arial" w:cs="arial"/>
          <w:sz w:val="20"/>
          <w:lang w:val="en-US" w:eastAsia="en-US" w:bidi="ar-SA"/>
        </w:rPr>
        <w:cr/>
      </w:r>
    </w:p>
    <w:p>
      <w:pPr>
        <w:numPr>
          <w:numId w:val="7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release form clearly stated that it protected MSA's organizers, agents, officials, servants and representatives and the official was fulfilling one or more of those roles while officiating.</w:t>
      </w:r>
    </w:p>
    <w:p>
      <w:pPr>
        <w:numPr>
          <w:numId w:val="7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wording of the form made it clear that MSA was entering the agreement on behalf of its organizers, agents, officials, servants and representatives.</w:t>
      </w:r>
    </w:p>
    <w:p>
      <w:pPr>
        <w:numPr>
          <w:numId w:val="7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official had relied upon the release to protect himself as a condition for his agreement to act as an official.</w:t>
      </w:r>
    </w:p>
    <w:p>
      <w:pPr>
        <w:numPr>
          <w:numId w:val="7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His officiating amounted to consideration flowing from him to Mr. Dyck, in exchange for the release.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432</w:t>
      </w:r>
      <w:r>
        <w:rPr>
          <w:rFonts w:ascii="arial" w:eastAsia="arial" w:hAnsi="arial" w:cs="arial"/>
          <w:color w:val="000000"/>
          <w:sz w:val="20"/>
          <w:lang w:val="en-US" w:eastAsia="en-US" w:bidi="ar-SA"/>
        </w:rPr>
        <w:t xml:space="preserve">  Dyck was followed in British Columbia in </w:t>
      </w:r>
      <w:r>
        <w:rPr>
          <w:rFonts w:ascii="arial" w:eastAsia="arial" w:hAnsi="arial" w:cs="arial"/>
          <w:i/>
          <w:color w:val="000000"/>
          <w:sz w:val="20"/>
          <w:lang w:val="en-US" w:eastAsia="en-US" w:bidi="ar-SA"/>
        </w:rPr>
        <w:t>Karroll v. Silver Star Mountain Resorts Ltd.,</w:t>
      </w:r>
      <w:r>
        <w:rPr>
          <w:rFonts w:ascii="arial" w:eastAsia="arial" w:hAnsi="arial" w:cs="arial"/>
          <w:color w:val="000000"/>
          <w:sz w:val="20"/>
          <w:lang w:val="en-US" w:eastAsia="en-US" w:bidi="ar-SA"/>
        </w:rPr>
        <w:t xml:space="preserve"> </w:t>
      </w:r>
      <w:hyperlink r:id="rId174" w:history="1">
        <w:r>
          <w:rPr>
            <w:rFonts w:ascii="arial" w:eastAsia="arial" w:hAnsi="arial" w:cs="arial"/>
            <w:i/>
            <w:color w:val="0077CC"/>
            <w:sz w:val="20"/>
            <w:u w:val="single"/>
            <w:shd w:val="clear" w:color="auto" w:fill="FFFFFF"/>
            <w:lang w:val="en-US" w:eastAsia="en-US" w:bidi="ar-SA"/>
          </w:rPr>
          <w:t>(1988) 33 B.C.L.R. (2d) 160</w:t>
        </w:r>
      </w:hyperlink>
      <w:r>
        <w:rPr>
          <w:rFonts w:ascii="arial" w:eastAsia="arial" w:hAnsi="arial" w:cs="arial"/>
          <w:color w:val="000000"/>
          <w:sz w:val="20"/>
          <w:lang w:val="en-US" w:eastAsia="en-US" w:bidi="ar-SA"/>
        </w:rPr>
        <w:t>, in applying the same four part test.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433</w:t>
      </w:r>
      <w:r>
        <w:rPr>
          <w:rFonts w:ascii="arial" w:eastAsia="arial" w:hAnsi="arial" w:cs="arial"/>
          <w:color w:val="000000"/>
          <w:sz w:val="20"/>
          <w:lang w:val="en-US" w:eastAsia="en-US" w:bidi="ar-SA"/>
        </w:rPr>
        <w:t>  Gateway submits that the application of this four part test demonstrates that it should be entitled to the benefit of para. 5 in the VSE form executed by the plaintiff, as well as BCLC.</w:t>
      </w:r>
      <w:r>
        <w:rPr>
          <w:rFonts w:ascii="arial" w:eastAsia="arial" w:hAnsi="arial" w:cs="arial"/>
          <w:sz w:val="20"/>
          <w:lang w:val="en-US" w:eastAsia="en-US" w:bidi="ar-SA"/>
        </w:rPr>
        <w:cr/>
      </w:r>
    </w:p>
    <w:p>
      <w:pPr>
        <w:numPr>
          <w:numId w:val="7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Paragraph 5 makes it clear that the service providers are intended to be beneficiaries as well as BCLC. The plaintiff sought to be refused entry at any casino in any BC gaming facility and was forbidden to enter any BC gaming facility, and that would include Gateway's casino.</w:t>
      </w:r>
    </w:p>
    <w:p>
      <w:pPr>
        <w:numPr>
          <w:numId w:val="7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Paragraph 5 indicates clearly that BCLC was intending to contract on its own behalf and on behalf of its service providers and while BCLC provided the VSE program, it required BC casinos, including Gateway, to participate in the program by maintaining adequate systems to identify VSE violators.</w:t>
      </w:r>
    </w:p>
    <w:p>
      <w:pPr>
        <w:numPr>
          <w:numId w:val="8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service providers were required to participate in the VSE program by maintaining adequate systems for identifying VSE registrants. Although there is no evidence Gateway sought this protection, it submits it is reasonable to assume that it would expect this and would have authorized BCLC to seek its protection as well.</w:t>
      </w:r>
    </w:p>
    <w:p>
      <w:pPr>
        <w:numPr>
          <w:numId w:val="8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Gateway gave consideration for this protection by assisting BCLC in operating the VSE program at its casino.</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VI. ORANGEVILLE SUBMISSIONS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1. Unjust enrichment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434</w:t>
      </w:r>
      <w:r>
        <w:rPr>
          <w:rFonts w:ascii="arial" w:eastAsia="arial" w:hAnsi="arial" w:cs="arial"/>
          <w:color w:val="000000"/>
          <w:sz w:val="20"/>
          <w:lang w:val="en-US" w:eastAsia="en-US" w:bidi="ar-SA"/>
        </w:rPr>
        <w:t>  The submissions of Gateway are adopted by Orangeville as its own submissions.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 xml:space="preserve">2. </w:t>
      </w:r>
      <w:r>
        <w:rPr>
          <w:rFonts w:ascii="arial" w:eastAsia="arial" w:hAnsi="arial" w:cs="arial"/>
          <w:b/>
          <w:i/>
          <w:color w:val="000000"/>
          <w:sz w:val="20"/>
          <w:u w:val="single"/>
          <w:lang w:val="en-US" w:eastAsia="en-US" w:bidi="ar-SA"/>
        </w:rPr>
        <w:t>Negligence</w:t>
      </w:r>
    </w:p>
    <w:p>
      <w:pPr>
        <w:spacing w:before="120"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3. Duty of care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435</w:t>
      </w:r>
      <w:r>
        <w:rPr>
          <w:rFonts w:ascii="arial" w:eastAsia="arial" w:hAnsi="arial" w:cs="arial"/>
          <w:color w:val="000000"/>
          <w:sz w:val="20"/>
          <w:lang w:val="en-US" w:eastAsia="en-US" w:bidi="ar-SA"/>
        </w:rPr>
        <w:t>  Orangeville submits that the plaintiff had unreal expectations if she thought that by entering the VSE program and signing the VSE form, she had no further personal responsibility for her conduct because all that responsibility was then turned over to the casinos and BCLC to protect her from herself.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436</w:t>
      </w:r>
      <w:r>
        <w:rPr>
          <w:rFonts w:ascii="arial" w:eastAsia="arial" w:hAnsi="arial" w:cs="arial"/>
          <w:color w:val="000000"/>
          <w:sz w:val="20"/>
          <w:lang w:val="en-US" w:eastAsia="en-US" w:bidi="ar-SA"/>
        </w:rPr>
        <w:t>  Orangeville relies upon the terms of the VSE form to protect it from liability and to maintain the responsibility on the plaintiff.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437</w:t>
      </w:r>
      <w:r>
        <w:rPr>
          <w:rFonts w:ascii="arial" w:eastAsia="arial" w:hAnsi="arial" w:cs="arial"/>
          <w:color w:val="000000"/>
          <w:sz w:val="20"/>
          <w:lang w:val="en-US" w:eastAsia="en-US" w:bidi="ar-SA"/>
        </w:rPr>
        <w:t>  It is submitted that the wording of the form indicates an expectation that the VSE participant will or may breach because there is no guarantee given that she will not be able to breach.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438</w:t>
      </w:r>
      <w:r>
        <w:rPr>
          <w:rFonts w:ascii="arial" w:eastAsia="arial" w:hAnsi="arial" w:cs="arial"/>
          <w:color w:val="000000"/>
          <w:sz w:val="20"/>
          <w:lang w:val="en-US" w:eastAsia="en-US" w:bidi="ar-SA"/>
        </w:rPr>
        <w:t>  It submits that because the VSE program for security and surveillance cannot possibly detect all VSE violators, the responsibility for self-exclusion remains on the VSE participant by the words of the form and the waiver of liability in the form for the benefit of BCLC and the service providers and should be enforced against the plaintiff.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439</w:t>
      </w:r>
      <w:r>
        <w:rPr>
          <w:rFonts w:ascii="arial" w:eastAsia="arial" w:hAnsi="arial" w:cs="arial"/>
          <w:color w:val="000000"/>
          <w:sz w:val="20"/>
          <w:lang w:val="en-US" w:eastAsia="en-US" w:bidi="ar-SA"/>
        </w:rPr>
        <w:t>  It adopts the submissions of BCLC and Gateway that no duty of care should be imposed on any of the defendants to the plaintiff in order to respect the allocation of responsibility the parties agreed to by the VSE form, and to respect the proper role of the VSE program which is to encourage and support self-responsibility for a participant's gambling habits.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4. Standard of care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440</w:t>
      </w:r>
      <w:r>
        <w:rPr>
          <w:rFonts w:ascii="arial" w:eastAsia="arial" w:hAnsi="arial" w:cs="arial"/>
          <w:color w:val="000000"/>
          <w:sz w:val="20"/>
          <w:lang w:val="en-US" w:eastAsia="en-US" w:bidi="ar-SA"/>
        </w:rPr>
        <w:t>  Orangeville submits that on the basis of the expert evidence of Mr. Zajic and Mr. Hoke it has met the standard of care required in that time period 2007-2010 for security and surveillance.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441</w:t>
      </w:r>
      <w:r>
        <w:rPr>
          <w:rFonts w:ascii="arial" w:eastAsia="arial" w:hAnsi="arial" w:cs="arial"/>
          <w:color w:val="000000"/>
          <w:sz w:val="20"/>
          <w:lang w:val="en-US" w:eastAsia="en-US" w:bidi="ar-SA"/>
        </w:rPr>
        <w:t>  Orangeville points out that it passed all audits of BCLC and GPEB and did have success in detecting VSE violators at Fraser Downs during the plaintiff's self-exclusion period, and it implemented the security and surveillance systems as required by BCLC and GPEB.</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442</w:t>
      </w:r>
      <w:r>
        <w:rPr>
          <w:rFonts w:ascii="arial" w:eastAsia="arial" w:hAnsi="arial" w:cs="arial"/>
          <w:color w:val="000000"/>
          <w:sz w:val="20"/>
          <w:lang w:val="en-US" w:eastAsia="en-US" w:bidi="ar-SA"/>
        </w:rPr>
        <w:t>  Orangeville says that the evidence of Mr. Crawford, a former security officer at Fraser Downs, does not trouble it because the obligation as of November 15, 2007 under s. 7-3.2(6) of the CSPPs was for security staff to employ the i-TRAK reporting system to view current self-exclusion participants, in conjunction with the photograph logbooks, with the emphasis on the i-TRAK system.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443</w:t>
      </w:r>
      <w:r>
        <w:rPr>
          <w:rFonts w:ascii="arial" w:eastAsia="arial" w:hAnsi="arial" w:cs="arial"/>
          <w:color w:val="000000"/>
          <w:sz w:val="20"/>
          <w:lang w:val="en-US" w:eastAsia="en-US" w:bidi="ar-SA"/>
        </w:rPr>
        <w:t>  Mr. Crawford's own evidence is that the logbooks in the security room contained hundreds of thousands of photographs. While that is admittedly an exaggeration it is submitted it nevertheless indicates a large number of photographs to review and attempt to remember.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444</w:t>
      </w:r>
      <w:r>
        <w:rPr>
          <w:rFonts w:ascii="arial" w:eastAsia="arial" w:hAnsi="arial" w:cs="arial"/>
          <w:color w:val="000000"/>
          <w:sz w:val="20"/>
          <w:lang w:val="en-US" w:eastAsia="en-US" w:bidi="ar-SA"/>
        </w:rPr>
        <w:t>  The evidence from other security personnel at Fraser Downs indicates that security personnel were instructed to review the binders on a regular basis and even Mr. O'Hara who worked with Mr. Crawford testified he reviewed the binders regularly.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445</w:t>
      </w:r>
      <w:r>
        <w:rPr>
          <w:rFonts w:ascii="arial" w:eastAsia="arial" w:hAnsi="arial" w:cs="arial"/>
          <w:color w:val="000000"/>
          <w:sz w:val="20"/>
          <w:lang w:val="en-US" w:eastAsia="en-US" w:bidi="ar-SA"/>
        </w:rPr>
        <w:t>  In addition, Ms. Sinclaire, a security supervisor during the relevant period, says that she reminded Mr. Crawford on numerous occasions to review the binders.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446</w:t>
      </w:r>
      <w:r>
        <w:rPr>
          <w:rFonts w:ascii="arial" w:eastAsia="arial" w:hAnsi="arial" w:cs="arial"/>
          <w:color w:val="000000"/>
          <w:sz w:val="20"/>
          <w:lang w:val="en-US" w:eastAsia="en-US" w:bidi="ar-SA"/>
        </w:rPr>
        <w:t>  Orangeville submits Mr. Crawford's evidence of only reviewing the binders infrequently is implausible in the context of the evidence of the other members of the security department.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447</w:t>
      </w:r>
      <w:r>
        <w:rPr>
          <w:rFonts w:ascii="arial" w:eastAsia="arial" w:hAnsi="arial" w:cs="arial"/>
          <w:color w:val="000000"/>
          <w:sz w:val="20"/>
          <w:lang w:val="en-US" w:eastAsia="en-US" w:bidi="ar-SA"/>
        </w:rPr>
        <w:t>  Even if Mr. Crawford's evidence should be accepted, it is submitted on the whole of the evidence Orangeville has met the applicable standard of care for security and surveillance during the plaintiff's self-exclusion period.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5. Negligent misrepresentation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448</w:t>
      </w:r>
      <w:r>
        <w:rPr>
          <w:rFonts w:ascii="arial" w:eastAsia="arial" w:hAnsi="arial" w:cs="arial"/>
          <w:color w:val="000000"/>
          <w:sz w:val="20"/>
          <w:lang w:val="en-US" w:eastAsia="en-US" w:bidi="ar-SA"/>
        </w:rPr>
        <w:t>  The plaintiff says she has an admittedly vague memory of her enrollment procedure on June 7, 2007 at Fraser Downs. She says she cannot recall with any certainty the time of day she enrolled, or the people and gender of the staff she dealt with, much less any of what she said to the staff.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449</w:t>
      </w:r>
      <w:r>
        <w:rPr>
          <w:rFonts w:ascii="arial" w:eastAsia="arial" w:hAnsi="arial" w:cs="arial"/>
          <w:color w:val="000000"/>
          <w:sz w:val="20"/>
          <w:lang w:val="en-US" w:eastAsia="en-US" w:bidi="ar-SA"/>
        </w:rPr>
        <w:t>  She does agree however that the staff handled the enrollment in a very professional manner and read through the entire contents of the VSE form to her before she signed it.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450</w:t>
      </w:r>
      <w:r>
        <w:rPr>
          <w:rFonts w:ascii="arial" w:eastAsia="arial" w:hAnsi="arial" w:cs="arial"/>
          <w:color w:val="000000"/>
          <w:sz w:val="20"/>
          <w:lang w:val="en-US" w:eastAsia="en-US" w:bidi="ar-SA"/>
        </w:rPr>
        <w:t>  Her evidence is that she understood the form the best she could when they went over it point by point with her, although she says she paid little attention to what was written on the form because she says she assumed the contract was going to be enforced and she trusted she wouldn't be allowed back into a casino no matter what.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451</w:t>
      </w:r>
      <w:r>
        <w:rPr>
          <w:rFonts w:ascii="arial" w:eastAsia="arial" w:hAnsi="arial" w:cs="arial"/>
          <w:color w:val="000000"/>
          <w:sz w:val="20"/>
          <w:lang w:val="en-US" w:eastAsia="en-US" w:bidi="ar-SA"/>
        </w:rPr>
        <w:t>  At the same time, she says she had a conversation with a staff member where he said that if I am out of town, it's less likely that I will be detected.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452</w:t>
      </w:r>
      <w:r>
        <w:rPr>
          <w:rFonts w:ascii="arial" w:eastAsia="arial" w:hAnsi="arial" w:cs="arial"/>
          <w:color w:val="000000"/>
          <w:sz w:val="20"/>
          <w:lang w:val="en-US" w:eastAsia="en-US" w:bidi="ar-SA"/>
        </w:rPr>
        <w:t>  Orangeville submits that the evidence of Mr. Petrow on this misrepresentation that is alleged against him should be accepted. He was the one who processed the plaintiff's enrollment form and while he has no specific memory of the plaintiff or her enrollment form he states as a matter of his standard practice he would not say anything more than the form stated.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453</w:t>
      </w:r>
      <w:r>
        <w:rPr>
          <w:rFonts w:ascii="arial" w:eastAsia="arial" w:hAnsi="arial" w:cs="arial"/>
          <w:color w:val="000000"/>
          <w:sz w:val="20"/>
          <w:lang w:val="en-US" w:eastAsia="en-US" w:bidi="ar-SA"/>
        </w:rPr>
        <w:t>  His evidence is that the contents of the alleged misrepresentation is completely contrary to the message that the form was giving the plaintiff that it was only if identified she would be requested to leave, and consequently he would not have made the alleged misrepresentation that she would never be able to gain re-entry to a casino.</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 xml:space="preserve">6. Operational </w:t>
      </w:r>
      <w:r>
        <w:rPr>
          <w:rFonts w:ascii="arial" w:eastAsia="arial" w:hAnsi="arial" w:cs="arial"/>
          <w:b/>
          <w:i/>
          <w:color w:val="000000"/>
          <w:sz w:val="20"/>
          <w:u w:val="single"/>
          <w:lang w:val="en-US" w:eastAsia="en-US" w:bidi="ar-SA"/>
        </w:rPr>
        <w:t>negligence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454</w:t>
      </w:r>
      <w:r>
        <w:rPr>
          <w:rFonts w:ascii="arial" w:eastAsia="arial" w:hAnsi="arial" w:cs="arial"/>
          <w:color w:val="000000"/>
          <w:sz w:val="20"/>
          <w:lang w:val="en-US" w:eastAsia="en-US" w:bidi="ar-SA"/>
        </w:rPr>
        <w:t>  Orangeville recognizes that the VSE program does not strive to attain 100% success in preventing VSE participants from re-entering casinos but it submits it is still a socially useful tool to help many people to control and even overcome their gambling addictions.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455</w:t>
      </w:r>
      <w:r>
        <w:rPr>
          <w:rFonts w:ascii="arial" w:eastAsia="arial" w:hAnsi="arial" w:cs="arial"/>
          <w:color w:val="000000"/>
          <w:sz w:val="20"/>
          <w:lang w:val="en-US" w:eastAsia="en-US" w:bidi="ar-SA"/>
        </w:rPr>
        <w:t>  Orangeville points to the evidence of Mr. Ennis, the director of surveillance at Fraser Downs, that there are approximately 13,500 visits to Fraser Downs every week with a range of 800-3000 patrons per day.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456</w:t>
      </w:r>
      <w:r>
        <w:rPr>
          <w:rFonts w:ascii="arial" w:eastAsia="arial" w:hAnsi="arial" w:cs="arial"/>
          <w:color w:val="000000"/>
          <w:sz w:val="20"/>
          <w:lang w:val="en-US" w:eastAsia="en-US" w:bidi="ar-SA"/>
        </w:rPr>
        <w:t>  The size of the security department on duty at any time ranges from nine on slow days to up to 22 at peak times and the surveillance department has two or three members on duty at any given time.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457</w:t>
      </w:r>
      <w:r>
        <w:rPr>
          <w:rFonts w:ascii="arial" w:eastAsia="arial" w:hAnsi="arial" w:cs="arial"/>
          <w:color w:val="000000"/>
          <w:sz w:val="20"/>
          <w:lang w:val="en-US" w:eastAsia="en-US" w:bidi="ar-SA"/>
        </w:rPr>
        <w:t>  Fraser Downs security and surveillance staff have all received the mandatory training required by BCLC and are monitored by BCLC and GPEB.</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458</w:t>
      </w:r>
      <w:r>
        <w:rPr>
          <w:rFonts w:ascii="arial" w:eastAsia="arial" w:hAnsi="arial" w:cs="arial"/>
          <w:color w:val="000000"/>
          <w:sz w:val="20"/>
          <w:lang w:val="en-US" w:eastAsia="en-US" w:bidi="ar-SA"/>
        </w:rPr>
        <w:t>  Security and surveillance staff keep themselves informed of the identities of self-exclusion participants through regularly reviewing i-TRAK subject profiles for those participants who have recently excluded or recently violated and regularly review bulletins and BOLOs from BCLC and review the binders of self-excluded participants.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459</w:t>
      </w:r>
      <w:r>
        <w:rPr>
          <w:rFonts w:ascii="arial" w:eastAsia="arial" w:hAnsi="arial" w:cs="arial"/>
          <w:color w:val="000000"/>
          <w:sz w:val="20"/>
          <w:lang w:val="en-US" w:eastAsia="en-US" w:bidi="ar-SA"/>
        </w:rPr>
        <w:t>  Thereafter it is submitted the system requires staff to primarily rely on their ability to remember faces of self-excluded participants among the hundreds or thousands of patrons who pass through the casino every day.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460</w:t>
      </w:r>
      <w:r>
        <w:rPr>
          <w:rFonts w:ascii="arial" w:eastAsia="arial" w:hAnsi="arial" w:cs="arial"/>
          <w:color w:val="000000"/>
          <w:sz w:val="20"/>
          <w:lang w:val="en-US" w:eastAsia="en-US" w:bidi="ar-SA"/>
        </w:rPr>
        <w:t>  Even so, from June 2007 to June 2010, the evidence is there were approximately 350 enrollments in the VSE program at Fraser Downs and 700 violators detected in the same time period.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461</w:t>
      </w:r>
      <w:r>
        <w:rPr>
          <w:rFonts w:ascii="arial" w:eastAsia="arial" w:hAnsi="arial" w:cs="arial"/>
          <w:color w:val="000000"/>
          <w:sz w:val="20"/>
          <w:lang w:val="en-US" w:eastAsia="en-US" w:bidi="ar-SA"/>
        </w:rPr>
        <w:t>  Reliance is placed on the evidence of Dr. Robert Ladouceur who supports the VSE program and the way it was operated as being consistent with and perhaps exceeding industry standards of practice, as well as the evidence of Mr. Hoke to the same conclusion.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462</w:t>
      </w:r>
      <w:r>
        <w:rPr>
          <w:rFonts w:ascii="arial" w:eastAsia="arial" w:hAnsi="arial" w:cs="arial"/>
          <w:color w:val="000000"/>
          <w:sz w:val="20"/>
          <w:lang w:val="en-US" w:eastAsia="en-US" w:bidi="ar-SA"/>
        </w:rPr>
        <w:t>  Orangeville submits that an examination of the plaintiff's pattern of gambling during her self-exclusion period explains why she was never identified as a VSE violator in either Cascades Casino or Fraser Downs Casino.</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463</w:t>
      </w:r>
      <w:r>
        <w:rPr>
          <w:rFonts w:ascii="arial" w:eastAsia="arial" w:hAnsi="arial" w:cs="arial"/>
          <w:color w:val="000000"/>
          <w:sz w:val="20"/>
          <w:lang w:val="en-US" w:eastAsia="en-US" w:bidi="ar-SA"/>
        </w:rPr>
        <w:t>  Orangeville has done an analysis of her pattern of gambling and submits that she did not re-attend at Fraser Downs for 11 or 12 weeks in 2007 after initially enrolling, attended only 12 days or so in 2008, 25 days or so in 2009 and nine days in 2010 prior to the expiry of her self-exclusion period.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464</w:t>
      </w:r>
      <w:r>
        <w:rPr>
          <w:rFonts w:ascii="arial" w:eastAsia="arial" w:hAnsi="arial" w:cs="arial"/>
          <w:color w:val="000000"/>
          <w:sz w:val="20"/>
          <w:lang w:val="en-US" w:eastAsia="en-US" w:bidi="ar-SA"/>
        </w:rPr>
        <w:t>  While Orangeville concedes its analysis may not be completely accurate, it submits it is still a good indication of the limited time periods that the plaintiff entered Fraser Downs after she enrolled in the self-exclusion program.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465</w:t>
      </w:r>
      <w:r>
        <w:rPr>
          <w:rFonts w:ascii="arial" w:eastAsia="arial" w:hAnsi="arial" w:cs="arial"/>
          <w:color w:val="000000"/>
          <w:sz w:val="20"/>
          <w:lang w:val="en-US" w:eastAsia="en-US" w:bidi="ar-SA"/>
        </w:rPr>
        <w:t>  It is submitted that the plaintiff therefore fell-out of the category of "high alert" persons, down to "historical registrant" persons, and thereby fell out of the top 100 faces that casino security and surveillance staff would most likely remember.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466</w:t>
      </w:r>
      <w:r>
        <w:rPr>
          <w:rFonts w:ascii="arial" w:eastAsia="arial" w:hAnsi="arial" w:cs="arial"/>
          <w:color w:val="000000"/>
          <w:sz w:val="20"/>
          <w:lang w:val="en-US" w:eastAsia="en-US" w:bidi="ar-SA"/>
        </w:rPr>
        <w:t>  Following the plaintiff's telephone call to the problem gambling hotline and her discussion with Mr. Ross on March 25, 2008, Orangeville's analysis indicates that she did not return to Fraser Downs for a period of another ten weeks or so.</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467</w:t>
      </w:r>
      <w:r>
        <w:rPr>
          <w:rFonts w:ascii="arial" w:eastAsia="arial" w:hAnsi="arial" w:cs="arial"/>
          <w:color w:val="000000"/>
          <w:sz w:val="20"/>
          <w:lang w:val="en-US" w:eastAsia="en-US" w:bidi="ar-SA"/>
        </w:rPr>
        <w:t>  As it was, it was pointed out that staff at Cascades Casino did flag someone in April 2008 who appeared to match the plaintiff's description but investigated and determined it was not the plaintiff.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468</w:t>
      </w:r>
      <w:r>
        <w:rPr>
          <w:rFonts w:ascii="arial" w:eastAsia="arial" w:hAnsi="arial" w:cs="arial"/>
          <w:color w:val="000000"/>
          <w:sz w:val="20"/>
          <w:lang w:val="en-US" w:eastAsia="en-US" w:bidi="ar-SA"/>
        </w:rPr>
        <w:t>  By May 31, 2008, it is submitted the BOLO notice that Mr. Ross had circulated would have faded from the memory of security and surveillance staff at Fraser Downs who would then have been concentrating on new VSE participants, repeat offenders and any subjects of new BOLOs.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469</w:t>
      </w:r>
      <w:r>
        <w:rPr>
          <w:rFonts w:ascii="arial" w:eastAsia="arial" w:hAnsi="arial" w:cs="arial"/>
          <w:color w:val="000000"/>
          <w:sz w:val="20"/>
          <w:lang w:val="en-US" w:eastAsia="en-US" w:bidi="ar-SA"/>
        </w:rPr>
        <w:t>  It is submitted that as a result of the plaintiff's long absences from Fraser Downs she was able to maintain a low profile and blend in with regular patrons while security and surveillance staff focused on recent self-exclusion participants.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470</w:t>
      </w:r>
      <w:r>
        <w:rPr>
          <w:rFonts w:ascii="arial" w:eastAsia="arial" w:hAnsi="arial" w:cs="arial"/>
          <w:color w:val="000000"/>
          <w:sz w:val="20"/>
          <w:lang w:val="en-US" w:eastAsia="en-US" w:bidi="ar-SA"/>
        </w:rPr>
        <w:t>  Orangeville also submits that the plaintiff's appearance changed dramatically between 2007 and 2010 which served to mask her identity to security and surveillance staff.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471</w:t>
      </w:r>
      <w:r>
        <w:rPr>
          <w:rFonts w:ascii="arial" w:eastAsia="arial" w:hAnsi="arial" w:cs="arial"/>
          <w:color w:val="000000"/>
          <w:sz w:val="20"/>
          <w:lang w:val="en-US" w:eastAsia="en-US" w:bidi="ar-SA"/>
        </w:rPr>
        <w:t>  The plaintiff agreed in her evidence that there was only a 50% chance that she would be recognized from her 2007 photo and that she grew her hair by three or four inches and gained weight after her 2007 photo.</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472</w:t>
      </w:r>
      <w:r>
        <w:rPr>
          <w:rFonts w:ascii="arial" w:eastAsia="arial" w:hAnsi="arial" w:cs="arial"/>
          <w:color w:val="000000"/>
          <w:sz w:val="20"/>
          <w:lang w:val="en-US" w:eastAsia="en-US" w:bidi="ar-SA"/>
        </w:rPr>
        <w:t>  Orangeville submits that the plaintiff's not getting caught strategy she employed while gambling during her self-exclusion period indicates that she was probably behaving in such a way as to not draw any attention to herself and with her change in appearance explains in part why she never came to the attention of security and surveillance staff at Fraser Downs.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473</w:t>
      </w:r>
      <w:r>
        <w:rPr>
          <w:rFonts w:ascii="arial" w:eastAsia="arial" w:hAnsi="arial" w:cs="arial"/>
          <w:color w:val="000000"/>
          <w:sz w:val="20"/>
          <w:lang w:val="en-US" w:eastAsia="en-US" w:bidi="ar-SA"/>
        </w:rPr>
        <w:t>  It is also observed that she sought to conceal her identity at Fraser Downs by providing the false name of Joy Brennan for any small jackpot wins.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7. Fiduciary duty of care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474</w:t>
      </w:r>
      <w:r>
        <w:rPr>
          <w:rFonts w:ascii="arial" w:eastAsia="arial" w:hAnsi="arial" w:cs="arial"/>
          <w:color w:val="000000"/>
          <w:sz w:val="20"/>
          <w:lang w:val="en-US" w:eastAsia="en-US" w:bidi="ar-SA"/>
        </w:rPr>
        <w:t>  Orangeville is content to adopt as its own the submissions of both BCLC and Gateway on the issue of fiduciary duty.</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8. The VSE enrollment form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475</w:t>
      </w:r>
      <w:r>
        <w:rPr>
          <w:rFonts w:ascii="arial" w:eastAsia="arial" w:hAnsi="arial" w:cs="arial"/>
          <w:color w:val="000000"/>
          <w:sz w:val="20"/>
          <w:lang w:val="en-US" w:eastAsia="en-US" w:bidi="ar-SA"/>
        </w:rPr>
        <w:t>  Orangeville adopts the arguments of Gateway as its own that the VSE enrollment form is a contract at law and should benefit the service providers as well as BCLC.</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476</w:t>
      </w:r>
      <w:r>
        <w:rPr>
          <w:rFonts w:ascii="arial" w:eastAsia="arial" w:hAnsi="arial" w:cs="arial"/>
          <w:color w:val="000000"/>
          <w:sz w:val="20"/>
          <w:lang w:val="en-US" w:eastAsia="en-US" w:bidi="ar-SA"/>
        </w:rPr>
        <w:t>  Orangeville points out that the plaintiff said in her evidence that she understood everything in the form as it was read to her.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477</w:t>
      </w:r>
      <w:r>
        <w:rPr>
          <w:rFonts w:ascii="arial" w:eastAsia="arial" w:hAnsi="arial" w:cs="arial"/>
          <w:color w:val="000000"/>
          <w:sz w:val="20"/>
          <w:lang w:val="en-US" w:eastAsia="en-US" w:bidi="ar-SA"/>
        </w:rPr>
        <w:t xml:space="preserve">  Orangeville submits there is no ambiguity in the wording of para. 5 of the VSE form so there is no basis to apply the principle of </w:t>
      </w:r>
      <w:r>
        <w:rPr>
          <w:rFonts w:ascii="arial" w:eastAsia="arial" w:hAnsi="arial" w:cs="arial"/>
          <w:i/>
          <w:color w:val="000000"/>
          <w:sz w:val="20"/>
          <w:lang w:val="en-US" w:eastAsia="en-US" w:bidi="ar-SA"/>
        </w:rPr>
        <w:t>contra proferentem.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478</w:t>
      </w:r>
      <w:r>
        <w:rPr>
          <w:rFonts w:ascii="arial" w:eastAsia="arial" w:hAnsi="arial" w:cs="arial"/>
          <w:color w:val="000000"/>
          <w:sz w:val="20"/>
          <w:lang w:val="en-US" w:eastAsia="en-US" w:bidi="ar-SA"/>
        </w:rPr>
        <w:t xml:space="preserve">  Orangeville submits that para. 5isa broadly drafted clause that is not restricted to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claims only but covers any potential claims including the plaintiff's claims of unjust enrichment and breach of fiduciary duty.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479</w:t>
      </w:r>
      <w:r>
        <w:rPr>
          <w:rFonts w:ascii="arial" w:eastAsia="arial" w:hAnsi="arial" w:cs="arial"/>
          <w:color w:val="000000"/>
          <w:sz w:val="20"/>
          <w:lang w:val="en-US" w:eastAsia="en-US" w:bidi="ar-SA"/>
        </w:rPr>
        <w:t xml:space="preserve">  Orangeville submits it is not unconscionable to enforce para. 5 because there is a very strong public interest in the enforcement of contracts as stated by the court in </w:t>
      </w:r>
      <w:r>
        <w:rPr>
          <w:rFonts w:ascii="arial" w:eastAsia="arial" w:hAnsi="arial" w:cs="arial"/>
          <w:i/>
          <w:color w:val="000000"/>
          <w:sz w:val="20"/>
          <w:lang w:val="en-US" w:eastAsia="en-US" w:bidi="ar-SA"/>
        </w:rPr>
        <w:t>Tercon Contractors Ltd. v. British Columbia (Transportation and Highways)</w:t>
      </w:r>
      <w:r>
        <w:rPr>
          <w:rFonts w:ascii="arial" w:eastAsia="arial" w:hAnsi="arial" w:cs="arial"/>
          <w:color w:val="000000"/>
          <w:sz w:val="20"/>
          <w:lang w:val="en-US" w:eastAsia="en-US" w:bidi="ar-SA"/>
        </w:rPr>
        <w:t xml:space="preserve">, </w:t>
      </w:r>
      <w:hyperlink r:id="rId175" w:history="1">
        <w:r>
          <w:rPr>
            <w:rFonts w:ascii="arial" w:eastAsia="arial" w:hAnsi="arial" w:cs="arial"/>
            <w:i/>
            <w:color w:val="0077CC"/>
            <w:sz w:val="20"/>
            <w:u w:val="single"/>
            <w:shd w:val="clear" w:color="auto" w:fill="FFFFFF"/>
            <w:lang w:val="en-US" w:eastAsia="en-US" w:bidi="ar-SA"/>
          </w:rPr>
          <w:t>2010 SCC 4</w:t>
        </w:r>
      </w:hyperlink>
      <w:r>
        <w:rPr>
          <w:rFonts w:ascii="arial" w:eastAsia="arial" w:hAnsi="arial" w:cs="arial"/>
          <w:color w:val="000000"/>
          <w:sz w:val="20"/>
          <w:lang w:val="en-US" w:eastAsia="en-US" w:bidi="ar-SA"/>
        </w:rPr>
        <w:t xml:space="preserve">, </w:t>
      </w:r>
      <w:hyperlink r:id="rId175" w:history="1">
        <w:r>
          <w:rPr>
            <w:rFonts w:ascii="arial" w:eastAsia="arial" w:hAnsi="arial" w:cs="arial"/>
            <w:i/>
            <w:color w:val="0077CC"/>
            <w:sz w:val="20"/>
            <w:u w:val="single"/>
            <w:shd w:val="clear" w:color="auto" w:fill="FFFFFF"/>
            <w:lang w:val="en-US" w:eastAsia="en-US" w:bidi="ar-SA"/>
          </w:rPr>
          <w:t>[2010] 1 S.C.R. 69</w:t>
        </w:r>
      </w:hyperlink>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480</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Loychuk v. Cougar Mountain Adventures Ltd.</w:t>
      </w:r>
      <w:r>
        <w:rPr>
          <w:rFonts w:ascii="arial" w:eastAsia="arial" w:hAnsi="arial" w:cs="arial"/>
          <w:color w:val="000000"/>
          <w:sz w:val="20"/>
          <w:lang w:val="en-US" w:eastAsia="en-US" w:bidi="ar-SA"/>
        </w:rPr>
        <w:t>, the court said the residual power of the court to refuse enforcement of waivers is rarely exercised in the interest of certainty and stability of contractual relations.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481</w:t>
      </w:r>
      <w:r>
        <w:rPr>
          <w:rFonts w:ascii="arial" w:eastAsia="arial" w:hAnsi="arial" w:cs="arial"/>
          <w:color w:val="000000"/>
          <w:sz w:val="20"/>
          <w:lang w:val="en-US" w:eastAsia="en-US" w:bidi="ar-SA"/>
        </w:rPr>
        <w:t>  Orangeville submits there is no evidence that it was unconscionable to require the plaintiff to provide the releases set out in para. 5.</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482</w:t>
      </w:r>
      <w:r>
        <w:rPr>
          <w:rFonts w:ascii="arial" w:eastAsia="arial" w:hAnsi="arial" w:cs="arial"/>
          <w:color w:val="000000"/>
          <w:sz w:val="20"/>
          <w:lang w:val="en-US" w:eastAsia="en-US" w:bidi="ar-SA"/>
        </w:rPr>
        <w:t>  It is submitted this was not a situation of a stronger party taking an unfair advantage of a weaker party to a strike a substantially unfair agreement. Rather it was the plaintiff who approached BCLC to enter the VSE program and she went over the form completely before signing and said she understood it.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483</w:t>
      </w:r>
      <w:r>
        <w:rPr>
          <w:rFonts w:ascii="arial" w:eastAsia="arial" w:hAnsi="arial" w:cs="arial"/>
          <w:color w:val="000000"/>
          <w:sz w:val="20"/>
          <w:lang w:val="en-US" w:eastAsia="en-US" w:bidi="ar-SA"/>
        </w:rPr>
        <w:t>  It is submitted there is nothing unfair about the releases being enforceable when BCLC and its service providers were asked to help the plaintiff.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484</w:t>
      </w:r>
      <w:r>
        <w:rPr>
          <w:rFonts w:ascii="arial" w:eastAsia="arial" w:hAnsi="arial" w:cs="arial"/>
          <w:color w:val="000000"/>
          <w:sz w:val="20"/>
          <w:lang w:val="en-US" w:eastAsia="en-US" w:bidi="ar-SA"/>
        </w:rPr>
        <w:t>  It is submitted in the unique circumstances of this case, which includes the implementation of an assistance program by the defendants and the evidence concerning breaches and the knowledge that it is not possible to prevent VSE patrons from violating 100% of the time, it is entirely logical and reasonable that the defendants would seek to protect their interests through this paragraph.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485</w:t>
      </w:r>
      <w:r>
        <w:rPr>
          <w:rFonts w:ascii="arial" w:eastAsia="arial" w:hAnsi="arial" w:cs="arial"/>
          <w:color w:val="000000"/>
          <w:sz w:val="20"/>
          <w:lang w:val="en-US" w:eastAsia="en-US" w:bidi="ar-SA"/>
        </w:rPr>
        <w:t>  It is submitted in fact there is the public policy interest in upholding the VSE program and the form, including this paragraph, in light of the larger benefits to the public of having this type of program in existence. To discourage parties like BCLC and the casino service providers from implementing a program such as this program by declining to enforce para. 5 in Orangeville's submission would ultimately be contrary to the public's interest in helping problem gamblers to control their gambling.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VII. ANALYSIS AND DECISION</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1. The VSE enrollment form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486</w:t>
      </w:r>
      <w:r>
        <w:rPr>
          <w:rFonts w:ascii="arial" w:eastAsia="arial" w:hAnsi="arial" w:cs="arial"/>
          <w:color w:val="000000"/>
          <w:sz w:val="20"/>
          <w:lang w:val="en-US" w:eastAsia="en-US" w:bidi="ar-SA"/>
        </w:rPr>
        <w:t>  It is my conclusion that the voluntary self-exclusion enrollment form is not a contract at law.</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487</w:t>
      </w:r>
      <w:r>
        <w:rPr>
          <w:rFonts w:ascii="arial" w:eastAsia="arial" w:hAnsi="arial" w:cs="arial"/>
          <w:color w:val="000000"/>
          <w:sz w:val="20"/>
          <w:lang w:val="en-US" w:eastAsia="en-US" w:bidi="ar-SA"/>
        </w:rPr>
        <w:t xml:space="preserve">  It is my conclusion that the incorporation of the wording of s. 92(b) of the </w:t>
      </w:r>
      <w:r>
        <w:rPr>
          <w:rFonts w:ascii="arial" w:eastAsia="arial" w:hAnsi="arial" w:cs="arial"/>
          <w:i/>
          <w:color w:val="000000"/>
          <w:sz w:val="20"/>
          <w:lang w:val="en-US" w:eastAsia="en-US" w:bidi="ar-SA"/>
        </w:rPr>
        <w:t>Gaming Control Act</w:t>
      </w:r>
      <w:r>
        <w:rPr>
          <w:rFonts w:ascii="arial" w:eastAsia="arial" w:hAnsi="arial" w:cs="arial"/>
          <w:color w:val="000000"/>
          <w:sz w:val="20"/>
          <w:lang w:val="en-US" w:eastAsia="en-US" w:bidi="ar-SA"/>
        </w:rPr>
        <w:t xml:space="preserve"> in the enrollment form was in response to an existing duty to do so which cannot constitute consideration in law.</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488</w:t>
      </w:r>
      <w:r>
        <w:rPr>
          <w:rFonts w:ascii="arial" w:eastAsia="arial" w:hAnsi="arial" w:cs="arial"/>
          <w:color w:val="000000"/>
          <w:sz w:val="20"/>
          <w:lang w:val="en-US" w:eastAsia="en-US" w:bidi="ar-SA"/>
        </w:rPr>
        <w:t>  I agree with Gateway that the wording of s. 92 does not use mandatory language but gives BCLC the discretion by the use of the word "may" to issue the s. 92(b) written notice.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489</w:t>
      </w:r>
      <w:r>
        <w:rPr>
          <w:rFonts w:ascii="arial" w:eastAsia="arial" w:hAnsi="arial" w:cs="arial"/>
          <w:color w:val="000000"/>
          <w:sz w:val="20"/>
          <w:lang w:val="en-US" w:eastAsia="en-US" w:bidi="ar-SA"/>
        </w:rPr>
        <w:t xml:space="preserve">  However, I agree with BCLC that under s. 27(2)(d) of the </w:t>
      </w:r>
      <w:r>
        <w:rPr>
          <w:rFonts w:ascii="arial" w:eastAsia="arial" w:hAnsi="arial" w:cs="arial"/>
          <w:i/>
          <w:color w:val="000000"/>
          <w:sz w:val="20"/>
          <w:lang w:val="en-US" w:eastAsia="en-US" w:bidi="ar-SA"/>
        </w:rPr>
        <w:t>Act</w:t>
      </w:r>
      <w:r>
        <w:rPr>
          <w:rFonts w:ascii="arial" w:eastAsia="arial" w:hAnsi="arial" w:cs="arial"/>
          <w:color w:val="000000"/>
          <w:sz w:val="20"/>
          <w:lang w:val="en-US" w:eastAsia="en-US" w:bidi="ar-SA"/>
        </w:rPr>
        <w:t>, the general manager may establish public interest standards for gaming operations, including...types of activities allowed and policies to address problem gambling at gambling facilities.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490</w:t>
      </w:r>
      <w:r>
        <w:rPr>
          <w:rFonts w:ascii="arial" w:eastAsia="arial" w:hAnsi="arial" w:cs="arial"/>
          <w:color w:val="000000"/>
          <w:sz w:val="20"/>
          <w:lang w:val="en-US" w:eastAsia="en-US" w:bidi="ar-SA"/>
        </w:rPr>
        <w:t>  To that end the GPEB promulgated the Responsible Gambling Standards for the BC gambling industry in July 2005 and at s. 6.1 of those Standards said as a mandatory requirement that BCLC and all BCLC gaming service providers must provide voluntary self-exclusion programs.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491</w:t>
      </w:r>
      <w:r>
        <w:rPr>
          <w:rFonts w:ascii="arial" w:eastAsia="arial" w:hAnsi="arial" w:cs="arial"/>
          <w:color w:val="000000"/>
          <w:sz w:val="20"/>
          <w:lang w:val="en-US" w:eastAsia="en-US" w:bidi="ar-SA"/>
        </w:rPr>
        <w:t>  This provision does not give any further detail on what that program must include but it is clear to me that it would have to include a ban on the entry to casinos of self-excluded people in order to be effective.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492</w:t>
      </w:r>
      <w:r>
        <w:rPr>
          <w:rFonts w:ascii="arial" w:eastAsia="arial" w:hAnsi="arial" w:cs="arial"/>
          <w:color w:val="000000"/>
          <w:sz w:val="20"/>
          <w:lang w:val="en-US" w:eastAsia="en-US" w:bidi="ar-SA"/>
        </w:rPr>
        <w:t>  Otherwise, there would be no ability to prevent a self-excluded person from entering a casino or remaining in a casino and there would be no benefit to the self-exclusion program. In my opinion it would be toothless.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493</w:t>
      </w:r>
      <w:r>
        <w:rPr>
          <w:rFonts w:ascii="arial" w:eastAsia="arial" w:hAnsi="arial" w:cs="arial"/>
          <w:color w:val="000000"/>
          <w:sz w:val="20"/>
          <w:lang w:val="en-US" w:eastAsia="en-US" w:bidi="ar-SA"/>
        </w:rPr>
        <w:t>  Therefore all defendants are not entitled to use the waiver/release provisions in para. 5 of the enrollment form to avoid any liability as if it is a contractual provision.</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2. Unjust enrichment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494</w:t>
      </w:r>
      <w:r>
        <w:rPr>
          <w:rFonts w:ascii="arial" w:eastAsia="arial" w:hAnsi="arial" w:cs="arial"/>
          <w:color w:val="000000"/>
          <w:sz w:val="20"/>
          <w:lang w:val="en-US" w:eastAsia="en-US" w:bidi="ar-SA"/>
        </w:rPr>
        <w:t>  I accept that the only defendant who is at risk on this claim is BCLC because the revenues obtained from the plaintiff's gambling during her VSE period belonged to it and not to the two casino defendants.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495</w:t>
      </w:r>
      <w:r>
        <w:rPr>
          <w:rFonts w:ascii="arial" w:eastAsia="arial" w:hAnsi="arial" w:cs="arial"/>
          <w:color w:val="000000"/>
          <w:sz w:val="20"/>
          <w:lang w:val="en-US" w:eastAsia="en-US" w:bidi="ar-SA"/>
        </w:rPr>
        <w:t>  If this conclusion should be in error, it also my conclusion that this claim must fail against the two casino defendants.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496</w:t>
      </w:r>
      <w:r>
        <w:rPr>
          <w:rFonts w:ascii="arial" w:eastAsia="arial" w:hAnsi="arial" w:cs="arial"/>
          <w:color w:val="000000"/>
          <w:sz w:val="20"/>
          <w:lang w:val="en-US" w:eastAsia="en-US" w:bidi="ar-SA"/>
        </w:rPr>
        <w:t>  It may be that the two casino defendants or BCLC have been enriched by the plaintiff's revenues and she has been deprived of them, but I agree with BCLC that there was a juristic reason to retain all the revenues lost, being the validity of the wagering contracts she entered into during her VSE period at the two defendant casinos that resulted in her losses.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497</w:t>
      </w:r>
      <w:r>
        <w:rPr>
          <w:rFonts w:ascii="arial" w:eastAsia="arial" w:hAnsi="arial" w:cs="arial"/>
          <w:color w:val="000000"/>
          <w:sz w:val="20"/>
          <w:lang w:val="en-US" w:eastAsia="en-US" w:bidi="ar-SA"/>
        </w:rPr>
        <w:t xml:space="preserve">  I agree with BCLC that s. 7(1)(a) of the </w:t>
      </w:r>
      <w:r>
        <w:rPr>
          <w:rFonts w:ascii="arial" w:eastAsia="arial" w:hAnsi="arial" w:cs="arial"/>
          <w:i/>
          <w:color w:val="000000"/>
          <w:sz w:val="20"/>
          <w:lang w:val="en-US" w:eastAsia="en-US" w:bidi="ar-SA"/>
        </w:rPr>
        <w:t>Act</w:t>
      </w:r>
      <w:r>
        <w:rPr>
          <w:rFonts w:ascii="arial" w:eastAsia="arial" w:hAnsi="arial" w:cs="arial"/>
          <w:color w:val="000000"/>
          <w:sz w:val="20"/>
          <w:lang w:val="en-US" w:eastAsia="en-US" w:bidi="ar-SA"/>
        </w:rPr>
        <w:t xml:space="preserve"> provides its authority to retain the revenues the plaintiff lost by gambling while self-excluded.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498</w:t>
      </w:r>
      <w:r>
        <w:rPr>
          <w:rFonts w:ascii="arial" w:eastAsia="arial" w:hAnsi="arial" w:cs="arial"/>
          <w:color w:val="000000"/>
          <w:sz w:val="20"/>
          <w:lang w:val="en-US" w:eastAsia="en-US" w:bidi="ar-SA"/>
        </w:rPr>
        <w:t xml:space="preserve">  Section 93(1) and (2) of the </w:t>
      </w:r>
      <w:r>
        <w:rPr>
          <w:rFonts w:ascii="arial" w:eastAsia="arial" w:hAnsi="arial" w:cs="arial"/>
          <w:i/>
          <w:color w:val="000000"/>
          <w:sz w:val="20"/>
          <w:lang w:val="en-US" w:eastAsia="en-US" w:bidi="ar-SA"/>
        </w:rPr>
        <w:t>Act</w:t>
      </w:r>
      <w:r>
        <w:rPr>
          <w:rFonts w:ascii="arial" w:eastAsia="arial" w:hAnsi="arial" w:cs="arial"/>
          <w:color w:val="000000"/>
          <w:sz w:val="20"/>
          <w:lang w:val="en-US" w:eastAsia="en-US" w:bidi="ar-SA"/>
        </w:rPr>
        <w:t xml:space="preserve"> does not deny a banned patron their winnings before they are required to leave. It only requires their removal.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499</w:t>
      </w:r>
      <w:r>
        <w:rPr>
          <w:rFonts w:ascii="arial" w:eastAsia="arial" w:hAnsi="arial" w:cs="arial"/>
          <w:color w:val="000000"/>
          <w:sz w:val="20"/>
          <w:lang w:val="en-US" w:eastAsia="en-US" w:bidi="ar-SA"/>
        </w:rPr>
        <w:t>  Section 97 and 98 set out the offence and the penalties for breach of s. 93(1) but do not purport to deny the patron any winnings before being required to leave.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500</w:t>
      </w:r>
      <w:r>
        <w:rPr>
          <w:rFonts w:ascii="arial" w:eastAsia="arial" w:hAnsi="arial" w:cs="arial"/>
          <w:color w:val="000000"/>
          <w:sz w:val="20"/>
          <w:lang w:val="en-US" w:eastAsia="en-US" w:bidi="ar-SA"/>
        </w:rPr>
        <w:t>  If a patron has a right to keep the winnings before s. 93(1) and (2) become engaged, then it must follow that the patron must bear any losses that have occurred before that time without any recourse.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501</w:t>
      </w:r>
      <w:r>
        <w:rPr>
          <w:rFonts w:ascii="arial" w:eastAsia="arial" w:hAnsi="arial" w:cs="arial"/>
          <w:color w:val="000000"/>
          <w:sz w:val="20"/>
          <w:lang w:val="en-US" w:eastAsia="en-US" w:bidi="ar-SA"/>
        </w:rPr>
        <w:t>  On April 1, 2009, the Jackpot Ineligibility Rules for VSE violators came into being. Prior to that date, the plaintiff's gambling contracts were valid and enforceable.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502</w:t>
      </w:r>
      <w:r>
        <w:rPr>
          <w:rFonts w:ascii="arial" w:eastAsia="arial" w:hAnsi="arial" w:cs="arial"/>
          <w:color w:val="000000"/>
          <w:sz w:val="20"/>
          <w:lang w:val="en-US" w:eastAsia="en-US" w:bidi="ar-SA"/>
        </w:rPr>
        <w:t>  The Jackpot Ineligibility Rules only apply to a gaming facility prize for which identification is required in order to claim the prize.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503</w:t>
      </w:r>
      <w:r>
        <w:rPr>
          <w:rFonts w:ascii="arial" w:eastAsia="arial" w:hAnsi="arial" w:cs="arial"/>
          <w:color w:val="000000"/>
          <w:sz w:val="20"/>
          <w:lang w:val="en-US" w:eastAsia="en-US" w:bidi="ar-SA"/>
        </w:rPr>
        <w:t>  In that circumstance, the VSE violator is denied the prize.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504</w:t>
      </w:r>
      <w:r>
        <w:rPr>
          <w:rFonts w:ascii="arial" w:eastAsia="arial" w:hAnsi="arial" w:cs="arial"/>
          <w:color w:val="000000"/>
          <w:sz w:val="20"/>
          <w:lang w:val="en-US" w:eastAsia="en-US" w:bidi="ar-SA"/>
        </w:rPr>
        <w:t>  There is no evidence in this case that the plaintiff ever received a jackpot prize while self-excluded for which she was asked to provide identification.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505</w:t>
      </w:r>
      <w:r>
        <w:rPr>
          <w:rFonts w:ascii="arial" w:eastAsia="arial" w:hAnsi="arial" w:cs="arial"/>
          <w:color w:val="000000"/>
          <w:sz w:val="20"/>
          <w:lang w:val="en-US" w:eastAsia="en-US" w:bidi="ar-SA"/>
        </w:rPr>
        <w:t>  Accordingly, the existence of the Jackpot Ineligibility Rules on April 1, 2009 is irrelevant to the validity of the plaintiff's gambling contracts during her self-excluded period.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506</w:t>
      </w:r>
      <w:r>
        <w:rPr>
          <w:rFonts w:ascii="arial" w:eastAsia="arial" w:hAnsi="arial" w:cs="arial"/>
          <w:color w:val="000000"/>
          <w:sz w:val="20"/>
          <w:lang w:val="en-US" w:eastAsia="en-US" w:bidi="ar-SA"/>
        </w:rPr>
        <w:t xml:space="preserve">  Section 93(3) of the </w:t>
      </w:r>
      <w:r>
        <w:rPr>
          <w:rFonts w:ascii="arial" w:eastAsia="arial" w:hAnsi="arial" w:cs="arial"/>
          <w:i/>
          <w:color w:val="000000"/>
          <w:sz w:val="20"/>
          <w:lang w:val="en-US" w:eastAsia="en-US" w:bidi="ar-SA"/>
        </w:rPr>
        <w:t>Act</w:t>
      </w:r>
      <w:r>
        <w:rPr>
          <w:rFonts w:ascii="arial" w:eastAsia="arial" w:hAnsi="arial" w:cs="arial"/>
          <w:color w:val="000000"/>
          <w:sz w:val="20"/>
          <w:lang w:val="en-US" w:eastAsia="en-US" w:bidi="ar-SA"/>
        </w:rPr>
        <w:t xml:space="preserve"> did not come into being until June 3, 2010.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507</w:t>
      </w:r>
      <w:r>
        <w:rPr>
          <w:rFonts w:ascii="arial" w:eastAsia="arial" w:hAnsi="arial" w:cs="arial"/>
          <w:color w:val="000000"/>
          <w:sz w:val="20"/>
          <w:lang w:val="en-US" w:eastAsia="en-US" w:bidi="ar-SA"/>
        </w:rPr>
        <w:t>  Although by its wording it did deny a VSE violator any prize or winnings, the evidence is that the plaintiff did no gambling at any BC casinos in June 2010 before her self-exclusion period was up on June 12, 2010.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508</w:t>
      </w:r>
      <w:r>
        <w:rPr>
          <w:rFonts w:ascii="arial" w:eastAsia="arial" w:hAnsi="arial" w:cs="arial"/>
          <w:color w:val="000000"/>
          <w:sz w:val="20"/>
          <w:lang w:val="en-US" w:eastAsia="en-US" w:bidi="ar-SA"/>
        </w:rPr>
        <w:t>  The June 2010 records only indicate that she gambled at Silver Reef Casino in Washington, USA and did not return to British Columbia until July 12, 2007 where she gambled initially at the View Royal Casino in Victoria, BC.</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509</w:t>
      </w:r>
      <w:r>
        <w:rPr>
          <w:rFonts w:ascii="arial" w:eastAsia="arial" w:hAnsi="arial" w:cs="arial"/>
          <w:color w:val="000000"/>
          <w:sz w:val="20"/>
          <w:lang w:val="en-US" w:eastAsia="en-US" w:bidi="ar-SA"/>
        </w:rPr>
        <w:t>  Accordingly, s. 93(3) is also irrelevant to the validity of the plaintiff's gambling contracts during her self-exclusion period.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510</w:t>
      </w:r>
      <w:r>
        <w:rPr>
          <w:rFonts w:ascii="arial" w:eastAsia="arial" w:hAnsi="arial" w:cs="arial"/>
          <w:color w:val="000000"/>
          <w:sz w:val="20"/>
          <w:lang w:val="en-US" w:eastAsia="en-US" w:bidi="ar-SA"/>
        </w:rPr>
        <w:t>  At all times, I am satisfied the consideration the plaintiff received for her gambling during her VSE period was the chance to win and receive her winnings before being identified and asked to leave, and the enjoyment or thrill of that gambling.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511</w:t>
      </w:r>
      <w:r>
        <w:rPr>
          <w:rFonts w:ascii="arial" w:eastAsia="arial" w:hAnsi="arial" w:cs="arial"/>
          <w:color w:val="000000"/>
          <w:sz w:val="20"/>
          <w:lang w:val="en-US" w:eastAsia="en-US" w:bidi="ar-SA"/>
        </w:rPr>
        <w:t>  If the plaintiff's submission were correct that her gambling contracts were void or voidable if she lost, it would mean that she and any other banned patron could gamble with impunity by keeping their winnings and recovering their losses. This cannot be the case. It would also mean that every gambler would want to be self-excluded solely to have their contracts declared void or voidable so they could recover their losses. This can't be the case either.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512</w:t>
      </w:r>
      <w:r>
        <w:rPr>
          <w:rFonts w:ascii="arial" w:eastAsia="arial" w:hAnsi="arial" w:cs="arial"/>
          <w:color w:val="000000"/>
          <w:sz w:val="20"/>
          <w:lang w:val="en-US" w:eastAsia="en-US" w:bidi="ar-SA"/>
        </w:rPr>
        <w:t>  Unjust enrichment is an inequitable claim and the plaintiff has not come to court with clean hands, having breached her duty of self-exclusion.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513</w:t>
      </w:r>
      <w:r>
        <w:rPr>
          <w:rFonts w:ascii="arial" w:eastAsia="arial" w:hAnsi="arial" w:cs="arial"/>
          <w:color w:val="000000"/>
          <w:sz w:val="20"/>
          <w:lang w:val="en-US" w:eastAsia="en-US" w:bidi="ar-SA"/>
        </w:rPr>
        <w:t>  The court will not lend its support to such a claim and this claim is dismissed.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3. Negligent misrepresentation against Orangeville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514</w:t>
      </w:r>
      <w:r>
        <w:rPr>
          <w:rFonts w:ascii="arial" w:eastAsia="arial" w:hAnsi="arial" w:cs="arial"/>
          <w:color w:val="000000"/>
          <w:sz w:val="20"/>
          <w:lang w:val="en-US" w:eastAsia="en-US" w:bidi="ar-SA"/>
        </w:rPr>
        <w:t>  The plaintiff relies on her evidence of what she says Mr. Petrow said to her at the time she entered the VSE program on June 12, 2010 that she was not going to be able to gamble for sure, that if she came into a casino she would be escorted out.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515</w:t>
      </w:r>
      <w:r>
        <w:rPr>
          <w:rFonts w:ascii="arial" w:eastAsia="arial" w:hAnsi="arial" w:cs="arial"/>
          <w:color w:val="000000"/>
          <w:sz w:val="20"/>
          <w:lang w:val="en-US" w:eastAsia="en-US" w:bidi="ar-SA"/>
        </w:rPr>
        <w:t>  Mr. Petrow has no memory of talking to the plaintiff but says as a matter of his standard practice he would not have deviated from the words of the VSE form itself.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516</w:t>
      </w:r>
      <w:r>
        <w:rPr>
          <w:rFonts w:ascii="arial" w:eastAsia="arial" w:hAnsi="arial" w:cs="arial"/>
          <w:color w:val="000000"/>
          <w:sz w:val="20"/>
          <w:lang w:val="en-US" w:eastAsia="en-US" w:bidi="ar-SA"/>
        </w:rPr>
        <w:t>  I accept the evidence of Mr. Petrow over the evidence of the plaintiff. I can think of no logical reason why Mr. Petrow or any other employee would promise the plaintiff more than the program offered.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517</w:t>
      </w:r>
      <w:r>
        <w:rPr>
          <w:rFonts w:ascii="arial" w:eastAsia="arial" w:hAnsi="arial" w:cs="arial"/>
          <w:color w:val="000000"/>
          <w:sz w:val="20"/>
          <w:lang w:val="en-US" w:eastAsia="en-US" w:bidi="ar-SA"/>
        </w:rPr>
        <w:t>  It may be that the plaintiff simply misunderstood what was told to her because she was not listening. Regardless I reject her evidence at trial of what she says Mr. Petrow told her.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518</w:t>
      </w:r>
      <w:r>
        <w:rPr>
          <w:rFonts w:ascii="arial" w:eastAsia="arial" w:hAnsi="arial" w:cs="arial"/>
          <w:color w:val="000000"/>
          <w:sz w:val="20"/>
          <w:lang w:val="en-US" w:eastAsia="en-US" w:bidi="ar-SA"/>
        </w:rPr>
        <w:t>  I also conclude that even if Mr. Petrow had said the things that she alleges against him, the plaintiff says at the same time she was told she might not be as easily detected if she gambled out of town.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519</w:t>
      </w:r>
      <w:r>
        <w:rPr>
          <w:rFonts w:ascii="arial" w:eastAsia="arial" w:hAnsi="arial" w:cs="arial"/>
          <w:color w:val="000000"/>
          <w:sz w:val="20"/>
          <w:lang w:val="en-US" w:eastAsia="en-US" w:bidi="ar-SA"/>
        </w:rPr>
        <w:t>  In my view, this is a clear indication that she knew that she first had to be detected before she would be removed. It was not a matter of any guarantee that she would be removed on every occasion she tried to enter into a BC casino.</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520</w:t>
      </w:r>
      <w:r>
        <w:rPr>
          <w:rFonts w:ascii="arial" w:eastAsia="arial" w:hAnsi="arial" w:cs="arial"/>
          <w:color w:val="000000"/>
          <w:sz w:val="20"/>
          <w:lang w:val="en-US" w:eastAsia="en-US" w:bidi="ar-SA"/>
        </w:rPr>
        <w:t>  The "Time Out" brochure wording does not assist the plaintiff on this issue either. The fact it said she would not be allowed back in while self-excluded does not necessarily infer that she would be caught and removed at every attempt of hers to re-enter.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521</w:t>
      </w:r>
      <w:r>
        <w:rPr>
          <w:rFonts w:ascii="arial" w:eastAsia="arial" w:hAnsi="arial" w:cs="arial"/>
          <w:color w:val="000000"/>
          <w:sz w:val="20"/>
          <w:lang w:val="en-US" w:eastAsia="en-US" w:bidi="ar-SA"/>
        </w:rPr>
        <w:t>  In my view, the wording does not imply any duty on a casino service provider or BCLC to ensure that she remained prohibited at every attempt by her to re-enter.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522</w:t>
      </w:r>
      <w:r>
        <w:rPr>
          <w:rFonts w:ascii="arial" w:eastAsia="arial" w:hAnsi="arial" w:cs="arial"/>
          <w:color w:val="000000"/>
          <w:sz w:val="20"/>
          <w:lang w:val="en-US" w:eastAsia="en-US" w:bidi="ar-SA"/>
        </w:rPr>
        <w:t>  This claim is dismissed.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4. Failure to warn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523</w:t>
      </w:r>
      <w:r>
        <w:rPr>
          <w:rFonts w:ascii="arial" w:eastAsia="arial" w:hAnsi="arial" w:cs="arial"/>
          <w:color w:val="000000"/>
          <w:sz w:val="20"/>
          <w:lang w:val="en-US" w:eastAsia="en-US" w:bidi="ar-SA"/>
        </w:rPr>
        <w:t>  The plaintiff also alleges that she should have been warned at the outset when entering the VSE program in 2007 that the operational security and surveillance system in the casinos might not be able to identify her through facial recognition, so she could take other steps on her own to ensure her exclusion, such as she did on July 12, 2010 in handing out her own poster of her self-exclusion with her picture on it just before she entered into the VSE program for the second time after the initial VSE period had expired on June 12, 2010.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524</w:t>
      </w:r>
      <w:r>
        <w:rPr>
          <w:rFonts w:ascii="arial" w:eastAsia="arial" w:hAnsi="arial" w:cs="arial"/>
          <w:color w:val="000000"/>
          <w:sz w:val="20"/>
          <w:lang w:val="en-US" w:eastAsia="en-US" w:bidi="ar-SA"/>
        </w:rPr>
        <w:t>  By the pleading, this allegation is made only against the defendant Orangeville and I will only consider it in that regard.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525</w:t>
      </w:r>
      <w:r>
        <w:rPr>
          <w:rFonts w:ascii="arial" w:eastAsia="arial" w:hAnsi="arial" w:cs="arial"/>
          <w:color w:val="000000"/>
          <w:sz w:val="20"/>
          <w:lang w:val="en-US" w:eastAsia="en-US" w:bidi="ar-SA"/>
        </w:rPr>
        <w:t>  This is an allegation made by the plaintiff in the context of her evidence that Mr. Petrow told her at her entry into the VSE program she might not be as easily identified if she gambled out of town while self-excluded.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526</w:t>
      </w:r>
      <w:r>
        <w:rPr>
          <w:rFonts w:ascii="arial" w:eastAsia="arial" w:hAnsi="arial" w:cs="arial"/>
          <w:color w:val="000000"/>
          <w:sz w:val="20"/>
          <w:lang w:val="en-US" w:eastAsia="en-US" w:bidi="ar-SA"/>
        </w:rPr>
        <w:t>  On her own evidence this indicates that from the outset of her self-exclusion she knew the operational security and surveillance system in the casinos might not be able to identify her.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527</w:t>
      </w:r>
      <w:r>
        <w:rPr>
          <w:rFonts w:ascii="arial" w:eastAsia="arial" w:hAnsi="arial" w:cs="arial"/>
          <w:color w:val="000000"/>
          <w:sz w:val="20"/>
          <w:lang w:val="en-US" w:eastAsia="en-US" w:bidi="ar-SA"/>
        </w:rPr>
        <w:t>  If she was concerned at that time about not being identified then she had the opportunity at that time to do something about it.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528</w:t>
      </w:r>
      <w:r>
        <w:rPr>
          <w:rFonts w:ascii="arial" w:eastAsia="arial" w:hAnsi="arial" w:cs="arial"/>
          <w:color w:val="000000"/>
          <w:sz w:val="20"/>
          <w:lang w:val="en-US" w:eastAsia="en-US" w:bidi="ar-SA"/>
        </w:rPr>
        <w:t>  This allegation against Orangeville that it owed her a duty of care to warn her that she might not be identified is made in the face of the wording of the VSE form which she executed which informed her that she would be requested to leave the casino "If I attend any gaming facility during the term of this self-exclusion, and I am identified by BCLC or facility staff", indicating that she first had to be identified.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529</w:t>
      </w:r>
      <w:r>
        <w:rPr>
          <w:rFonts w:ascii="arial" w:eastAsia="arial" w:hAnsi="arial" w:cs="arial"/>
          <w:color w:val="000000"/>
          <w:sz w:val="20"/>
          <w:lang w:val="en-US" w:eastAsia="en-US" w:bidi="ar-SA"/>
        </w:rPr>
        <w:t>  Again if she was truly concerned about not being identified by the security and surveillance system that was in existence she had the opportunity at that time to do something about it and she didn't.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530</w:t>
      </w:r>
      <w:r>
        <w:rPr>
          <w:rFonts w:ascii="arial" w:eastAsia="arial" w:hAnsi="arial" w:cs="arial"/>
          <w:color w:val="000000"/>
          <w:sz w:val="20"/>
          <w:lang w:val="en-US" w:eastAsia="en-US" w:bidi="ar-SA"/>
        </w:rPr>
        <w:t>  If she didn't understand this at the time she certainly would have understood it the first time she gambled while self-excluded and was not identified.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531</w:t>
      </w:r>
      <w:r>
        <w:rPr>
          <w:rFonts w:ascii="arial" w:eastAsia="arial" w:hAnsi="arial" w:cs="arial"/>
          <w:color w:val="000000"/>
          <w:sz w:val="20"/>
          <w:lang w:val="en-US" w:eastAsia="en-US" w:bidi="ar-SA"/>
        </w:rPr>
        <w:t>  This claim is dismissed.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 xml:space="preserve">5. </w:t>
      </w:r>
      <w:r>
        <w:rPr>
          <w:rFonts w:ascii="arial" w:eastAsia="arial" w:hAnsi="arial" w:cs="arial"/>
          <w:b/>
          <w:i/>
          <w:color w:val="000000"/>
          <w:sz w:val="20"/>
          <w:u w:val="single"/>
          <w:lang w:val="en-US" w:eastAsia="en-US" w:bidi="ar-SA"/>
        </w:rPr>
        <w:t>Negligence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532</w:t>
      </w:r>
      <w:r>
        <w:rPr>
          <w:rFonts w:ascii="arial" w:eastAsia="arial" w:hAnsi="arial" w:cs="arial"/>
          <w:color w:val="000000"/>
          <w:sz w:val="20"/>
          <w:lang w:val="en-US" w:eastAsia="en-US" w:bidi="ar-SA"/>
        </w:rPr>
        <w:t>  It is my conclusion that none of the defendants owed the plaintiff a duty of care to guarantee or ensure that she would not be able to continue to gamble in any BC casino during her self-exclusion period of 2007-2010, nor any duty of care to indemnify her for her losses when no other gambler is owed this duty.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533</w:t>
      </w:r>
      <w:r>
        <w:rPr>
          <w:rFonts w:ascii="arial" w:eastAsia="arial" w:hAnsi="arial" w:cs="arial"/>
          <w:color w:val="000000"/>
          <w:sz w:val="20"/>
          <w:lang w:val="en-US" w:eastAsia="en-US" w:bidi="ar-SA"/>
        </w:rPr>
        <w:t>  However, I do find that the three defendants did owe the plaintiff a duty of care to put in place a voluntary self-exclusion program that required the casinos to exercise all due diligence to prevent and not knowingly permit any person who has been barred from the casino or barred from participating in casino games by BCLC, from entry or being present in the casino or participating in casino games.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534</w:t>
      </w:r>
      <w:r>
        <w:rPr>
          <w:rFonts w:ascii="arial" w:eastAsia="arial" w:hAnsi="arial" w:cs="arial"/>
          <w:color w:val="000000"/>
          <w:sz w:val="20"/>
          <w:lang w:val="en-US" w:eastAsia="en-US" w:bidi="ar-SA"/>
        </w:rPr>
        <w:t>  This is the requirement imposed by BCLC on its service providers in the Casino Operational Service Agreements and it accurately reflects the duty of care owed to the plaintiff and everyone else who enrols in the voluntary self-exclusion program.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535</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Childs v. Desormeaux</w:t>
      </w:r>
      <w:r>
        <w:rPr>
          <w:rFonts w:ascii="arial" w:eastAsia="arial" w:hAnsi="arial" w:cs="arial"/>
          <w:color w:val="000000"/>
          <w:sz w:val="20"/>
          <w:lang w:val="en-US" w:eastAsia="en-US" w:bidi="ar-SA"/>
        </w:rPr>
        <w:t>, the court considered three situations where a positive duty of care might exist, where a foreseeability of harm is present and other aspects of the relationship establish a special link or proximity.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536</w:t>
      </w:r>
      <w:r>
        <w:rPr>
          <w:rFonts w:ascii="arial" w:eastAsia="arial" w:hAnsi="arial" w:cs="arial"/>
          <w:color w:val="000000"/>
          <w:sz w:val="20"/>
          <w:lang w:val="en-US" w:eastAsia="en-US" w:bidi="ar-SA"/>
        </w:rPr>
        <w:t>  The third situation considered is: where there needs to be positive steps taken by defendants who exercise a public function that includes responsibilities to the public at large.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537</w:t>
      </w:r>
      <w:r>
        <w:rPr>
          <w:rFonts w:ascii="arial" w:eastAsia="arial" w:hAnsi="arial" w:cs="arial"/>
          <w:color w:val="000000"/>
          <w:sz w:val="20"/>
          <w:lang w:val="en-US" w:eastAsia="en-US" w:bidi="ar-SA"/>
        </w:rPr>
        <w:t>  The court explained that in those circumstances: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defendants offer a service to the general public that includes attendant responsibilities to act with special care to reduce risk. Where a defendant assumes a public role,...special duties arise. ...</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538</w:t>
      </w:r>
      <w:r>
        <w:rPr>
          <w:rFonts w:ascii="arial" w:eastAsia="arial" w:hAnsi="arial" w:cs="arial"/>
          <w:color w:val="000000"/>
          <w:sz w:val="20"/>
          <w:lang w:val="en-US" w:eastAsia="en-US" w:bidi="ar-SA"/>
        </w:rPr>
        <w:t>  While it cannot be said that the defendants here created any risk, they did assist in attempting to reduce the risk of the plaintiff continuing to gamble through security and surveillance at the casinos, and in my opinion this is a close example to use to explain the duty of care that I consider was owed in this case to the plaintiff.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539</w:t>
      </w:r>
      <w:r>
        <w:rPr>
          <w:rFonts w:ascii="arial" w:eastAsia="arial" w:hAnsi="arial" w:cs="arial"/>
          <w:color w:val="000000"/>
          <w:sz w:val="20"/>
          <w:lang w:val="en-US" w:eastAsia="en-US" w:bidi="ar-SA"/>
        </w:rPr>
        <w:t>  The plaintiff may have breached her agreement to be excluded many times after her enrollment, but that does not result in a conclusion that she did not continue to reasonably rely on some assistance from the casinos to keep her excluded when she was in the program.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540</w:t>
      </w:r>
      <w:r>
        <w:rPr>
          <w:rFonts w:ascii="arial" w:eastAsia="arial" w:hAnsi="arial" w:cs="arial"/>
          <w:color w:val="000000"/>
          <w:sz w:val="20"/>
          <w:lang w:val="en-US" w:eastAsia="en-US" w:bidi="ar-SA"/>
        </w:rPr>
        <w:t>  It is the case that there is no evidence that any of the defendants knew that the plaintiff was a pathological gambler or was otherwise vulnerable when she enrolled on June 12, 2007, because she never gave any indication to any of the Fraser Downs employees of her makeup.</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541</w:t>
      </w:r>
      <w:r>
        <w:rPr>
          <w:rFonts w:ascii="arial" w:eastAsia="arial" w:hAnsi="arial" w:cs="arial"/>
          <w:color w:val="000000"/>
          <w:sz w:val="20"/>
          <w:lang w:val="en-US" w:eastAsia="en-US" w:bidi="ar-SA"/>
        </w:rPr>
        <w:t>  However, in my view every casino must assume that every person seeking to enrol in the VSE program has some kind of a gambling problem and is not entitled to assume it is only a minor problem and not a major problem.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542</w:t>
      </w:r>
      <w:r>
        <w:rPr>
          <w:rFonts w:ascii="arial" w:eastAsia="arial" w:hAnsi="arial" w:cs="arial"/>
          <w:color w:val="000000"/>
          <w:sz w:val="20"/>
          <w:lang w:val="en-US" w:eastAsia="en-US" w:bidi="ar-SA"/>
        </w:rPr>
        <w:t>  The plaintiff may have pursuing a "not getting caught" strategy while she continued to gamble during her self-exclusion but I do not consider that this conduct took her out of the proximity between her and the defendants. As someone in the self-exclusion program, and possibly a pathological gambler, it must be expected that she might attempt to find a way to continue gambling.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543</w:t>
      </w:r>
      <w:r>
        <w:rPr>
          <w:rFonts w:ascii="arial" w:eastAsia="arial" w:hAnsi="arial" w:cs="arial"/>
          <w:color w:val="000000"/>
          <w:sz w:val="20"/>
          <w:lang w:val="en-US" w:eastAsia="en-US" w:bidi="ar-SA"/>
        </w:rPr>
        <w:t>  I have concluded that the enrollment form is not a contract at law, but its wording certainly informed the plaintiff of how the program would work so that there was no misunderstanding.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544</w:t>
      </w:r>
      <w:r>
        <w:rPr>
          <w:rFonts w:ascii="arial" w:eastAsia="arial" w:hAnsi="arial" w:cs="arial"/>
          <w:color w:val="000000"/>
          <w:sz w:val="20"/>
          <w:lang w:val="en-US" w:eastAsia="en-US" w:bidi="ar-SA"/>
        </w:rPr>
        <w:t>  When she enrolled in the program, she executed the form that in para. 4 told her clearly that she had to be identified first before she would be requested to leave.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545</w:t>
      </w:r>
      <w:r>
        <w:rPr>
          <w:rFonts w:ascii="arial" w:eastAsia="arial" w:hAnsi="arial" w:cs="arial"/>
          <w:color w:val="000000"/>
          <w:sz w:val="20"/>
          <w:lang w:val="en-US" w:eastAsia="en-US" w:bidi="ar-SA"/>
        </w:rPr>
        <w:t>  The waiver/release in para. 5 may not have contractual force but it did emphasize that the defendants did not agree to bear any responsibility if she breached the agreement. This was another clear message to her that she remained personally responsible when she excluded herself.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546</w:t>
      </w:r>
      <w:r>
        <w:rPr>
          <w:rFonts w:ascii="arial" w:eastAsia="arial" w:hAnsi="arial" w:cs="arial"/>
          <w:color w:val="000000"/>
          <w:sz w:val="20"/>
          <w:lang w:val="en-US" w:eastAsia="en-US" w:bidi="ar-SA"/>
        </w:rPr>
        <w:t>  While I have decided that the defendants owed the duty of care that I have outlined, I also conclude that all three defendants satisfied the duty of care required with the implementation of the program designed by BCLC.</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547</w:t>
      </w:r>
      <w:r>
        <w:rPr>
          <w:rFonts w:ascii="arial" w:eastAsia="arial" w:hAnsi="arial" w:cs="arial"/>
          <w:color w:val="000000"/>
          <w:sz w:val="20"/>
          <w:lang w:val="en-US" w:eastAsia="en-US" w:bidi="ar-SA"/>
        </w:rPr>
        <w:t>  The opinions of the experts clearly indicate that the voluntary self-exclusion program met the standard in the industry at the time and may have even exceeded the industry standard.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548</w:t>
      </w:r>
      <w:r>
        <w:rPr>
          <w:rFonts w:ascii="arial" w:eastAsia="arial" w:hAnsi="arial" w:cs="arial"/>
          <w:color w:val="000000"/>
          <w:sz w:val="20"/>
          <w:lang w:val="en-US" w:eastAsia="en-US" w:bidi="ar-SA"/>
        </w:rPr>
        <w:t>  Within that duty of care however, the plaintiff says the defendant casinos did not act consistently with the standard required to satisfy that duty, and points to the evidence of a number of Fraser Downs casino employees in submitting that this casino did not meet this duty of care.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549</w:t>
      </w:r>
      <w:r>
        <w:rPr>
          <w:rFonts w:ascii="arial" w:eastAsia="arial" w:hAnsi="arial" w:cs="arial"/>
          <w:color w:val="000000"/>
          <w:sz w:val="20"/>
          <w:lang w:val="en-US" w:eastAsia="en-US" w:bidi="ar-SA"/>
        </w:rPr>
        <w:t>  The evidence of Han Ping Guo, dealer supervisor at Fraser Downs and Rob Lapine, table games dealer at Fraser Downs, who both say they knew the plaintiff, but did not know she was self-excluded, can both be explained away.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550</w:t>
      </w:r>
      <w:r>
        <w:rPr>
          <w:rFonts w:ascii="arial" w:eastAsia="arial" w:hAnsi="arial" w:cs="arial"/>
          <w:color w:val="000000"/>
          <w:sz w:val="20"/>
          <w:lang w:val="en-US" w:eastAsia="en-US" w:bidi="ar-SA"/>
        </w:rPr>
        <w:t>  The fact is that employees on the gambling floor of a casino who are involved in operating the gambling on the floor, are not privy to the identities of those people in the self-exclusion program.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551</w:t>
      </w:r>
      <w:r>
        <w:rPr>
          <w:rFonts w:ascii="arial" w:eastAsia="arial" w:hAnsi="arial" w:cs="arial"/>
          <w:color w:val="000000"/>
          <w:sz w:val="20"/>
          <w:lang w:val="en-US" w:eastAsia="en-US" w:bidi="ar-SA"/>
        </w:rPr>
        <w:t>  This is as a matter of policy because those employees are required to focus only on the gambling taking place and not be distracted by other concerns.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552</w:t>
      </w:r>
      <w:r>
        <w:rPr>
          <w:rFonts w:ascii="arial" w:eastAsia="arial" w:hAnsi="arial" w:cs="arial"/>
          <w:color w:val="000000"/>
          <w:sz w:val="20"/>
          <w:lang w:val="en-US" w:eastAsia="en-US" w:bidi="ar-SA"/>
        </w:rPr>
        <w:t>  This makes sense from the point of view of an efficient, effective operation that concerns large amounts of money.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553</w:t>
      </w:r>
      <w:r>
        <w:rPr>
          <w:rFonts w:ascii="arial" w:eastAsia="arial" w:hAnsi="arial" w:cs="arial"/>
          <w:color w:val="000000"/>
          <w:sz w:val="20"/>
          <w:lang w:val="en-US" w:eastAsia="en-US" w:bidi="ar-SA"/>
        </w:rPr>
        <w:t>  The evidence of Keevin O'Hara, a security officer at Fraser Downs who knew the plaintiff was self-excluded, can also be explained away by the fact that he says he never saw the plaintiff on the gambling floor but only in guest services, so it was nothing for him to be concerned about.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554</w:t>
      </w:r>
      <w:r>
        <w:rPr>
          <w:rFonts w:ascii="arial" w:eastAsia="arial" w:hAnsi="arial" w:cs="arial"/>
          <w:color w:val="000000"/>
          <w:sz w:val="20"/>
          <w:lang w:val="en-US" w:eastAsia="en-US" w:bidi="ar-SA"/>
        </w:rPr>
        <w:t>  I consider his evidence to be reasonable. There is no evidence of whether he was on shift otherwise when the plaintiff entered to gamble while self-excluded.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555</w:t>
      </w:r>
      <w:r>
        <w:rPr>
          <w:rFonts w:ascii="arial" w:eastAsia="arial" w:hAnsi="arial" w:cs="arial"/>
          <w:color w:val="000000"/>
          <w:sz w:val="20"/>
          <w:lang w:val="en-US" w:eastAsia="en-US" w:bidi="ar-SA"/>
        </w:rPr>
        <w:t>  Mr. Crawford was a security officer at Fraser Downs who says he never knew the plaintiff was self-excluded though he knew her to see her.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556</w:t>
      </w:r>
      <w:r>
        <w:rPr>
          <w:rFonts w:ascii="arial" w:eastAsia="arial" w:hAnsi="arial" w:cs="arial"/>
          <w:color w:val="000000"/>
          <w:sz w:val="20"/>
          <w:lang w:val="en-US" w:eastAsia="en-US" w:bidi="ar-SA"/>
        </w:rPr>
        <w:t>  The complaint about him is his evidence he only reviewed the photograph books three or four times in the three-and-a-half years when he worked there, when he was supposed to review them regularly as a matter of the casino policy.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557</w:t>
      </w:r>
      <w:r>
        <w:rPr>
          <w:rFonts w:ascii="arial" w:eastAsia="arial" w:hAnsi="arial" w:cs="arial"/>
          <w:color w:val="000000"/>
          <w:sz w:val="20"/>
          <w:lang w:val="en-US" w:eastAsia="en-US" w:bidi="ar-SA"/>
        </w:rPr>
        <w:t>  There are many photographs in these books and while it is one of the ways to try to keep track of self-excluded people in the casino, the better way is through the i-TRAK system used by surveillance.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558</w:t>
      </w:r>
      <w:r>
        <w:rPr>
          <w:rFonts w:ascii="arial" w:eastAsia="arial" w:hAnsi="arial" w:cs="arial"/>
          <w:color w:val="000000"/>
          <w:sz w:val="20"/>
          <w:lang w:val="en-US" w:eastAsia="en-US" w:bidi="ar-SA"/>
        </w:rPr>
        <w:t>  It is very difficult to remember the faces of people.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559</w:t>
      </w:r>
      <w:r>
        <w:rPr>
          <w:rFonts w:ascii="arial" w:eastAsia="arial" w:hAnsi="arial" w:cs="arial"/>
          <w:color w:val="000000"/>
          <w:sz w:val="20"/>
          <w:lang w:val="en-US" w:eastAsia="en-US" w:bidi="ar-SA"/>
        </w:rPr>
        <w:t>  The expert Mr. Hoke says it is rare that an employee can remember more than 100 people at any time. I have some severe doubt that the number is anywhere that high.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560</w:t>
      </w:r>
      <w:r>
        <w:rPr>
          <w:rFonts w:ascii="arial" w:eastAsia="arial" w:hAnsi="arial" w:cs="arial"/>
          <w:color w:val="000000"/>
          <w:sz w:val="20"/>
          <w:lang w:val="en-US" w:eastAsia="en-US" w:bidi="ar-SA"/>
        </w:rPr>
        <w:t>  Regardless, the fact Mr. Crawford may have breached the casino policy as a single employee does not conclude that Fraser Downs as a casino breached the policy.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561</w:t>
      </w:r>
      <w:r>
        <w:rPr>
          <w:rFonts w:ascii="arial" w:eastAsia="arial" w:hAnsi="arial" w:cs="arial"/>
          <w:color w:val="000000"/>
          <w:sz w:val="20"/>
          <w:lang w:val="en-US" w:eastAsia="en-US" w:bidi="ar-SA"/>
        </w:rPr>
        <w:t>  If the plaintiff could prove what losses she suffered when she was not identified while Mr. Crawford was on duty and saw her, she might have a claim against Fraser Downs for vicarious liability for his failure to observe in the photography books that she was self-excluded and remove her that day.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562</w:t>
      </w:r>
      <w:r>
        <w:rPr>
          <w:rFonts w:ascii="arial" w:eastAsia="arial" w:hAnsi="arial" w:cs="arial"/>
          <w:color w:val="000000"/>
          <w:sz w:val="20"/>
          <w:lang w:val="en-US" w:eastAsia="en-US" w:bidi="ar-SA"/>
        </w:rPr>
        <w:t>  However, I expect that cannot be practically done on the limited evidence available.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563</w:t>
      </w:r>
      <w:r>
        <w:rPr>
          <w:rFonts w:ascii="arial" w:eastAsia="arial" w:hAnsi="arial" w:cs="arial"/>
          <w:color w:val="000000"/>
          <w:sz w:val="20"/>
          <w:lang w:val="en-US" w:eastAsia="en-US" w:bidi="ar-SA"/>
        </w:rPr>
        <w:t>  When the GPEB or BCLC employee talked to Mr. Ashton and the plaintiff and asked if they were okay, I accept that employee acted reasonably when Mr. Ashton replied that they were on a birthday marathon.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564</w:t>
      </w:r>
      <w:r>
        <w:rPr>
          <w:rFonts w:ascii="arial" w:eastAsia="arial" w:hAnsi="arial" w:cs="arial"/>
          <w:color w:val="000000"/>
          <w:sz w:val="20"/>
          <w:lang w:val="en-US" w:eastAsia="en-US" w:bidi="ar-SA"/>
        </w:rPr>
        <w:t>  On March 25, 2008, the plaintiff complained to Murray Ross, a BCLC casino investigator, that she was never challenged at the casino.</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565</w:t>
      </w:r>
      <w:r>
        <w:rPr>
          <w:rFonts w:ascii="arial" w:eastAsia="arial" w:hAnsi="arial" w:cs="arial"/>
          <w:color w:val="000000"/>
          <w:sz w:val="20"/>
          <w:lang w:val="en-US" w:eastAsia="en-US" w:bidi="ar-SA"/>
        </w:rPr>
        <w:t>  This approach by the plaintiff demonstrates that she did have enough will-power to report herself regardless of the state of her mind.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566</w:t>
      </w:r>
      <w:r>
        <w:rPr>
          <w:rFonts w:ascii="arial" w:eastAsia="arial" w:hAnsi="arial" w:cs="arial"/>
          <w:color w:val="000000"/>
          <w:sz w:val="20"/>
          <w:lang w:val="en-US" w:eastAsia="en-US" w:bidi="ar-SA"/>
        </w:rPr>
        <w:t>  Mr. Ross sent out his BOLO to Fraser Downs and Cascades casinos. The analysis done by Fraser Downs indicates that the plaintiff did not return to either casino for approximately two months after March 25, 2008 as she gambled out of BC.</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567</w:t>
      </w:r>
      <w:r>
        <w:rPr>
          <w:rFonts w:ascii="arial" w:eastAsia="arial" w:hAnsi="arial" w:cs="arial"/>
          <w:color w:val="000000"/>
          <w:sz w:val="20"/>
          <w:lang w:val="en-US" w:eastAsia="en-US" w:bidi="ar-SA"/>
        </w:rPr>
        <w:t>  I accept by that time her face would have been replaced by new faces of self-excluded persons in the minds of security and surveillance so I conclude there is no relevance to the BOLO having been sent out at that time.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568</w:t>
      </w:r>
      <w:r>
        <w:rPr>
          <w:rFonts w:ascii="arial" w:eastAsia="arial" w:hAnsi="arial" w:cs="arial"/>
          <w:color w:val="000000"/>
          <w:sz w:val="20"/>
          <w:lang w:val="en-US" w:eastAsia="en-US" w:bidi="ar-SA"/>
        </w:rPr>
        <w:t>  The facial recognition basis for identifying a self-excluded person in a casino appears to be a rudimentary way of attempting to identify those people. However, it meets the standard in the industry and cannot be considered as negligent.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569</w:t>
      </w:r>
      <w:r>
        <w:rPr>
          <w:rFonts w:ascii="arial" w:eastAsia="arial" w:hAnsi="arial" w:cs="arial"/>
          <w:color w:val="000000"/>
          <w:sz w:val="20"/>
          <w:lang w:val="en-US" w:eastAsia="en-US" w:bidi="ar-SA"/>
        </w:rPr>
        <w:t>  The self-exclusion program is just what it says, a self-exclusion. The person enrolling in the program has to retain the primary obligation to control their gambling or cease it all together.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570</w:t>
      </w:r>
      <w:r>
        <w:rPr>
          <w:rFonts w:ascii="arial" w:eastAsia="arial" w:hAnsi="arial" w:cs="arial"/>
          <w:color w:val="000000"/>
          <w:sz w:val="20"/>
          <w:lang w:val="en-US" w:eastAsia="en-US" w:bidi="ar-SA"/>
        </w:rPr>
        <w:t>  As it was, the program did offer considerable assistance to self-excluded persons as it has been substantially successful in identifying many self-exclusion persons and removing them from casinos.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571</w:t>
      </w:r>
      <w:r>
        <w:rPr>
          <w:rFonts w:ascii="arial" w:eastAsia="arial" w:hAnsi="arial" w:cs="arial"/>
          <w:color w:val="000000"/>
          <w:sz w:val="20"/>
          <w:lang w:val="en-US" w:eastAsia="en-US" w:bidi="ar-SA"/>
        </w:rPr>
        <w:t>  Policies and practices to monitor premises for self-excluded persons with appropriate security procedures designed to reduce the ability of excluded persons to re-enter the venues was set in place, as GPEB required under its Responsible Gambling Standards.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572</w:t>
      </w:r>
      <w:r>
        <w:rPr>
          <w:rFonts w:ascii="arial" w:eastAsia="arial" w:hAnsi="arial" w:cs="arial"/>
          <w:color w:val="000000"/>
          <w:sz w:val="20"/>
          <w:lang w:val="en-US" w:eastAsia="en-US" w:bidi="ar-SA"/>
        </w:rPr>
        <w:t>  I am satisfied that the policies and practices set in place and the surveillance and security systems set out in the two defendant casinos were appropriate and reasonable and were applied non negligently in the case of the plaintiff. I am satisfied the defendants met the standard of care required by that duty.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573</w:t>
      </w:r>
      <w:r>
        <w:rPr>
          <w:rFonts w:ascii="arial" w:eastAsia="arial" w:hAnsi="arial" w:cs="arial"/>
          <w:color w:val="000000"/>
          <w:sz w:val="20"/>
          <w:lang w:val="en-US" w:eastAsia="en-US" w:bidi="ar-SA"/>
        </w:rPr>
        <w:t>  In many respects, the plaintiff is the author of her own misfortune because she was attempting after self-exclusion not to be identified by the casinos, which is just the opposite attitude that she should have had.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574</w:t>
      </w:r>
      <w:r>
        <w:rPr>
          <w:rFonts w:ascii="arial" w:eastAsia="arial" w:hAnsi="arial" w:cs="arial"/>
          <w:color w:val="000000"/>
          <w:sz w:val="20"/>
          <w:lang w:val="en-US" w:eastAsia="en-US" w:bidi="ar-SA"/>
        </w:rPr>
        <w:t>  On the issue of public policy, I agree with the defendants that to accept the claim of the plaintiff to recover her lost gambling monies before she was identified or her program ended, would be contrary to public policy.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575</w:t>
      </w:r>
      <w:r>
        <w:rPr>
          <w:rFonts w:ascii="arial" w:eastAsia="arial" w:hAnsi="arial" w:cs="arial"/>
          <w:color w:val="000000"/>
          <w:sz w:val="20"/>
          <w:lang w:val="en-US" w:eastAsia="en-US" w:bidi="ar-SA"/>
        </w:rPr>
        <w:t>  It was her primary responsibility to remain out of the casinos. To award her these monies simply because she was in the self-exclusion program when every other gambler not in the program is not entitled to this recovery, would be to encourage every other gambler to join the self-exclusion program in order to have this claim.</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6. Fiduciary Duty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576</w:t>
      </w:r>
      <w:r>
        <w:rPr>
          <w:rFonts w:ascii="arial" w:eastAsia="arial" w:hAnsi="arial" w:cs="arial"/>
          <w:color w:val="000000"/>
          <w:sz w:val="20"/>
          <w:lang w:val="en-US" w:eastAsia="en-US" w:bidi="ar-SA"/>
        </w:rPr>
        <w:t>  I agree that while the plaintiff may have been a pathological gambler and a vulnerable person, she cannot be equated with a person who is mentally incompetent.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577</w:t>
      </w:r>
      <w:r>
        <w:rPr>
          <w:rFonts w:ascii="arial" w:eastAsia="arial" w:hAnsi="arial" w:cs="arial"/>
          <w:color w:val="000000"/>
          <w:sz w:val="20"/>
          <w:lang w:val="en-US" w:eastAsia="en-US" w:bidi="ar-SA"/>
        </w:rPr>
        <w:t>  I accept the evidence of Dr. Blaszczynski that the plaintiff did have the capacity to exercise control over her gambling behaviour and suffered no psychiatric nor psychological impediments that prevented or impeded her capacity to identify herself to casino staff as a voluntary self-excluded person when she entered a casino. This is confirmed by her approach to Mr. Ross on March 25, 2008.</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578</w:t>
      </w:r>
      <w:r>
        <w:rPr>
          <w:rFonts w:ascii="arial" w:eastAsia="arial" w:hAnsi="arial" w:cs="arial"/>
          <w:color w:val="000000"/>
          <w:sz w:val="20"/>
          <w:lang w:val="en-US" w:eastAsia="en-US" w:bidi="ar-SA"/>
        </w:rPr>
        <w:t>  I conclude there was no fiduciary relationship formed between the plaintiff and any of the defendants.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579</w:t>
      </w:r>
      <w:r>
        <w:rPr>
          <w:rFonts w:ascii="arial" w:eastAsia="arial" w:hAnsi="arial" w:cs="arial"/>
          <w:color w:val="000000"/>
          <w:sz w:val="20"/>
          <w:lang w:val="en-US" w:eastAsia="en-US" w:bidi="ar-SA"/>
        </w:rPr>
        <w:t>  None of the defendants had any discretion once the plaintiff was identified in the casino while self-excluded. Their obligation at that point was to remove her.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580</w:t>
      </w:r>
      <w:r>
        <w:rPr>
          <w:rFonts w:ascii="arial" w:eastAsia="arial" w:hAnsi="arial" w:cs="arial"/>
          <w:color w:val="000000"/>
          <w:sz w:val="20"/>
          <w:lang w:val="en-US" w:eastAsia="en-US" w:bidi="ar-SA"/>
        </w:rPr>
        <w:t>  Prior to identifying the plaintiff, there was no discretion or power that the defendants had to affect her legal or practical interests.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581</w:t>
      </w:r>
      <w:r>
        <w:rPr>
          <w:rFonts w:ascii="arial" w:eastAsia="arial" w:hAnsi="arial" w:cs="arial"/>
          <w:color w:val="000000"/>
          <w:sz w:val="20"/>
          <w:lang w:val="en-US" w:eastAsia="en-US" w:bidi="ar-SA"/>
        </w:rPr>
        <w:t>  The plaintiff was not peculiarly vulnerable to or at the mercy of the defendants as the whole basis of the program was for her to take control of her gambling which is the antithesis of being at the mercy of the defendants.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582</w:t>
      </w:r>
      <w:r>
        <w:rPr>
          <w:rFonts w:ascii="arial" w:eastAsia="arial" w:hAnsi="arial" w:cs="arial"/>
          <w:color w:val="000000"/>
          <w:sz w:val="20"/>
          <w:lang w:val="en-US" w:eastAsia="en-US" w:bidi="ar-SA"/>
        </w:rPr>
        <w:t>  The waiver/release provisions of para. 5 of the VSE form deny any agreement by the defendants to be responsible at all for the plaintiff.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583</w:t>
      </w:r>
      <w:r>
        <w:rPr>
          <w:rFonts w:ascii="arial" w:eastAsia="arial" w:hAnsi="arial" w:cs="arial"/>
          <w:color w:val="000000"/>
          <w:sz w:val="20"/>
          <w:lang w:val="en-US" w:eastAsia="en-US" w:bidi="ar-SA"/>
        </w:rPr>
        <w:t>  This claim is denied as well.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584</w:t>
      </w:r>
      <w:r>
        <w:rPr>
          <w:rFonts w:ascii="arial" w:eastAsia="arial" w:hAnsi="arial" w:cs="arial"/>
          <w:color w:val="000000"/>
          <w:sz w:val="20"/>
          <w:lang w:val="en-US" w:eastAsia="en-US" w:bidi="ar-SA"/>
        </w:rPr>
        <w:t>  In the result the plaintiff's entire claim is dismissed.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585</w:t>
      </w:r>
      <w:r>
        <w:rPr>
          <w:rFonts w:ascii="arial" w:eastAsia="arial" w:hAnsi="arial" w:cs="arial"/>
          <w:color w:val="000000"/>
          <w:sz w:val="20"/>
          <w:lang w:val="en-US" w:eastAsia="en-US" w:bidi="ar-SA"/>
        </w:rPr>
        <w:t>  The parties are given liberty to speak to the issue of costs.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J.D. TRUSCOTT J.</w:t>
      </w:r>
      <w:r>
        <w:rPr>
          <w:rFonts w:ascii="arial" w:eastAsia="arial" w:hAnsi="arial" w:cs="arial"/>
          <w:sz w:val="20"/>
          <w:lang w:val="en-US" w:eastAsia="en-US" w:bidi="ar-SA"/>
        </w:rPr>
        <w:cr/>
      </w:r>
    </w:p>
    <w:p>
      <w:pPr>
        <w:spacing w:line="260" w:lineRule="atLeast"/>
        <w:ind w:left="2520"/>
        <w:rPr>
          <w:rFonts w:ascii="arial" w:eastAsia="arial" w:hAnsi="arial" w:cs="arial"/>
          <w:sz w:val="20"/>
          <w:lang w:val="en-US" w:eastAsia="en-US" w:bidi="ar-SA"/>
        </w:rPr>
      </w:pPr>
      <w:r>
        <w:rPr>
          <w:rFonts w:ascii="arial" w:eastAsia="arial" w:hAnsi="arial" w:cs="arial"/>
          <w:color w:val="000000"/>
          <w:sz w:val="20"/>
          <w:lang w:val="en-US" w:eastAsia="en-US" w:bidi="ar-SA"/>
        </w:rPr>
        <w:t>* * * * *</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Corrected judgment: Counsel for the Defendant, Orangeville Raceway Limited (M.P. Katzalay) was added to the cover page on March 6, 2014.</w:t>
      </w:r>
    </w:p>
    <w:p>
      <w:pPr>
        <w:spacing w:line="260" w:lineRule="atLeast"/>
        <w:jc w:val="center"/>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Appendix A</w:t>
      </w:r>
      <w:r>
        <w:rPr>
          <w:rFonts w:ascii="arial" w:eastAsia="arial" w:hAnsi="arial" w:cs="arial"/>
          <w:sz w:val="20"/>
          <w:lang w:val="en-US" w:eastAsia="en-US" w:bidi="ar-SA"/>
        </w:rPr>
        <w:cr/>
      </w:r>
    </w:p>
    <w:p>
      <w:pPr>
        <w:spacing w:line="260" w:lineRule="atLeast"/>
        <w:rPr>
          <w:rFonts w:ascii="arial" w:eastAsia="arial" w:hAnsi="arial" w:cs="arial"/>
          <w:sz w:val="20"/>
          <w:lang w:val="en-US" w:eastAsia="en-US" w:bidi="ar-SA"/>
        </w:rPr>
      </w:pPr>
      <w:r>
        <w:pict>
          <v:shape id="_x0000_i1054" type="#_x0000_t75" style="width:366.75pt;height:525.75pt">
            <v:imagedata r:id="rId176" o:title=""/>
          </v:shape>
        </w:pict>
      </w:r>
      <w:r>
        <w:rPr>
          <w:rFonts w:ascii="arial" w:eastAsia="arial" w:hAnsi="arial" w:cs="arial"/>
          <w:sz w:val="20"/>
          <w:lang w:val="en-US" w:eastAsia="en-US" w:bidi="ar-SA"/>
        </w:rPr>
        <w:t xml:space="preserve">  </w:t>
      </w:r>
      <w:r>
        <w:pict>
          <v:shape id="_x0000_i1055" type="#_x0000_t75" style="width:389.25pt;height:524.25pt">
            <v:imagedata r:id="rId177" o:title=""/>
          </v:shape>
        </w:pict>
      </w:r>
    </w:p>
    <w:p>
      <w:pPr>
        <w:rPr>
          <w:rFonts w:ascii="arial" w:eastAsia="arial" w:hAnsi="arial" w:cs="arial"/>
          <w:sz w:val="20"/>
          <w:lang w:val="en-US" w:eastAsia="en-US" w:bidi="ar-SA"/>
        </w:rPr>
      </w:pPr>
    </w:p>
    <w:p>
      <w:pPr>
        <w:ind w:left="200"/>
        <w:rPr>
          <w:rFonts w:ascii="arial" w:eastAsia="arial" w:hAnsi="arial" w:cs="arial"/>
          <w:sz w:val="20"/>
          <w:lang w:val="en-US" w:eastAsia="en-US" w:bidi="ar-SA"/>
        </w:rPr>
        <w:sectPr>
          <w:type w:val="continuous"/>
          <w:pgMar w:top="840" w:right="1000" w:bottom="840" w:left="1000" w:header="400" w:footer="400"/>
          <w:pgNumType w:fmt="decimal"/>
          <w:cols w:space="720"/>
        </w:sectPr>
      </w:pPr>
      <w:r>
        <w:rPr>
          <w:rFonts w:ascii="arial" w:eastAsia="arial" w:hAnsi="arial" w:cs="arial"/>
          <w:sz w:val="20"/>
          <w:lang w:val="en-US" w:eastAsia="en-US" w:bidi="ar-SA"/>
        </w:rPr>
        <w:br/>
      </w:r>
      <w:r>
        <w:pict>
          <v:line id="_x0000_s1056" style="position:absolute;z-index:251865088" from="0,10pt" to="512pt,10pt" strokecolor="black" strokeweight="1pt">
            <v:stroke linestyle="single"/>
          </v:line>
        </w:pict>
      </w:r>
      <w:r>
        <w:rPr>
          <w:b/>
          <w:color w:val="767676"/>
          <w:sz w:val="16"/>
          <w:lang w:val="en-US" w:eastAsia="en-US" w:bidi="ar-SA"/>
        </w:rPr>
        <w:t>End of Document</w:t>
      </w:r>
    </w:p>
    <w:p>
      <w:pPr>
        <w:rPr>
          <w:rFonts w:ascii="arial" w:eastAsia="arial" w:hAnsi="arial" w:cs="arial"/>
          <w:sz w:val="20"/>
          <w:lang w:val="en-US" w:eastAsia="en-US" w:bidi="ar-SA"/>
        </w:rPr>
        <w:sectPr>
          <w:headerReference w:type="even" r:id="rId178"/>
          <w:headerReference w:type="default" r:id="rId179"/>
          <w:footerReference w:type="even" r:id="rId180"/>
          <w:footerReference w:type="default" r:id="rId181"/>
          <w:headerReference w:type="first" r:id="rId182"/>
          <w:footerReference w:type="first" r:id="rId183"/>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eastAsia="arial" w:hAnsi="Arial" w:cs="Arial"/>
          <w:b/>
          <w:bCs/>
          <w:kern w:val="32"/>
          <w:sz w:val="32"/>
          <w:szCs w:val="32"/>
          <w:lang w:val="en-US" w:eastAsia="en-US" w:bidi="ar-SA"/>
        </w:rPr>
      </w:pPr>
      <w:hyperlink r:id="rId184" w:history="1">
        <w:r>
          <w:rPr>
            <w:rFonts w:ascii="arial" w:eastAsia="arial" w:hAnsi="arial" w:cs="arial"/>
            <w:b/>
            <w:bCs/>
            <w:i/>
            <w:color w:val="0077CC"/>
            <w:kern w:val="32"/>
            <w:sz w:val="28"/>
            <w:szCs w:val="32"/>
            <w:u w:val="single"/>
            <w:shd w:val="clear" w:color="auto" w:fill="FFFFFF"/>
            <w:lang w:val="en-US" w:eastAsia="en-US" w:bidi="ar-SA"/>
          </w:rPr>
          <w:t>Rough Bay Enterprises Ltd. v. Budden, [2003] B.C.J. No. 2734</w:t>
        </w:r>
      </w:hyperlink>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Judgments</w:t>
      </w:r>
    </w:p>
    <w:p>
      <w:pPr>
        <w:rPr>
          <w:rFonts w:ascii="arial" w:eastAsia="arial" w:hAnsi="arial" w:cs="arial"/>
          <w:sz w:val="20"/>
          <w:lang w:val="en-US" w:eastAsia="en-US" w:bidi="ar-SA"/>
        </w:rPr>
      </w:pP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Vancouver, British Columbia</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B.M. Davies J.</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Heard: September 15 - 18, 25 and 26, 2003.</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Judgment: December 2, 2003.</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Vancouver Registry No. S010236</w:t>
      </w:r>
    </w:p>
    <w:p>
      <w:pPr>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r>
        <w:rPr>
          <w:rFonts w:ascii="arial" w:eastAsia="arial" w:hAnsi="arial" w:cs="arial"/>
          <w:b/>
          <w:color w:val="000000"/>
          <w:sz w:val="20"/>
          <w:lang w:val="en-US" w:eastAsia="en-US" w:bidi="ar-SA"/>
        </w:rPr>
        <w:t>[2003] B.C.J. No. 2734</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2003 BCSC 1796</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22 B.C.L.R. (4th) 326</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127 A.C.W.S. (3d) 194</w:t>
      </w:r>
    </w:p>
    <w:p>
      <w:pPr>
        <w:spacing w:before="120" w:line="260" w:lineRule="atLeast"/>
        <w:rPr>
          <w:rFonts w:ascii="arial" w:eastAsia="arial" w:hAnsi="arial" w:cs="arial"/>
          <w:sz w:val="20"/>
          <w:lang w:val="en-US" w:eastAsia="en-US" w:bidi="ar-SA"/>
        </w:rPr>
      </w:pPr>
      <w:r>
        <w:rPr>
          <w:rFonts w:ascii="arial" w:eastAsia="arial" w:hAnsi="arial" w:cs="arial"/>
          <w:color w:val="000000"/>
          <w:sz w:val="20"/>
          <w:lang w:val="en-US" w:eastAsia="en-US" w:bidi="ar-SA"/>
        </w:rPr>
        <w:t>Admiralty Action In Rem against The Ship "Koprino" And In Personam Between Rough Bay Enterprises Ltd., plaintiff, and James Budden, 577633 British Columbia Ltd., Jim Pattison Enterprises Ltd., B.N.D.M. Enterprises Ltd., The Ship "Koprino" Her Owners and all Others Interested in Her, defendants</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(137 paras.)</w:t>
      </w:r>
    </w:p>
    <w:p>
      <w:pPr>
        <w:keepNext/>
        <w:spacing w:before="12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Case Summary</w:t>
      </w:r>
    </w:p>
    <w:p>
      <w:pPr>
        <w:spacing w:line="60" w:lineRule="exact"/>
        <w:rPr>
          <w:rFonts w:ascii="arial" w:eastAsia="arial" w:hAnsi="arial" w:cs="arial"/>
          <w:sz w:val="20"/>
          <w:lang w:val="en-US" w:eastAsia="en-US" w:bidi="ar-SA"/>
        </w:rPr>
      </w:pPr>
      <w:r>
        <w:pict>
          <v:line id="_x0000_s1057" style="position:absolute;z-index:251664384"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bookmarkStart w:id="38" w:name="Keywords_4"/>
      <w:bookmarkEnd w:id="38"/>
      <w:r>
        <w:rPr>
          <w:rFonts w:ascii="arial" w:eastAsia="arial" w:hAnsi="arial" w:cs="arial"/>
          <w:b/>
          <w:color w:val="000000"/>
          <w:sz w:val="20"/>
          <w:lang w:val="en-US" w:eastAsia="en-US" w:bidi="ar-SA"/>
        </w:rPr>
        <w:t xml:space="preserve">Shipping and navigation — Conduct of voyage — Duty of captain — Contracts of towage — Duty of tug — Collisions and groundings — </w:t>
      </w:r>
      <w:r>
        <w:rPr>
          <w:rFonts w:ascii="arial" w:eastAsia="arial" w:hAnsi="arial" w:cs="arial"/>
          <w:b/>
          <w:i/>
          <w:color w:val="000000"/>
          <w:sz w:val="20"/>
          <w:u w:val="single"/>
          <w:lang w:val="en-US" w:eastAsia="en-US" w:bidi="ar-SA"/>
        </w:rPr>
        <w:t>Negligence</w:t>
      </w:r>
      <w:r>
        <w:rPr>
          <w:rFonts w:ascii="arial" w:eastAsia="arial" w:hAnsi="arial" w:cs="arial"/>
          <w:b/>
          <w:color w:val="000000"/>
          <w:sz w:val="20"/>
          <w:lang w:val="en-US" w:eastAsia="en-US" w:bidi="ar-SA"/>
        </w:rPr>
        <w:t xml:space="preserve">, duty of ships — Towing operations — </w:t>
      </w:r>
      <w:r>
        <w:rPr>
          <w:rFonts w:ascii="arial" w:eastAsia="arial" w:hAnsi="arial" w:cs="arial"/>
          <w:b/>
          <w:i/>
          <w:color w:val="000000"/>
          <w:sz w:val="20"/>
          <w:u w:val="single"/>
          <w:lang w:val="en-US" w:eastAsia="en-US" w:bidi="ar-SA"/>
        </w:rPr>
        <w:t>Negligence</w:t>
      </w:r>
      <w:r>
        <w:rPr>
          <w:rFonts w:ascii="arial" w:eastAsia="arial" w:hAnsi="arial" w:cs="arial"/>
          <w:b/>
          <w:color w:val="000000"/>
          <w:sz w:val="20"/>
          <w:lang w:val="en-US" w:eastAsia="en-US" w:bidi="ar-SA"/>
        </w:rPr>
        <w:t>, proof.</w:t>
      </w:r>
    </w:p>
    <w:p>
      <w:pPr>
        <w:rPr>
          <w:rFonts w:ascii="arial" w:eastAsia="arial" w:hAnsi="arial" w:cs="arial"/>
          <w:sz w:val="20"/>
          <w:lang w:val="en-US" w:eastAsia="en-US" w:bidi="ar-SA"/>
        </w:rPr>
      </w:pPr>
    </w:p>
    <w:tbl>
      <w:tblPr>
        <w:tblStyle w:val="TableNormal"/>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
      <w:tblGrid>
        <w:gridCol w:w="10225"/>
      </w:tblGrid>
      <w:tr>
        <w:tblPrEx>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Ex>
        <w:tc>
          <w:tcPr/>
          <w:p>
            <w:pPr>
              <w:rPr>
                <w:rFonts w:ascii="arial" w:eastAsia="arial" w:hAnsi="arial" w:cs="arial"/>
                <w:sz w:val="20"/>
                <w:lang w:val="en-US" w:eastAsia="en-US" w:bidi="ar-SA"/>
              </w:rPr>
            </w:pPr>
            <w:bookmarkStart w:id="39" w:name="Case Summary_4"/>
            <w:bookmarkEnd w:id="39"/>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Action by Rough Bay Enterprises for damages to a barge purchased from Budden. Budden agreed to deliver the barge to Rough Bay. Budden's vessel encountered mechanical difficulties along the way, so he made arrangements for another vessel, the Koprino, to complete the job. Budden promised the owners of the Koprino that the barge owner, Rough Bay, would obtain insurance for all parties. Budden did not advise Rough Bay of that condition. The Koprino's owner inspected the barge, and finding it to be seaworthy, proceeded with the towing operation. The weather forecast included gale warnings in a nearby body of water, but the sailing conditions for the first part of the trip were optimal. However, the Koprino encountered localized storm conditions, which resulted in the capsizing of the barge. By the time the Koprino docked in harbour, there was significant damage to the barge. At issue was whether the damage was caused by the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of Budden or the Koprino, and whether Rough Bay's claim was barred by its failure to obtain insurance coverage. </w:t>
            </w:r>
            <w:r>
              <w:rPr>
                <w:rFonts w:ascii="arial" w:eastAsia="arial" w:hAnsi="arial" w:cs="arial"/>
                <w:sz w:val="20"/>
                <w:lang w:val="en-US" w:eastAsia="en-US" w:bidi="ar-SA"/>
              </w:rPr>
              <w:cr/>
            </w:r>
          </w:p>
          <w:p>
            <w:pPr>
              <w:spacing w:before="120" w:line="260" w:lineRule="atLeast"/>
              <w:ind w:left="240"/>
              <w:jc w:val="both"/>
              <w:rPr>
                <w:rFonts w:ascii="arial" w:eastAsia="arial" w:hAnsi="arial" w:cs="arial"/>
                <w:sz w:val="20"/>
                <w:lang w:val="en-US" w:eastAsia="en-US" w:bidi="ar-SA"/>
              </w:rPr>
            </w:pPr>
            <w:bookmarkStart w:id="40" w:name="Holdings of Court_4"/>
            <w:bookmarkEnd w:id="40"/>
            <w:r>
              <w:rPr>
                <w:rFonts w:ascii="arial" w:eastAsia="arial" w:hAnsi="arial" w:cs="arial"/>
                <w:color w:val="000000"/>
                <w:sz w:val="20"/>
                <w:lang w:val="en-US" w:eastAsia="en-US" w:bidi="ar-SA"/>
              </w:rPr>
              <w:t>HELD: Action dismissed.</w:t>
            </w:r>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The local weather reports at the time of the trip indicated that the tow could have proceeded without difficulty. By the time the barge capsized, the Koprino had encountered very localized storm conditions that did not arise as a consequence of the forecasted gale force winds. The Koprino was not negligent in towing the barge under the known conditions. Rough Bay did not prove that the barge capsized as a result of the wind and sea conditions. The nature of the damages to the barge and the expert opinion evidence established that the barge was not seaworthy due to hidden rot in its bow and stern planking. Rough Bay allowed Budden to act as its agent in arranging for the Koprino to complete the tow, and the Koprino was entitled to rely on Budden's statement that insurance was in place. However, this did not bar a claim by Rough Bay against Budden, who would be liable to Rough Bay for any portion of the loss otherwise attributable to the Koprino. Damages were provisionally assessed. </w:t>
            </w:r>
            <w:r>
              <w:rPr>
                <w:rFonts w:ascii="arial" w:eastAsia="arial" w:hAnsi="arial" w:cs="arial"/>
                <w:sz w:val="20"/>
                <w:lang w:val="en-US" w:eastAsia="en-US" w:bidi="ar-SA"/>
              </w:rPr>
              <w:cr/>
            </w:r>
          </w:p>
          <w:p>
            <w:pPr>
              <w:rPr>
                <w:rFonts w:ascii="arial" w:eastAsia="arial" w:hAnsi="arial" w:cs="arial"/>
                <w:sz w:val="20"/>
                <w:lang w:val="en-US" w:eastAsia="en-US" w:bidi="ar-SA"/>
              </w:rPr>
            </w:pPr>
          </w:p>
        </w:tc>
      </w:tr>
    </w:tbl>
    <w:p>
      <w:pPr>
        <w:jc w:val="both"/>
        <w:rPr>
          <w:rFonts w:ascii="arial" w:eastAsia="arial" w:hAnsi="arial" w:cs="arial"/>
          <w:sz w:val="20"/>
          <w:lang w:val="en-US" w:eastAsia="en-US" w:bidi="ar-SA"/>
        </w:rPr>
      </w:pPr>
      <w:bookmarkStart w:id="41" w:name="Counsel_5"/>
      <w:bookmarkEnd w:id="41"/>
      <w:r>
        <w:rPr>
          <w:rFonts w:ascii="arial" w:eastAsia="arial" w:hAnsi="arial" w:cs="arial"/>
          <w:sz w:val="20"/>
          <w:lang w:val="en-US" w:eastAsia="en-US" w:bidi="ar-SA"/>
        </w:rPr>
        <w:br/>
      </w:r>
    </w:p>
    <w:p>
      <w:pPr>
        <w:keepNext/>
        <w:spacing w:before="24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Counsel</w:t>
      </w:r>
    </w:p>
    <w:p>
      <w:pPr>
        <w:spacing w:line="60" w:lineRule="exact"/>
        <w:rPr>
          <w:rFonts w:ascii="arial" w:eastAsia="arial" w:hAnsi="arial" w:cs="arial"/>
          <w:sz w:val="20"/>
          <w:lang w:val="en-US" w:eastAsia="en-US" w:bidi="ar-SA"/>
        </w:rPr>
      </w:pPr>
      <w:r>
        <w:pict>
          <v:line id="_x0000_s1058" style="position:absolute;z-index:251715584"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D.K. Jones, for the plaintiff. No one appeared, for the defendant, James Budden. D.F. McEwen, for the defendants, 577633 British Columbia Ltd., Jim Pattison Enterprises Ltd., B.N.D.M. Enterprises Ltd., The Ship "Koprino", Her Owners and All Others Interested in Her.</w:t>
      </w:r>
      <w:r>
        <w:rPr>
          <w:rFonts w:ascii="arial" w:eastAsia="arial" w:hAnsi="arial" w:cs="arial"/>
          <w:sz w:val="20"/>
          <w:lang w:val="en-US" w:eastAsia="en-US" w:bidi="ar-SA"/>
        </w:rPr>
        <w:cr/>
      </w:r>
    </w:p>
    <w:p>
      <w:pPr>
        <w:spacing w:after="240"/>
        <w:rPr>
          <w:rFonts w:ascii="arial" w:eastAsia="arial" w:hAnsi="arial" w:cs="arial"/>
          <w:sz w:val="20"/>
          <w:lang w:val="en-US" w:eastAsia="en-US" w:bidi="ar-SA"/>
        </w:rPr>
      </w:pPr>
      <w:bookmarkStart w:id="42" w:name="Judgment_5"/>
      <w:bookmarkEnd w:id="42"/>
      <w:r>
        <w:pict>
          <v:line id="_x0000_s1059" style="position:absolute;z-index:251766784" from="0,12pt" to="512pt,12pt" strokecolor="#009ddb" strokeweight="1.5pt">
            <v:stroke linestyle="single"/>
          </v:line>
        </w:pict>
      </w:r>
    </w:p>
    <w:p>
      <w:pPr>
        <w:rPr>
          <w:rFonts w:ascii="arial" w:eastAsia="arial" w:hAnsi="arial" w:cs="arial"/>
          <w:sz w:val="20"/>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2437"/>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rFonts w:ascii="arial" w:eastAsia="arial" w:hAnsi="arial" w:cs="arial"/>
                <w:sz w:val="20"/>
                <w:lang w:val="en-US" w:eastAsia="en-US" w:bidi="ar-SA"/>
              </w:rPr>
            </w:pPr>
            <w:bookmarkStart w:id="43" w:name="B.M. DAVIES J."/>
            <w:bookmarkEnd w:id="43"/>
            <w:r>
              <w:rPr>
                <w:rFonts w:ascii="arial" w:eastAsia="arial" w:hAnsi="arial" w:cs="arial"/>
                <w:b/>
                <w:color w:val="000000"/>
                <w:sz w:val="30"/>
                <w:lang w:val="en-US" w:eastAsia="en-US" w:bidi="ar-SA"/>
              </w:rPr>
              <w:t>B.M. DAVIES J.</w:t>
            </w:r>
          </w:p>
        </w:tc>
      </w:tr>
    </w:tbl>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INTRODUCTION</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Koprino turned south off Cape Beale with a Barge in tow not made of steel;</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As Barge and Ship took the Island's lee both travelled well on a flat calm sea;</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voyage was easy well into the night with Barge and tow line always in sight;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But off Carmanagh the wind grew stronger the quiet sea was no longer;</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wooden Barge soon went down -</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 but Koprino had not run aground;</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question is what caused the wreck - The Crew, the Barge or the house on deck?</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 second query may arise -</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Who bears the loss insurance-wise?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BACKGROUND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In late 1999 the plaintiff, Rough Bay Enterprises Ltd., purchased a wooden accommodation barge (the "Barge") from the defendant, James Budden ("Budden"), for $90,000 to be paid by an initial deposit of $5,000, a first payment of $42,500 and a final payment of $42,500 upon delivery.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At the time of purchase the Barge was located in Port Alberni, British Columbia but the plaintiff required that it be delivered to Campbell River, British Columbia. Once there, a partially finished accommodation structure on the Barge was to be completed by others so that it could be used as a float camp in the plaintiff's logging operations.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The plaintiff's requirement that the Barge be delivered to Campbell River resulted in the plaintiff and Budden entering into a second agreement. Pursuant to that agreement, Budden agreed to tow the Barge to Campbell River for the sum of $5,000, inclusive of the Goods and Services Tax ("GST"). It was intended that he would use his own seine fishing vessel the Jessie Island XI to complete the tow.</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After making the deposit and initial payment totalling $47,500, the plaintiff, through Vicki Swanson, the wife of its President, Dennis Swanson, made arrangements with the plaintiff's insurers to have the Barge added to its Forestry Equipment Insurance Policy at a value of $85,000 with a $5,000 deductible. The cost of that additional coverage was $1,000 and the Endorsement obtained stated that the "Vessel doing the Tow is a 50' Steel Seine Boat operated by James Budden". Budden was not, however, named as an insured party.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On Wednesday, January 12, 2000, the Jessie Island XI commenced towing the Barge from Port Alberni with Mr. Robert Brock ("Brock") acting as her Master for the tow. She was, however, only able to complete the tow to Bamfield before encountering mechanical difficulties.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Faced with those problems, Brock, on behalf of Budden, contacted Mr. Bradley Nelson ("Nelson") on Friday, January 14, 2000, to determine whether Nelson could assist with the completion of the tow to Campbell River.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Nelson is a principal of B.N.D.M. Enterprises Ltd. one of the owners of the defendant, The Ship Koprino. The Ship Koprino is a 24 metre long fish packer that is fully equipped for towing. She is owned by the defendants 577633 British Columbia Ltd., Jim Pattison Enterprises Ltd., and B.N.D.M. Enterprises Ltd. and operates primarily as a tender and tow vessel for the Canadian Fishing Company ("Canadian Fishing") by which she is insured. Nelson is usually her Master. For ease of reference, unless it is otherwise necessary to do so, I will collectively refer to all of these defendants as the Koprino or as the Koprino defendants.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After Brock contacted Nelson to seek assistance in the completion of the tow, Nelson contacted Mr. Mervyn Jones ("Jones") of Canadian Fishing to seek permission from the other owners of Koprino.</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At the close of business on Friday, January 14, 2000, Jones gave that permission to Nelson. He testified, however, that he stipulated that the tow could only be undertaken if Koprino and all concerned with her were insured by the owners of the Barge for any losses that might occur. His requirement that insurance would be the responsibility of the owners of the Barge was due to the fact that the deductible on Canadian Fishing's own insurance policy was such that any loss would fall within that deductible.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Nelson confirmed Jones' evidence that permission to use Koprino for the tow was conditional upon the owners of the Barge providing insurance for "all parties". He also testified that the use of Koprino was conditional upon Budden engaging Brock as the Master of Koprino for the tow because of some limitations on Nelson's own qualifications for the tow to be undertaken. Nelson further testified that the fee negotiated for the tow was $7,500 of which $2,500 was to be paid by Budden in Bamfield before the tow would commence.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Nelson stated that based upon assurances from Budden that the necessary insurance would be in place, Koprino left Steveston, British Columbia at about 1:45 a.m. on Saturday, January 15, 2000 and arrived in Bamfield at 4:00 p.m. that same day. Nelson further testified that on arrival, he caused Koprino to tie up beside the Barge and then met with Budden who confirmed that insurance was in place "for the benefit of all parties" and also confirmed that Brock had been engaged to act as the Master of Koprino for the tow.</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The plaintiff had not, however, insured the Barge for the benefit of all parties. Budden did not attend at trial and Vicki and Dennis Swanson each testified that while they knew of Budden's need to change the tow vessel, they were never informed by him of any requirement that the plaintiff was to provide insurance for the benefit of Koprino.</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Budden was also unable to pay the required $2,500 deposit because he did not have access to those funds in Bamfield. Nelson stated that although he was disappointed by that lack of payment, he understood and determined to proceed with the tow in any event.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Before commencing the tow Nelson inspected the Barge. In Koprino's logbook he noted that it "appears to be in fairly good shape-dry and tight". That commentary is consistent with the evidence of Dennis Swanson who did a thorough examination of the Barge in Port Alberni before the plaintiff purchased it.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w:t>
      </w:r>
      <w:r>
        <w:rPr>
          <w:rFonts w:ascii="arial" w:eastAsia="arial" w:hAnsi="arial" w:cs="arial"/>
          <w:color w:val="000000"/>
          <w:sz w:val="20"/>
          <w:lang w:val="en-US" w:eastAsia="en-US" w:bidi="ar-SA"/>
        </w:rPr>
        <w:t>  Dennis Swanson testified that although he discovered some rot in the interior planking of the Barge, it was minimal and as far as he could determine was restricted to deck head planking that was covered by four inches of concrete decking.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w:t>
      </w:r>
      <w:r>
        <w:rPr>
          <w:rFonts w:ascii="arial" w:eastAsia="arial" w:hAnsi="arial" w:cs="arial"/>
          <w:color w:val="000000"/>
          <w:sz w:val="20"/>
          <w:lang w:val="en-US" w:eastAsia="en-US" w:bidi="ar-SA"/>
        </w:rPr>
        <w:t>  After determining that the Barge could be towed, the next question faced by Budden, Brock and Nelson was whether to commence the tow that day or wait for a better weather forecast.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w:t>
      </w:r>
      <w:r>
        <w:rPr>
          <w:rFonts w:ascii="arial" w:eastAsia="arial" w:hAnsi="arial" w:cs="arial"/>
          <w:color w:val="000000"/>
          <w:sz w:val="20"/>
          <w:lang w:val="en-US" w:eastAsia="en-US" w:bidi="ar-SA"/>
        </w:rPr>
        <w:t>  Weather and sea conditions on the Westcoast of Vancouver Island during the winter months are notorious for the danger they bring to navigation in those waters. The evidence establishes that delays of up to weeks for a break in the weather before embarking upon or continuing a commercial tow are not uncommon. However, even in the worst of the winter months, calm waters and favourable wind conditions may occur so that voyages can be undertaken without difficulty.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w:t>
      </w:r>
      <w:r>
        <w:rPr>
          <w:rFonts w:ascii="arial" w:eastAsia="arial" w:hAnsi="arial" w:cs="arial"/>
          <w:color w:val="000000"/>
          <w:sz w:val="20"/>
          <w:lang w:val="en-US" w:eastAsia="en-US" w:bidi="ar-SA"/>
        </w:rPr>
        <w:t>  The wind and water conditions experienced by Koprino, during the almost 14 hour voyage from Steveston to Bamfield that day, had in fact been optimal notwithstanding that the weather forecast both before and during that journey had included gale warnings for the Strait of Juan de Fuca through which Koprino had passed and through which she would be required to return with the Barge.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w:t>
      </w:r>
      <w:r>
        <w:rPr>
          <w:rFonts w:ascii="arial" w:eastAsia="arial" w:hAnsi="arial" w:cs="arial"/>
          <w:color w:val="000000"/>
          <w:sz w:val="20"/>
          <w:lang w:val="en-US" w:eastAsia="en-US" w:bidi="ar-SA"/>
        </w:rPr>
        <w:t>  At about 7:00 p.m. on January 15, 2000, Brock and Budden (with whom Nelson did not disagree) determined that Koprino should commence the tow of the Barge notwithstanding continuing gale warnings for the Strait of Juan de Fuca. They also decided that, after leaving Bamfield, Brock would check the wind and sea conditions off of Cape Beale as Koprino left protected waters and then confer with Budden in Bamfield as to whether to continue the tow.</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w:t>
      </w:r>
      <w:r>
        <w:rPr>
          <w:rFonts w:ascii="arial" w:eastAsia="arial" w:hAnsi="arial" w:cs="arial"/>
          <w:color w:val="000000"/>
          <w:sz w:val="20"/>
          <w:lang w:val="en-US" w:eastAsia="en-US" w:bidi="ar-SA"/>
        </w:rPr>
        <w:t>  Nelson testified that he anticipated that with the Barge in tow, Koprino would likely be able to achieve a speed of approximately seven knots per hour.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w:t>
      </w:r>
      <w:r>
        <w:rPr>
          <w:rFonts w:ascii="arial" w:eastAsia="arial" w:hAnsi="arial" w:cs="arial"/>
          <w:color w:val="000000"/>
          <w:sz w:val="20"/>
          <w:lang w:val="en-US" w:eastAsia="en-US" w:bidi="ar-SA"/>
        </w:rPr>
        <w:t>  At about 10:00 p.m. Koprino reached Cape Beale. Nelson recorded in her log that the wind was from the Northeast at eight kilometres per hour and that there was a low swell with no sea. Koprino's tow speed had, however, only been approximately five knots per hour. Brock conferred with Budden and determined to continue the journey. His intent was to alter course for Port Renfrew to take refuge there if the weather and water conditions worsened. Nelson testified that while they were not his decisions to make, he did not disagree with those made by Brock as the Koprino's Master.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w:t>
      </w:r>
      <w:r>
        <w:rPr>
          <w:rFonts w:ascii="arial" w:eastAsia="arial" w:hAnsi="arial" w:cs="arial"/>
          <w:color w:val="000000"/>
          <w:sz w:val="20"/>
          <w:lang w:val="en-US" w:eastAsia="en-US" w:bidi="ar-SA"/>
        </w:rPr>
        <w:t>  After Koprino left Cape Beale, the wind and sea conditions remained good for approximately another three and one-quarter hours. Captain Brock steered a course in the lee of Vancouver Island at least one mile off the coast, and the ship and Barge travelled south past Carmanagh Point.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w:t>
      </w:r>
      <w:r>
        <w:rPr>
          <w:rFonts w:ascii="arial" w:eastAsia="arial" w:hAnsi="arial" w:cs="arial"/>
          <w:color w:val="000000"/>
          <w:sz w:val="20"/>
          <w:lang w:val="en-US" w:eastAsia="en-US" w:bidi="ar-SA"/>
        </w:rPr>
        <w:t>  At about 2:00 a.m. on Sunday, January 16, 2000, Nelson noted in Koprino's log book that the wind was increasing and the sea building.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w:t>
      </w:r>
      <w:r>
        <w:rPr>
          <w:rFonts w:ascii="arial" w:eastAsia="arial" w:hAnsi="arial" w:cs="arial"/>
          <w:color w:val="000000"/>
          <w:sz w:val="20"/>
          <w:lang w:val="en-US" w:eastAsia="en-US" w:bidi="ar-SA"/>
        </w:rPr>
        <w:t>  At 2:30 a.m., Brock decided to alter course for Port Renfrew. The sea had become "choppy" and Nelson agreed with Brock's decision to alter course. He testified that the decision to alter course provided the option of taking cover at Port Renfrew, but was not made in anticipation that it would be necessary to do so.</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w:t>
      </w:r>
      <w:r>
        <w:rPr>
          <w:rFonts w:ascii="arial" w:eastAsia="arial" w:hAnsi="arial" w:cs="arial"/>
          <w:color w:val="000000"/>
          <w:sz w:val="20"/>
          <w:lang w:val="en-US" w:eastAsia="en-US" w:bidi="ar-SA"/>
        </w:rPr>
        <w:t>  At 3:00 a.m. Nelson recorded in Koprino's log that the Barge was visible with "lots of freeboard" meaning that when the Koprino's stern light was focused upon the Barge it could be easily seen and that the waves were not nearing the deck of the Barge. Nelson testified that at that time there was approximately a two foot chop and the winds might then have been approaching 15 knots per hour. He also testified that after 3:00 a.m. he returned to his bunk for another "catnap" as he had been doing all night since he had been awake for many hours since leaving Steveston.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w:t>
      </w:r>
      <w:r>
        <w:rPr>
          <w:rFonts w:ascii="arial" w:eastAsia="arial" w:hAnsi="arial" w:cs="arial"/>
          <w:color w:val="000000"/>
          <w:sz w:val="20"/>
          <w:lang w:val="en-US" w:eastAsia="en-US" w:bidi="ar-SA"/>
        </w:rPr>
        <w:t>  At about 3:15 a.m. Nelson felt a sudden decrease in Koprino's speed and his check of the Koprino's GPS showed that her speed had dropped to about two knots per hour. Nelson also testified that when he went back on deck after checking Koprino's engines he could not see the lights mounted on the accommodation structure of the Barge. He further testified that the waters were then so rough that it would have been dangerous to shorten the approximately 800 foot distance between Koprino and the Barge to check on the condition of the Barge.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w:t>
      </w:r>
      <w:r>
        <w:rPr>
          <w:rFonts w:ascii="arial" w:eastAsia="arial" w:hAnsi="arial" w:cs="arial"/>
          <w:color w:val="000000"/>
          <w:sz w:val="20"/>
          <w:lang w:val="en-US" w:eastAsia="en-US" w:bidi="ar-SA"/>
        </w:rPr>
        <w:t>  Koprino continued the tow into safer, calmer waters off Port Renfrew. At 4:00 a.m., at the buoy off the mouth to the harbour at Port Renfrew, the crew was able to wind the tow line to within 60 to 80 feet of the Koprino.</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w:t>
      </w:r>
      <w:r>
        <w:rPr>
          <w:rFonts w:ascii="arial" w:eastAsia="arial" w:hAnsi="arial" w:cs="arial"/>
          <w:color w:val="000000"/>
          <w:sz w:val="20"/>
          <w:lang w:val="en-US" w:eastAsia="en-US" w:bidi="ar-SA"/>
        </w:rPr>
        <w:t>  Nelson testified that when the Barge was brought to within that distance, he could see that the Barge was upside down and that its bow was gone.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w:t>
      </w:r>
      <w:r>
        <w:rPr>
          <w:rFonts w:ascii="arial" w:eastAsia="arial" w:hAnsi="arial" w:cs="arial"/>
          <w:color w:val="000000"/>
          <w:sz w:val="20"/>
          <w:lang w:val="en-US" w:eastAsia="en-US" w:bidi="ar-SA"/>
        </w:rPr>
        <w:t>  Koprino then towed the Barge into the harbour at Port Renfrew and anchored at about 4:30 a.m. Koprino stayed there until approximately 9:00 a.m. after which she towed the Barge to the Government dock and tied up.</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w:t>
      </w:r>
      <w:r>
        <w:rPr>
          <w:rFonts w:ascii="arial" w:eastAsia="arial" w:hAnsi="arial" w:cs="arial"/>
          <w:color w:val="000000"/>
          <w:sz w:val="20"/>
          <w:lang w:val="en-US" w:eastAsia="en-US" w:bidi="ar-SA"/>
        </w:rPr>
        <w:t>  Nelson testified that when the Barge was pulled up alongside Koprino at the Government dock, he again saw that the accommodation structure and bow were gone but then also observed that the stern of the Barge was also entirely missing.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w:t>
      </w:r>
      <w:r>
        <w:rPr>
          <w:rFonts w:ascii="arial" w:eastAsia="arial" w:hAnsi="arial" w:cs="arial"/>
          <w:color w:val="000000"/>
          <w:sz w:val="20"/>
          <w:lang w:val="en-US" w:eastAsia="en-US" w:bidi="ar-SA"/>
        </w:rPr>
        <w:t>  Nelson and Brock then contacted Budden and told him of the capsizing. In turn, Budden notified Vicki Swanson who informed the plaintiff's insurers. The plaintiff's insurers appointed an adjuster, Bradford Murray ("Murray"), to investigate the loss and Murray engaged the services of a Marine Surveyor, Robert Down ("Down") to assess the damage to the Barge.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w:t>
      </w:r>
      <w:r>
        <w:rPr>
          <w:rFonts w:ascii="arial" w:eastAsia="arial" w:hAnsi="arial" w:cs="arial"/>
          <w:color w:val="000000"/>
          <w:sz w:val="20"/>
          <w:lang w:val="en-US" w:eastAsia="en-US" w:bidi="ar-SA"/>
        </w:rPr>
        <w:t>  Down eventually made arrangements on behalf of the plaintiff's insurers to have the Barge towed from Port Renfrew to Beecher Bay, near Victoria. It remained there until decisions related to its repair were finalized in late May, 2000 when the Barge was then towed to Jenkins Marine Ltd. in Esquimalt for repairs.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w:t>
      </w:r>
      <w:r>
        <w:rPr>
          <w:rFonts w:ascii="arial" w:eastAsia="arial" w:hAnsi="arial" w:cs="arial"/>
          <w:color w:val="000000"/>
          <w:sz w:val="20"/>
          <w:lang w:val="en-US" w:eastAsia="en-US" w:bidi="ar-SA"/>
        </w:rPr>
        <w:t>  While the Barge remained at Beecher Bay, the plaintiff learned that, contrary to the terms of its purchase agreement with Budden, title to the Barge was not free from all encumbrances.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34</w:t>
      </w:r>
      <w:r>
        <w:rPr>
          <w:rFonts w:ascii="arial" w:eastAsia="arial" w:hAnsi="arial" w:cs="arial"/>
          <w:color w:val="000000"/>
          <w:sz w:val="20"/>
          <w:lang w:val="en-US" w:eastAsia="en-US" w:bidi="ar-SA"/>
        </w:rPr>
        <w:t>  Subsequently, the plaintiff paid $32,000 to the Farm Credit Corporation to obtain the release of a Personal Property Security Agreement that had been registered against Budden's interest in the Barge. That payment was made with the consent of Budden, after negotiations with the Farm Credit Corporation to reduce its secured claim against the Barge.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35</w:t>
      </w:r>
      <w:r>
        <w:rPr>
          <w:rFonts w:ascii="arial" w:eastAsia="arial" w:hAnsi="arial" w:cs="arial"/>
          <w:color w:val="000000"/>
          <w:sz w:val="20"/>
          <w:lang w:val="en-US" w:eastAsia="en-US" w:bidi="ar-SA"/>
        </w:rPr>
        <w:t>  When the repairs to the Barge were finally undertaken, those repairs included the re-design of the accommodation structure to create more floor area and more rooms. They also included the repair of not only all damage to the Barge itself including its bow and stern, but also the replacement of all rotten timber in its deck.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ISSUES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36</w:t>
      </w:r>
      <w:r>
        <w:rPr>
          <w:rFonts w:ascii="arial" w:eastAsia="arial" w:hAnsi="arial" w:cs="arial"/>
          <w:color w:val="000000"/>
          <w:sz w:val="20"/>
          <w:lang w:val="en-US" w:eastAsia="en-US" w:bidi="ar-SA"/>
        </w:rPr>
        <w:t>  The pleadings and the foregoing background facts require determination of the following issues:</w:t>
      </w:r>
      <w:r>
        <w:rPr>
          <w:rFonts w:ascii="arial" w:eastAsia="arial" w:hAnsi="arial" w:cs="arial"/>
          <w:sz w:val="20"/>
          <w:lang w:val="en-US" w:eastAsia="en-US" w:bidi="ar-SA"/>
        </w:rPr>
        <w:cr/>
      </w:r>
    </w:p>
    <w:p>
      <w:pPr>
        <w:numPr>
          <w:numId w:val="8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Did the defendants'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cause damage to the Barge?</w:t>
      </w:r>
    </w:p>
    <w:p>
      <w:pPr>
        <w:numPr>
          <w:numId w:val="8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If so, is the plaintiff's claim barred by its failure to obtain insurance coverage for the benefit of the defendants? and</w:t>
      </w:r>
    </w:p>
    <w:p>
      <w:pPr>
        <w:numPr>
          <w:numId w:val="8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If not, what damages are attributable to the defendants' actions?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ANALYSIS AND DISCUSSION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37</w:t>
      </w:r>
      <w:r>
        <w:rPr>
          <w:rFonts w:ascii="arial" w:eastAsia="arial" w:hAnsi="arial" w:cs="arial"/>
          <w:color w:val="000000"/>
          <w:sz w:val="20"/>
          <w:lang w:val="en-US" w:eastAsia="en-US" w:bidi="ar-SA"/>
        </w:rPr>
        <w:t>  The principal allegation of the plaintiff against the Koprino defendants is that they were negligent either in departing from Bamfield for Campbell River on January 15, 2000 in the face of forecasted gale force winds or, alternatively, by failing to recognize that the actual speed achieved during the tow was such that refuge at Port Renfrew could not be reached safely before worsening weather conditions would jeopardize the safety of the Barge.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38</w:t>
      </w:r>
      <w:r>
        <w:rPr>
          <w:rFonts w:ascii="arial" w:eastAsia="arial" w:hAnsi="arial" w:cs="arial"/>
          <w:color w:val="000000"/>
          <w:sz w:val="20"/>
          <w:lang w:val="en-US" w:eastAsia="en-US" w:bidi="ar-SA"/>
        </w:rPr>
        <w:t xml:space="preserve">  Claims both in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and in breach of contract are made against Budden as a party to the decision to commence the voyage and for failing to complete the tow.</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39</w:t>
      </w:r>
      <w:r>
        <w:rPr>
          <w:rFonts w:ascii="arial" w:eastAsia="arial" w:hAnsi="arial" w:cs="arial"/>
          <w:color w:val="000000"/>
          <w:sz w:val="20"/>
          <w:lang w:val="en-US" w:eastAsia="en-US" w:bidi="ar-SA"/>
        </w:rPr>
        <w:t xml:space="preserve">  Concerning the duty and standard of care applicable to the Koprino defendants, the plaintiff relies upon the decision of the Supreme Court of Canada in Sewell v. British Columbia Towing and Transportation Company </w:t>
      </w:r>
      <w:hyperlink r:id="rId185" w:history="1">
        <w:r>
          <w:rPr>
            <w:rFonts w:ascii="arial" w:eastAsia="arial" w:hAnsi="arial" w:cs="arial"/>
            <w:i/>
            <w:color w:val="0077CC"/>
            <w:sz w:val="20"/>
            <w:u w:val="single"/>
            <w:shd w:val="clear" w:color="auto" w:fill="FFFFFF"/>
            <w:lang w:val="en-US" w:eastAsia="en-US" w:bidi="ar-SA"/>
          </w:rPr>
          <w:t>(1884), 9 S.C.R. 527</w:t>
        </w:r>
      </w:hyperlink>
      <w:r>
        <w:rPr>
          <w:rFonts w:ascii="arial" w:eastAsia="arial" w:hAnsi="arial" w:cs="arial"/>
          <w:color w:val="000000"/>
          <w:sz w:val="20"/>
          <w:lang w:val="en-US" w:eastAsia="en-US" w:bidi="ar-SA"/>
        </w:rPr>
        <w:t xml:space="preserve"> and in particular the statement by Strong J. at p. 543 that: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In the face of the decisions in the cases of the Julia, [14 Moo. P.C. 210], and in that of Spaight v. Tedcastle, [6 App. Cases 217], it is difficult to see how there can be any doubt as to the duties of a tug under circumstances like those in evidence here. In the former case Lord [Kingsdown] lays it down that:</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The law implies an engagement that each vessel would perform its duty in completing the contract, that proper skill and diligence would be used on board of each, and that neither vessel by neglect or misconduct would create unnecessary risk to the other, or increase any risk which would be incidental to the service undertaken.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40</w:t>
      </w:r>
      <w:r>
        <w:rPr>
          <w:rFonts w:ascii="arial" w:eastAsia="arial" w:hAnsi="arial" w:cs="arial"/>
          <w:color w:val="000000"/>
          <w:sz w:val="20"/>
          <w:lang w:val="en-US" w:eastAsia="en-US" w:bidi="ar-SA"/>
        </w:rPr>
        <w:t xml:space="preserve">  The plaintiff submits that in circumstances of the forecasted gale force winds and the subsequent unexplained sinking of the Barge, an evidentiary burden of proving that the Barge was not damaged because of their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shifts to the Koprino defendants. In making that submission the plaintiff relies upon the statement by Strong J. in Sewell (at pp. 546 and 547) that: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And in the present case, when we consider the condition of the weather, the fact that the night was light and clear; that there was on the other side upwards of ten miles of open sea free from all dangers of navigation; that the line of danger within which tugs should not have steered was clearly marked in the charts and pointed out by the sailing directions, the mere fact that the ship was lost at a spot which was plainly indicated by the sailing directions as a place where it was not safe to take her, by itself and without any inquiry into the course actually steered, demonstrates, at least prima facie, that the accident was the result of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burden thus being shifted on to the defendants to show some excuse for this, can it be said that they have exonerated themselves?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41</w:t>
      </w:r>
      <w:r>
        <w:rPr>
          <w:rFonts w:ascii="arial" w:eastAsia="arial" w:hAnsi="arial" w:cs="arial"/>
          <w:color w:val="000000"/>
          <w:sz w:val="20"/>
          <w:lang w:val="en-US" w:eastAsia="en-US" w:bidi="ar-SA"/>
        </w:rPr>
        <w:t xml:space="preserve">  To similar effect and for the same purpose the plaintiff relies upon Fraser River Pile and Dredge Ltd. v. Empire Tug Boats Ltd. </w:t>
      </w:r>
      <w:hyperlink r:id="rId186" w:history="1">
        <w:r>
          <w:rPr>
            <w:rFonts w:ascii="arial" w:eastAsia="arial" w:hAnsi="arial" w:cs="arial"/>
            <w:i/>
            <w:color w:val="0077CC"/>
            <w:sz w:val="20"/>
            <w:u w:val="single"/>
            <w:shd w:val="clear" w:color="auto" w:fill="FFFFFF"/>
            <w:lang w:val="en-US" w:eastAsia="en-US" w:bidi="ar-SA"/>
          </w:rPr>
          <w:t>(1995), 92 F.T.R. 26</w:t>
        </w:r>
      </w:hyperlink>
      <w:r>
        <w:rPr>
          <w:rFonts w:ascii="arial" w:eastAsia="arial" w:hAnsi="arial" w:cs="arial"/>
          <w:color w:val="000000"/>
          <w:sz w:val="20"/>
          <w:lang w:val="en-US" w:eastAsia="en-US" w:bidi="ar-SA"/>
        </w:rPr>
        <w:t xml:space="preserve">, </w:t>
      </w:r>
      <w:hyperlink r:id="rId186" w:history="1">
        <w:r>
          <w:rPr>
            <w:rFonts w:ascii="arial" w:eastAsia="arial" w:hAnsi="arial" w:cs="arial"/>
            <w:i/>
            <w:color w:val="0077CC"/>
            <w:sz w:val="20"/>
            <w:u w:val="single"/>
            <w:shd w:val="clear" w:color="auto" w:fill="FFFFFF"/>
            <w:lang w:val="en-US" w:eastAsia="en-US" w:bidi="ar-SA"/>
          </w:rPr>
          <w:t>[1995] F.C.J. No. 437</w:t>
        </w:r>
      </w:hyperlink>
      <w:r>
        <w:rPr>
          <w:rFonts w:ascii="arial" w:eastAsia="arial" w:hAnsi="arial" w:cs="arial"/>
          <w:color w:val="000000"/>
          <w:sz w:val="20"/>
          <w:lang w:val="en-US" w:eastAsia="en-US" w:bidi="ar-SA"/>
        </w:rPr>
        <w:t xml:space="preserve"> (F.C.T.D.) and The West Cock, </w:t>
      </w:r>
      <w:hyperlink r:id="rId187" w:history="1">
        <w:r>
          <w:rPr>
            <w:rFonts w:ascii="arial" w:eastAsia="arial" w:hAnsi="arial" w:cs="arial"/>
            <w:i/>
            <w:color w:val="0077CC"/>
            <w:sz w:val="20"/>
            <w:u w:val="single"/>
            <w:shd w:val="clear" w:color="auto" w:fill="FFFFFF"/>
            <w:lang w:val="en-US" w:eastAsia="en-US" w:bidi="ar-SA"/>
          </w:rPr>
          <w:t>[1911] P. 208</w:t>
        </w:r>
      </w:hyperlink>
      <w:r>
        <w:rPr>
          <w:rFonts w:ascii="arial" w:eastAsia="arial" w:hAnsi="arial" w:cs="arial"/>
          <w:sz w:val="20"/>
          <w:lang w:val="en-US" w:eastAsia="en-US" w:bidi="ar-SA"/>
        </w:rPr>
        <w:t xml:space="preserve"> </w:t>
      </w:r>
      <w:r>
        <w:pict>
          <v:shape id="_x0000_i1060" type="#_x0000_t75" style="width:11pt;height:10pt">
            <v:imagedata r:id="rId188" o:title=""/>
          </v:shape>
        </w:pict>
      </w:r>
      <w:r>
        <w:rPr>
          <w:rFonts w:ascii="arial" w:eastAsia="arial" w:hAnsi="arial" w:cs="arial"/>
          <w:color w:val="000000"/>
          <w:sz w:val="20"/>
          <w:lang w:val="en-US" w:eastAsia="en-US" w:bidi="ar-SA"/>
        </w:rPr>
        <w:t>, (1911), 104 L.T.R. 741.</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42</w:t>
      </w:r>
      <w:r>
        <w:rPr>
          <w:rFonts w:ascii="arial" w:eastAsia="arial" w:hAnsi="arial" w:cs="arial"/>
          <w:color w:val="000000"/>
          <w:sz w:val="20"/>
          <w:lang w:val="en-US" w:eastAsia="en-US" w:bidi="ar-SA"/>
        </w:rPr>
        <w:t>  The Koprino defendants say that given the local weather conditions at Bamfield that evening they were not negligent in leaving Bamfield, notwithstanding the forecast of possible gale force winds. They also say that the Barge was not lost due to the sea and weather conditions encountered during the tow but rather because the Barge was not seaworthy. The Koprino defendants further submit that in those circumstances the reason for the sinking is not unexplained so that even if there is a shifting of an onus to the Koprino defendants (which they deny based on the proposition that the arrangements with Budden constituted a bare rental agreement rather than a contract of towage), they have met that onus.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43</w:t>
      </w:r>
      <w:r>
        <w:rPr>
          <w:rFonts w:ascii="arial" w:eastAsia="arial" w:hAnsi="arial" w:cs="arial"/>
          <w:color w:val="000000"/>
          <w:sz w:val="20"/>
          <w:lang w:val="en-US" w:eastAsia="en-US" w:bidi="ar-SA"/>
        </w:rPr>
        <w:t>  Alternatively, the Koprino defendants submit that since the plaintiff's claims are subrogated insurance claims, such claims cannot be maintained because it was a condition of Koprino undertaking the tow that Koprino and all interested in her would be insured by the plaintiff.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44</w:t>
      </w:r>
      <w:r>
        <w:rPr>
          <w:rFonts w:ascii="arial" w:eastAsia="arial" w:hAnsi="arial" w:cs="arial"/>
          <w:color w:val="000000"/>
          <w:sz w:val="20"/>
          <w:lang w:val="en-US" w:eastAsia="en-US" w:bidi="ar-SA"/>
        </w:rPr>
        <w:t>  Finally, the Koprino defendants dispute the extent of the claims of damages advanced by the plaintiff as being excessive and unsubstantiated. They also submit that they are not liable for the plaintiff's gratuitous payment of $32,000 towards the debt owed by Budden to the Farm Credit Corporation.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45</w:t>
      </w:r>
      <w:r>
        <w:rPr>
          <w:rFonts w:ascii="arial" w:eastAsia="arial" w:hAnsi="arial" w:cs="arial"/>
          <w:color w:val="000000"/>
          <w:sz w:val="20"/>
          <w:lang w:val="en-US" w:eastAsia="en-US" w:bidi="ar-SA"/>
        </w:rPr>
        <w:t>  As I have noted, Budden did not appear at trial. Counsel had, however, previously appeared on Budden's behalf and filed a statement of defence. In that statement of defence, Budden denied that he was negligent or had breached his towage contract with the plaintiff. He also alleged that the plaintiff had undertaken to provide insurance against any losses for the benefit of all parties involved in the tow.</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46</w:t>
      </w:r>
      <w:r>
        <w:rPr>
          <w:rFonts w:ascii="arial" w:eastAsia="arial" w:hAnsi="arial" w:cs="arial"/>
          <w:color w:val="000000"/>
          <w:sz w:val="20"/>
          <w:lang w:val="en-US" w:eastAsia="en-US" w:bidi="ar-SA"/>
        </w:rPr>
        <w:t>  Counsel for Budden was still counsel of record when the Notice of Trial was served upon him and I proceeded on the basis that Budden was aware of the trial and determined not to attend.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Issue #1: Did the defendants'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cause damage to the Barge?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47</w:t>
      </w:r>
      <w:r>
        <w:rPr>
          <w:rFonts w:ascii="arial" w:eastAsia="arial" w:hAnsi="arial" w:cs="arial"/>
          <w:color w:val="000000"/>
          <w:sz w:val="20"/>
          <w:lang w:val="en-US" w:eastAsia="en-US" w:bidi="ar-SA"/>
        </w:rPr>
        <w:t>  The plaintiff adduced evidence of weather forecasts for the Bamfield area and the Strait of Juan de Fuca during the day and, more specifically, the hours immediately before the defendants' decision to leave Bamfield on January 15, 2000 at 7:00 p.m. Those forecasts establish that gale warnings were in effect such that it could well be anticipated that Koprino might encounter gale force winds as well as heavy seas during her voyage towing the Barge from Bamfield that night.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48</w:t>
      </w:r>
      <w:r>
        <w:rPr>
          <w:rFonts w:ascii="arial" w:eastAsia="arial" w:hAnsi="arial" w:cs="arial"/>
          <w:color w:val="000000"/>
          <w:sz w:val="20"/>
          <w:lang w:val="en-US" w:eastAsia="en-US" w:bidi="ar-SA"/>
        </w:rPr>
        <w:t>  The plaintiff also led evidence of the actual sea and weather conditions that were recorded at relevant times at those weather stations and lighthouses passed by Koprino along its route. In addition, it led evidence of the weather and sea conditions experienced well off-shore from Vancouver Island at Peruse Banks both before and after Koprino's departure from Bamfield.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49</w:t>
      </w:r>
      <w:r>
        <w:rPr>
          <w:rFonts w:ascii="arial" w:eastAsia="arial" w:hAnsi="arial" w:cs="arial"/>
          <w:color w:val="000000"/>
          <w:sz w:val="20"/>
          <w:lang w:val="en-US" w:eastAsia="en-US" w:bidi="ar-SA"/>
        </w:rPr>
        <w:t>  The totality of the evidence establishes that the local weather reported at the various lighthouses at the relevant times should not have caused difficulty for the tow. The seas and winds were relatively calm during the voyage and remained so until well after the Barge had capsized off Port Renfrew. It also, however, establishes that the weather off Peruse Banks would likely have been far more problematic if similar weather had been encountered during the tow.</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50</w:t>
      </w:r>
      <w:r>
        <w:rPr>
          <w:rFonts w:ascii="arial" w:eastAsia="arial" w:hAnsi="arial" w:cs="arial"/>
          <w:color w:val="000000"/>
          <w:sz w:val="20"/>
          <w:lang w:val="en-US" w:eastAsia="en-US" w:bidi="ar-SA"/>
        </w:rPr>
        <w:t>  Captain Michael Armstrong, who is presently employed as a Master Pilot by the Pacific Pilotage Authority, provided expert evidence on behalf of the plaintiff.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51</w:t>
      </w:r>
      <w:r>
        <w:rPr>
          <w:rFonts w:ascii="arial" w:eastAsia="arial" w:hAnsi="arial" w:cs="arial"/>
          <w:color w:val="000000"/>
          <w:sz w:val="20"/>
          <w:lang w:val="en-US" w:eastAsia="en-US" w:bidi="ar-SA"/>
        </w:rPr>
        <w:t>  Captain Armstrong's basic premise was that the relatively calm weather and sea conditions that were reported at the various lighthouses were not likely those actually encountered by Koprino that night. He stated that the lighthouses report more protected conditions prevalent in the lee of Vancouver Island rather than those that would be found in seas further offshore where he assumed Koprino likely travelled. He opined that the weather conditions at Peruse Banks were a more likely reflection of the conditions encountered by Koprino notwithstanding that Peruse Banks was many miles from Koprino's route.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52</w:t>
      </w:r>
      <w:r>
        <w:rPr>
          <w:rFonts w:ascii="arial" w:eastAsia="arial" w:hAnsi="arial" w:cs="arial"/>
          <w:color w:val="000000"/>
          <w:sz w:val="20"/>
          <w:lang w:val="en-US" w:eastAsia="en-US" w:bidi="ar-SA"/>
        </w:rPr>
        <w:t>  Captain Armstrong also testified that the Barge was a "delicate tow" in comparison to commercial barges because it had relatively little freeboard and was relatively light. Further, the accommodation structure above its deck would tend to act as a sail making the Barge even more susceptible to being tossed about and unstable in high winds.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53</w:t>
      </w:r>
      <w:r>
        <w:rPr>
          <w:rFonts w:ascii="arial" w:eastAsia="arial" w:hAnsi="arial" w:cs="arial"/>
          <w:color w:val="000000"/>
          <w:sz w:val="20"/>
          <w:lang w:val="en-US" w:eastAsia="en-US" w:bidi="ar-SA"/>
        </w:rPr>
        <w:t>  Captain Armstrong offered the opinion that, in the unfavourable wind and sea conditions he anticipated had been encountered by Koprino, seawater must have washed over the decks of the Barge and then entered the hold of the Barge through door openings in the accommodation structure. In his opinion, this caused further instability in an already unstable vessel because the seawater could then flow freely in the hold causing the Barge to capsize and the accommodation structure to be torn from its deck.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54</w:t>
      </w:r>
      <w:r>
        <w:rPr>
          <w:rFonts w:ascii="arial" w:eastAsia="arial" w:hAnsi="arial" w:cs="arial"/>
          <w:color w:val="000000"/>
          <w:sz w:val="20"/>
          <w:lang w:val="en-US" w:eastAsia="en-US" w:bidi="ar-SA"/>
        </w:rPr>
        <w:t>  Captain Armstrong also testified that the complete loss of both the bow and the stern of the Barge could be accounted for by the rush of unimpeded water both backwards and forwards below deck before and after the Barge capsized.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55</w:t>
      </w:r>
      <w:r>
        <w:rPr>
          <w:rFonts w:ascii="arial" w:eastAsia="arial" w:hAnsi="arial" w:cs="arial"/>
          <w:color w:val="000000"/>
          <w:sz w:val="20"/>
          <w:lang w:val="en-US" w:eastAsia="en-US" w:bidi="ar-SA"/>
        </w:rPr>
        <w:t>  The Koprino defendants also relied upon the published weather forecasts for January 15 and 16, 2000 and the data from the various lighthouses that recorded actual wind and sea conditions during Koprino's voyage from Bamfield to Port Renfrew. In addition, they relied upon the evidence of Nelson and his entries in the Koprino's logbook as being consistent with the weather data recorded at the various lighthouse locations. Further, they relied upon Nelson's evidence that Koprino had travelled relatively close to shore rather than in excess of two miles offshore as postulated by Captain Armstrong. In addition, the Koprino defendants relied upon the opinion of Mr. Murdoch Matheson ("Matheson"), a Marine Surveyor, that the Barge nearly capsized due to its lack of seaworthiness rather than due to the ingress of water over its decks and into its hold.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56</w:t>
      </w:r>
      <w:r>
        <w:rPr>
          <w:rFonts w:ascii="arial" w:eastAsia="arial" w:hAnsi="arial" w:cs="arial"/>
          <w:color w:val="000000"/>
          <w:sz w:val="20"/>
          <w:lang w:val="en-US" w:eastAsia="en-US" w:bidi="ar-SA"/>
        </w:rPr>
        <w:t>  The various weather stations' records establish that the wind and sea conditions encountered at the numerous locations along Koprino's route and even those recorded at Peruse Banks during the voyage were for the most part the best conditions recorded from the period immediately before the Barge capsized, until well after. The records further establish that although a severe storm with gale force winds, as forecasted, did eventually strike the Strait of Juan de Fuca, that storm did not materialize until after the Barge had capsized.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57</w:t>
      </w:r>
      <w:r>
        <w:rPr>
          <w:rFonts w:ascii="arial" w:eastAsia="arial" w:hAnsi="arial" w:cs="arial"/>
          <w:color w:val="000000"/>
          <w:sz w:val="20"/>
          <w:lang w:val="en-US" w:eastAsia="en-US" w:bidi="ar-SA"/>
        </w:rPr>
        <w:t>  Nonetheless, I do have some concern about the weather and sea conditions experienced by Koprino in the short time before and after the Barge capsized.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58</w:t>
      </w:r>
      <w:r>
        <w:rPr>
          <w:rFonts w:ascii="arial" w:eastAsia="arial" w:hAnsi="arial" w:cs="arial"/>
          <w:color w:val="000000"/>
          <w:sz w:val="20"/>
          <w:lang w:val="en-US" w:eastAsia="en-US" w:bidi="ar-SA"/>
        </w:rPr>
        <w:t>  Those concerns arise from the evidence of Nelson and the opinion evidence of Mr. Matheson. My concerns are that:</w:t>
      </w:r>
      <w:r>
        <w:rPr>
          <w:rFonts w:ascii="arial" w:eastAsia="arial" w:hAnsi="arial" w:cs="arial"/>
          <w:sz w:val="20"/>
          <w:lang w:val="en-US" w:eastAsia="en-US" w:bidi="ar-SA"/>
        </w:rPr>
        <w:cr/>
      </w:r>
    </w:p>
    <w:p>
      <w:pPr>
        <w:numPr>
          <w:numId w:val="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in his first recorded statement concerning these events, Nelson referred to being unable to examine the Barge until after a "storm" had subsided;</w:t>
      </w:r>
    </w:p>
    <w:p>
      <w:pPr>
        <w:numPr>
          <w:numId w:val="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in his initial discussions with the plaintiff's insurance company's adjuster, Murray, Nelson reported that Koprino had experienced winds of about 40 knots per hour when the Barge was lost from sight. At trial Nelson denied making that statement and attributed it to winds he was experiencing on the Koprino after leaving Port Renfrew when he discussed matters with Murray. I do not accept that explanation because: (a) 40 knot winds are consistent with a "storm" as initially described by Nelson, and (b) the proposition that the conversation related to winds being experienced during the telephone call with Murray was not put to Murray during cross-examination;</w:t>
      </w:r>
    </w:p>
    <w:p>
      <w:pPr>
        <w:numPr>
          <w:numId w:val="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Nelson testified that the Barge could not be winched closer to Koprino for inspection after it had capsized until Koprino had reached calm waters off Port Renfrew; and</w:t>
      </w:r>
    </w:p>
    <w:p>
      <w:pPr>
        <w:numPr>
          <w:numId w:val="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Matheson testified that the presence of very strong outflow winds flowing from the land out to sea off Port Renfew is common.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59</w:t>
      </w:r>
      <w:r>
        <w:rPr>
          <w:rFonts w:ascii="arial" w:eastAsia="arial" w:hAnsi="arial" w:cs="arial"/>
          <w:color w:val="000000"/>
          <w:sz w:val="20"/>
          <w:lang w:val="en-US" w:eastAsia="en-US" w:bidi="ar-SA"/>
        </w:rPr>
        <w:t>  The totality of the evidence convinces me that at the time the Barge capsized, Koprino encountered stormy sea and water conditions that were much worse than those recorded at any other time during her voyage. I am also satisfied, however, that those storm conditions and winds of up to 40 knots experienced at the time of the capsizing were local to the waters off Port Renfrew. Further, those storm conditions did not arise as a consequence of the arrival of forecasted gale force winds in the Strait of Juan de Fuca but rather from the peculiar outflow conditions suggested by Murdock.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60</w:t>
      </w:r>
      <w:r>
        <w:rPr>
          <w:rFonts w:ascii="arial" w:eastAsia="arial" w:hAnsi="arial" w:cs="arial"/>
          <w:color w:val="000000"/>
          <w:sz w:val="20"/>
          <w:lang w:val="en-US" w:eastAsia="en-US" w:bidi="ar-SA"/>
        </w:rPr>
        <w:t>  Two questions arise from those findings. They are:</w:t>
      </w:r>
      <w:r>
        <w:rPr>
          <w:rFonts w:ascii="arial" w:eastAsia="arial" w:hAnsi="arial" w:cs="arial"/>
          <w:sz w:val="20"/>
          <w:lang w:val="en-US" w:eastAsia="en-US" w:bidi="ar-SA"/>
        </w:rPr>
        <w:cr/>
      </w:r>
    </w:p>
    <w:p>
      <w:pPr>
        <w:numPr>
          <w:numId w:val="3"/>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Were the Koprino defendants negligent in having failed to anticipate such localized storm conditions off a possible safe harbour at Port Renfrew? and</w:t>
      </w:r>
    </w:p>
    <w:p>
      <w:pPr>
        <w:numPr>
          <w:numId w:val="3"/>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Did those storm conditions cause the Barge to capsize?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61</w:t>
      </w:r>
      <w:r>
        <w:rPr>
          <w:rFonts w:ascii="arial" w:eastAsia="arial" w:hAnsi="arial" w:cs="arial"/>
          <w:color w:val="000000"/>
          <w:sz w:val="20"/>
          <w:lang w:val="en-US" w:eastAsia="en-US" w:bidi="ar-SA"/>
        </w:rPr>
        <w:t>  As I have previously stated, the focus of the plaintiff's claim against the Koprino defendants was the decision to leave Bamfield in the face of published gale force wind warnings for the Strait of Juan de Fuca. In my view, the fact that Koprino encountered a local storm off Port Renfrew does not establish that the decisions to depart Bamfield or to treat Port Renfrew as a potentially available safe harbour were negligently made.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62</w:t>
      </w:r>
      <w:r>
        <w:rPr>
          <w:rFonts w:ascii="arial" w:eastAsia="arial" w:hAnsi="arial" w:cs="arial"/>
          <w:color w:val="000000"/>
          <w:sz w:val="20"/>
          <w:lang w:val="en-US" w:eastAsia="en-US" w:bidi="ar-SA"/>
        </w:rPr>
        <w:t>  Koprino and the Barge were entrusted to the care of Brock, an experienced mariner with qualifications greater than those of Nelson. Further, the local wind and sea conditions encountered off Port Renfrew in the early morning hours of January 16, 2000 were far distant from Bamfield when the decisions both to leave Bamfield and to treat Port Renfrew as a potentially safe harbour were made many hours earlier. In my view, to find that the Koprino defendants were negligent in those circumstances would be tantamount to a finding of strict liability.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63</w:t>
      </w:r>
      <w:r>
        <w:rPr>
          <w:rFonts w:ascii="arial" w:eastAsia="arial" w:hAnsi="arial" w:cs="arial"/>
          <w:color w:val="000000"/>
          <w:sz w:val="20"/>
          <w:lang w:val="en-US" w:eastAsia="en-US" w:bidi="ar-SA"/>
        </w:rPr>
        <w:t xml:space="preserve">  Further, and more importantly to the determination of the liability issues in this case, the plaintiff has not proven that the Barge capsized as a consequence either of the Koprino defendants'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or the wind and sea conditions that were encountered off of Port Renfrew.</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64</w:t>
      </w:r>
      <w:r>
        <w:rPr>
          <w:rFonts w:ascii="arial" w:eastAsia="arial" w:hAnsi="arial" w:cs="arial"/>
          <w:color w:val="000000"/>
          <w:sz w:val="20"/>
          <w:lang w:val="en-US" w:eastAsia="en-US" w:bidi="ar-SA"/>
        </w:rPr>
        <w:t>  I reach that conclusion because I am not satisfied that Captain Armstrong's theory that the Barge capsized because sea water washed over its deck and into its hold through the doors of the accommodation structure is supported by the totality of the evidence.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65</w:t>
      </w:r>
      <w:r>
        <w:rPr>
          <w:rFonts w:ascii="arial" w:eastAsia="arial" w:hAnsi="arial" w:cs="arial"/>
          <w:color w:val="000000"/>
          <w:sz w:val="20"/>
          <w:lang w:val="en-US" w:eastAsia="en-US" w:bidi="ar-SA"/>
        </w:rPr>
        <w:t>  The evidence establishes that both the bow and the stern of the Barge were wholly torn away when the Barge was observed at the Government dock by Nelson and later by others in Port Renfrew. It also establishes that the nails that had secured the horizontal planking of the Barge's bow rake were not distorted when the horizontal planks were torn loose from the vertical support structure.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66</w:t>
      </w:r>
      <w:r>
        <w:rPr>
          <w:rFonts w:ascii="arial" w:eastAsia="arial" w:hAnsi="arial" w:cs="arial"/>
          <w:color w:val="000000"/>
          <w:sz w:val="20"/>
          <w:lang w:val="en-US" w:eastAsia="en-US" w:bidi="ar-SA"/>
        </w:rPr>
        <w:t>  The evidence further establishes that there was a significant amount of rot present in the remaining horizontal planking at the base of the barge deck. That rot was not visually detectable before the wreck because the outside of the Barge was sheathed by a coat of fibreglass over plywood.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67</w:t>
      </w:r>
      <w:r>
        <w:rPr>
          <w:rFonts w:ascii="arial" w:eastAsia="arial" w:hAnsi="arial" w:cs="arial"/>
          <w:color w:val="000000"/>
          <w:sz w:val="20"/>
          <w:lang w:val="en-US" w:eastAsia="en-US" w:bidi="ar-SA"/>
        </w:rPr>
        <w:t>  I find that the fibreglass outer shell created an open space between the shell and the horizontal structural planks. That space was not properly vented and moisture was therefore trapped in it causing the horizontal planks to rot. Because of that extensive rot, neither the bow nor the stern of the Barge were structurally sound.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68</w:t>
      </w:r>
      <w:r>
        <w:rPr>
          <w:rFonts w:ascii="arial" w:eastAsia="arial" w:hAnsi="arial" w:cs="arial"/>
          <w:color w:val="000000"/>
          <w:sz w:val="20"/>
          <w:lang w:val="en-US" w:eastAsia="en-US" w:bidi="ar-SA"/>
        </w:rPr>
        <w:t>  I further accept Matheson's opinion that the whole of the bow would not have been lost if the Barge had struck a deadhead or other unseen object in rough waters, an alternate theory advanced by the plaintiff.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69</w:t>
      </w:r>
      <w:r>
        <w:rPr>
          <w:rFonts w:ascii="arial" w:eastAsia="arial" w:hAnsi="arial" w:cs="arial"/>
          <w:color w:val="000000"/>
          <w:sz w:val="20"/>
          <w:lang w:val="en-US" w:eastAsia="en-US" w:bidi="ar-SA"/>
        </w:rPr>
        <w:t>  If a deadhead or other large object had been struck, it would have caused a localized rupture of the bow and would also likely have caused the loss of the entire stern as water rushed unimpeded through the Barge. It would not, however, have caused the loss of the entire bow because the constant forward motion of the tow would always force water to flow backwards. There could be no forward flow of water that could cause the bow to be torn away due to internal free flow of water.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70</w:t>
      </w:r>
      <w:r>
        <w:rPr>
          <w:rFonts w:ascii="arial" w:eastAsia="arial" w:hAnsi="arial" w:cs="arial"/>
          <w:color w:val="000000"/>
          <w:sz w:val="20"/>
          <w:lang w:val="en-US" w:eastAsia="en-US" w:bidi="ar-SA"/>
        </w:rPr>
        <w:t>  The only other possible conclusions are that:</w:t>
      </w:r>
      <w:r>
        <w:rPr>
          <w:rFonts w:ascii="arial" w:eastAsia="arial" w:hAnsi="arial" w:cs="arial"/>
          <w:sz w:val="20"/>
          <w:lang w:val="en-US" w:eastAsia="en-US" w:bidi="ar-SA"/>
        </w:rPr>
        <w:cr/>
      </w:r>
    </w:p>
    <w:p>
      <w:pPr>
        <w:numPr>
          <w:numId w:val="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bow and subsequently the stern failed from the constant water pressure on the rotten timbers while under tow, as opined by Matheson; or</w:t>
      </w:r>
    </w:p>
    <w:p>
      <w:pPr>
        <w:numPr>
          <w:numId w:val="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bow and stern were both torn away by the surface effect of water in the hold after ingress from above decks as postulated by Captain Armstrong.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71</w:t>
      </w:r>
      <w:r>
        <w:rPr>
          <w:rFonts w:ascii="arial" w:eastAsia="arial" w:hAnsi="arial" w:cs="arial"/>
          <w:color w:val="000000"/>
          <w:sz w:val="20"/>
          <w:lang w:val="en-US" w:eastAsia="en-US" w:bidi="ar-SA"/>
        </w:rPr>
        <w:t>  Captain Armstrong's theory is dependent upon a finding that there were large quantities of water washing over the decks of the Barge. The plaintiff has not established on the whole of the evidence that this was the case. His theory is also dependent upon the proposition that trapped water would flow freely backward and forward in the Barge and as I have already determined, that could not occur while the Barge was under tow.</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72</w:t>
      </w:r>
      <w:r>
        <w:rPr>
          <w:rFonts w:ascii="arial" w:eastAsia="arial" w:hAnsi="arial" w:cs="arial"/>
          <w:color w:val="000000"/>
          <w:sz w:val="20"/>
          <w:lang w:val="en-US" w:eastAsia="en-US" w:bidi="ar-SA"/>
        </w:rPr>
        <w:t>  I accordingly accept Matheson's expert opinion that the Barge was not seaworthy because of its internal structural frailty due to rot in its bow and stern planking.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73</w:t>
      </w:r>
      <w:r>
        <w:rPr>
          <w:rFonts w:ascii="arial" w:eastAsia="arial" w:hAnsi="arial" w:cs="arial"/>
          <w:color w:val="000000"/>
          <w:sz w:val="20"/>
          <w:lang w:val="en-US" w:eastAsia="en-US" w:bidi="ar-SA"/>
        </w:rPr>
        <w:t xml:space="preserve">  My determinations that the plaintiff has failed to prove on a balance of probabilities that the defendants were negligent or that any of the defendants caused or contributed to the capsizing of the Barge makes it unnecessary for me to address the insurance issues raised by the defendants as an alternate defence to the plaintiff's claims. However, given the importance of those issues to the parties if I am wrong in my assessment of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and causation, I have decided that I should determine those insurance issues in any event.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Issue #2: Is the plaintiff's claim barred by its failure to obtain insurance coverage for the benefit of the defendants?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74</w:t>
      </w:r>
      <w:r>
        <w:rPr>
          <w:rFonts w:ascii="arial" w:eastAsia="arial" w:hAnsi="arial" w:cs="arial"/>
          <w:color w:val="000000"/>
          <w:sz w:val="20"/>
          <w:lang w:val="en-US" w:eastAsia="en-US" w:bidi="ar-SA"/>
        </w:rPr>
        <w:t>  As previously noted, Nelson testified that it was a condition of Koprino undertaking the towing of the Barge that the owners of the Barge provide insurance coverage for "all parties" involved in the tow. As also noted, Nelson testified that Budden advised him on Friday, January 14, 2000 that the necessary insurance would be in place before Koprino left Steveston for Bamfield and confirmed that such insurance was in place before the tow commenced on Saturday, January 15, 2000.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75</w:t>
      </w:r>
      <w:r>
        <w:rPr>
          <w:rFonts w:ascii="arial" w:eastAsia="arial" w:hAnsi="arial" w:cs="arial"/>
          <w:color w:val="000000"/>
          <w:sz w:val="20"/>
          <w:lang w:val="en-US" w:eastAsia="en-US" w:bidi="ar-SA"/>
        </w:rPr>
        <w:t>  The initial question to be answered concerning these insurance issues is a factual one: Did Budden represent to Nelson that insurance coverage was in place for "the benefit of all parties" before Koprino undertook the tow?</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76</w:t>
      </w:r>
      <w:r>
        <w:rPr>
          <w:rFonts w:ascii="arial" w:eastAsia="arial" w:hAnsi="arial" w:cs="arial"/>
          <w:color w:val="000000"/>
          <w:sz w:val="20"/>
          <w:lang w:val="en-US" w:eastAsia="en-US" w:bidi="ar-SA"/>
        </w:rPr>
        <w:t>  Counsel for the plaintiff suggested that Nelson's evidence on the issue of insurance was unreliable in that his use of the phrase "for the benefit of all parties" appeared to by contrived. Mr. Jones also questioned how or why Budden could make a commitment on behalf of the plaintiff on January 14, 2000 when there was no evidence of any discussions relating to such insurance issues with the plaintiff on that date. Counsel for the plaintiff further suggested that the fact that Nelson was prepared to depart without payment of the $2,500 initial payment should lead to the conclusion that he was also prepared to leave without the benefit of insurance coverage. He says that conclusion should be reached because Koprino was already in Bamfield; Nelson had already incurred the cost of the voyage there; and, he would receive no recompense if Koprino did not undertake the tow.</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77</w:t>
      </w:r>
      <w:r>
        <w:rPr>
          <w:rFonts w:ascii="arial" w:eastAsia="arial" w:hAnsi="arial" w:cs="arial"/>
          <w:color w:val="000000"/>
          <w:sz w:val="20"/>
          <w:lang w:val="en-US" w:eastAsia="en-US" w:bidi="ar-SA"/>
        </w:rPr>
        <w:t>  I am not prepared to reach those conclusions especially given that Budden did not testify. Nelson admitted his unhappiness about the lack of the initial $2,500 payment but explained that he understood the problem given the lack of ready cash available to Budden in Bamfield. It does not follow that Nelson was prepared to take a chance without insurance given the conditions placed upon the use of the Koprino by Canadian Fishing.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78</w:t>
      </w:r>
      <w:r>
        <w:rPr>
          <w:rFonts w:ascii="arial" w:eastAsia="arial" w:hAnsi="arial" w:cs="arial"/>
          <w:color w:val="000000"/>
          <w:sz w:val="20"/>
          <w:lang w:val="en-US" w:eastAsia="en-US" w:bidi="ar-SA"/>
        </w:rPr>
        <w:t>  Further, it was open to the plaintiff to call the evidence of Brock to refute Nelson's testimony not only on this issue but also with respect to the sea conditions encountered by Koprino during the tow. While I do not go so far as to reach an adverse interest in that regard, I am not prepared to find that Nelson was untruthful in the absence of contradictory testimony.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79</w:t>
      </w:r>
      <w:r>
        <w:rPr>
          <w:rFonts w:ascii="arial" w:eastAsia="arial" w:hAnsi="arial" w:cs="arial"/>
          <w:color w:val="000000"/>
          <w:sz w:val="20"/>
          <w:lang w:val="en-US" w:eastAsia="en-US" w:bidi="ar-SA"/>
        </w:rPr>
        <w:t>  I am accordingly satisfied that Budden did represent to Nelson that insurance was in place for the benefit of all parties. In the context of the negotiations with Nelson that reference was intended to be relied upon by Nelson as a representation that the Koprino defendants were covered against any potential losses arising from the tow of the Barge.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80</w:t>
      </w:r>
      <w:r>
        <w:rPr>
          <w:rFonts w:ascii="arial" w:eastAsia="arial" w:hAnsi="arial" w:cs="arial"/>
          <w:color w:val="000000"/>
          <w:sz w:val="20"/>
          <w:lang w:val="en-US" w:eastAsia="en-US" w:bidi="ar-SA"/>
        </w:rPr>
        <w:t>  Those conclusions require determination of the legal effect of Budden's representations. In that regard, the following two questions arise:</w:t>
      </w:r>
      <w:r>
        <w:rPr>
          <w:rFonts w:ascii="arial" w:eastAsia="arial" w:hAnsi="arial" w:cs="arial"/>
          <w:sz w:val="20"/>
          <w:lang w:val="en-US" w:eastAsia="en-US" w:bidi="ar-SA"/>
        </w:rPr>
        <w:cr/>
      </w:r>
    </w:p>
    <w:p>
      <w:pPr>
        <w:numPr>
          <w:numId w:val="5"/>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did either or both of the plaintiff's principals agree with Budden that the plaintiff would arrange for insurance coverage for all parties so that the plaintiff's subrogated claim against Koprino is barred by the plaintiff's own default? and</w:t>
      </w:r>
    </w:p>
    <w:p>
      <w:pPr>
        <w:numPr>
          <w:numId w:val="5"/>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if not, were Budden's misrepresentations made during the course of an agency relationship with the plaintiff such that the plaintiff's subrogated claim against Koprino is barred?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81</w:t>
      </w:r>
      <w:r>
        <w:rPr>
          <w:rFonts w:ascii="arial" w:eastAsia="arial" w:hAnsi="arial" w:cs="arial"/>
          <w:color w:val="000000"/>
          <w:sz w:val="20"/>
          <w:lang w:val="en-US" w:eastAsia="en-US" w:bidi="ar-SA"/>
        </w:rPr>
        <w:t>  As noted above, Vicki Swanson and Dennis Swanson each testified that they knew of Budden's need to change tow vessels but stated that they were never informed by him of any requirement that the tow was to be insured by them for the benefit of Koprino.</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82</w:t>
      </w:r>
      <w:r>
        <w:rPr>
          <w:rFonts w:ascii="arial" w:eastAsia="arial" w:hAnsi="arial" w:cs="arial"/>
          <w:color w:val="000000"/>
          <w:sz w:val="20"/>
          <w:lang w:val="en-US" w:eastAsia="en-US" w:bidi="ar-SA"/>
        </w:rPr>
        <w:t>  Counsel for the Koprino defendants questions the reliability of their evidence. The primary focus of Mr. McEwen's challenge to their credibility is the record of numerous telephone calls to and from the Swanson's home and office telephones during the relevant time period. Those records establish that many telephone calls were made between Vicki Swanson and the plaintiff's insurance agent on Friday, January 14, 2000. They also establish that a number of telephone calls were made that day from the Swanson residence in Port Alberni to Dennis Swanson in Sointula, British Columbia where he had been working since January 10 or 11, 2000.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83</w:t>
      </w:r>
      <w:r>
        <w:rPr>
          <w:rFonts w:ascii="arial" w:eastAsia="arial" w:hAnsi="arial" w:cs="arial"/>
          <w:color w:val="000000"/>
          <w:sz w:val="20"/>
          <w:lang w:val="en-US" w:eastAsia="en-US" w:bidi="ar-SA"/>
        </w:rPr>
        <w:t>  Vicki Swanson testified that her discussions with the plaintiff's agent were solely to inform him that, as she had been advised by Budden, a different vessel would be completing the tow. She said that she did so solely to inform the insurance company of that change so that it would be aware of it. She denied that the calls had anything to do with naming the Koprino as an insured.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84</w:t>
      </w:r>
      <w:r>
        <w:rPr>
          <w:rFonts w:ascii="arial" w:eastAsia="arial" w:hAnsi="arial" w:cs="arial"/>
          <w:color w:val="000000"/>
          <w:sz w:val="20"/>
          <w:lang w:val="en-US" w:eastAsia="en-US" w:bidi="ar-SA"/>
        </w:rPr>
        <w:t>  Vicki Swanson also testified that she kept her husband informed of the progress of the tow only by way of advice that she had received from Budden and never discussed insurance coverage for Koprino with him.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85</w:t>
      </w:r>
      <w:r>
        <w:rPr>
          <w:rFonts w:ascii="arial" w:eastAsia="arial" w:hAnsi="arial" w:cs="arial"/>
          <w:color w:val="000000"/>
          <w:sz w:val="20"/>
          <w:lang w:val="en-US" w:eastAsia="en-US" w:bidi="ar-SA"/>
        </w:rPr>
        <w:t>  Dennis Swanson testified that he had no direct contact with Budden after he himself left for Sointula which was well before the tow from Port Alberni commenced. He said he was aware of the need to change tow vessels through discussions with his wife but had no knowledge of any insurance issues all of which he left to her.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86</w:t>
      </w:r>
      <w:r>
        <w:rPr>
          <w:rFonts w:ascii="arial" w:eastAsia="arial" w:hAnsi="arial" w:cs="arial"/>
          <w:color w:val="000000"/>
          <w:sz w:val="20"/>
          <w:lang w:val="en-US" w:eastAsia="en-US" w:bidi="ar-SA"/>
        </w:rPr>
        <w:t>  There was, however, one unexplained telephone call from Dennis Swanson's telephone in Sointula to the Budden residence in Port Alberni during the morning of Saturday, January 15, 2000. It must be noted, however, that this unexplained communication took place after Koprino had left Steveston for Bamfield, indicating that if Budden made any insurance commitments to Nelson, he had done so before contacting Dennis Swanson. That is so because Jones of Canadian Fishing testified that he did not give permission for the tow until the close of business on Friday, January 14, 2000.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87</w:t>
      </w:r>
      <w:r>
        <w:rPr>
          <w:rFonts w:ascii="arial" w:eastAsia="arial" w:hAnsi="arial" w:cs="arial"/>
          <w:color w:val="000000"/>
          <w:sz w:val="20"/>
          <w:lang w:val="en-US" w:eastAsia="en-US" w:bidi="ar-SA"/>
        </w:rPr>
        <w:t>  While it remains possible that Budden attempted, after the fact, to obtain insurance coverage as requested by Nelson, I also note that Dennis Swanson was not confronted with the existence of the unexplained telephone call on cross-examination. In those circumstances, especially given Budden's failure to attend at trial, I am not prepared to find that the evidence of either Vicki Swanson or Dennis Swanson was untruthful.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88</w:t>
      </w:r>
      <w:r>
        <w:rPr>
          <w:rFonts w:ascii="arial" w:eastAsia="arial" w:hAnsi="arial" w:cs="arial"/>
          <w:color w:val="000000"/>
          <w:sz w:val="20"/>
          <w:lang w:val="en-US" w:eastAsia="en-US" w:bidi="ar-SA"/>
        </w:rPr>
        <w:t>  I accordingly find that Budden did not pass on Nelson's requirement that the plaintiff provide insurance for the benefit of all parties to either Vicki Swanson or Dennis Swanson.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89</w:t>
      </w:r>
      <w:r>
        <w:rPr>
          <w:rFonts w:ascii="arial" w:eastAsia="arial" w:hAnsi="arial" w:cs="arial"/>
          <w:color w:val="000000"/>
          <w:sz w:val="20"/>
          <w:lang w:val="en-US" w:eastAsia="en-US" w:bidi="ar-SA"/>
        </w:rPr>
        <w:t>  The question then becomes whether Budden's misrepresentations to Nelson concerning insurance coverage bar this subrogated claim brought by the plaintiff's insurers.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90</w:t>
      </w:r>
      <w:r>
        <w:rPr>
          <w:rFonts w:ascii="arial" w:eastAsia="arial" w:hAnsi="arial" w:cs="arial"/>
          <w:color w:val="000000"/>
          <w:sz w:val="20"/>
          <w:lang w:val="en-US" w:eastAsia="en-US" w:bidi="ar-SA"/>
        </w:rPr>
        <w:t xml:space="preserve">  The Koprino defendants' submission that the plaintiff's claims are barred as subrogated insurance claims is founded upon the proposition that a third party to an insurance contract will be afforded the protection of that insurance where the facts demonstrate a clear intention or obligation between the insured and the third party to so extend coverage. See: St. Lawrence Cement Inc. v. Wakeham &amp; Sons Ltd. </w:t>
      </w:r>
      <w:hyperlink r:id="rId189" w:history="1">
        <w:r>
          <w:rPr>
            <w:rFonts w:ascii="arial" w:eastAsia="arial" w:hAnsi="arial" w:cs="arial"/>
            <w:i/>
            <w:color w:val="0077CC"/>
            <w:sz w:val="20"/>
            <w:u w:val="single"/>
            <w:shd w:val="clear" w:color="auto" w:fill="FFFFFF"/>
            <w:lang w:val="en-US" w:eastAsia="en-US" w:bidi="ar-SA"/>
          </w:rPr>
          <w:t>(1996), 26 O.R. (3d) 321</w:t>
        </w:r>
      </w:hyperlink>
      <w:r>
        <w:rPr>
          <w:rFonts w:ascii="arial" w:eastAsia="arial" w:hAnsi="arial" w:cs="arial"/>
          <w:color w:val="000000"/>
          <w:sz w:val="20"/>
          <w:lang w:val="en-US" w:eastAsia="en-US" w:bidi="ar-SA"/>
        </w:rPr>
        <w:t xml:space="preserve">, </w:t>
      </w:r>
      <w:hyperlink r:id="rId189" w:history="1">
        <w:r>
          <w:rPr>
            <w:rFonts w:ascii="arial" w:eastAsia="arial" w:hAnsi="arial" w:cs="arial"/>
            <w:i/>
            <w:color w:val="0077CC"/>
            <w:sz w:val="20"/>
            <w:u w:val="single"/>
            <w:shd w:val="clear" w:color="auto" w:fill="FFFFFF"/>
            <w:lang w:val="en-US" w:eastAsia="en-US" w:bidi="ar-SA"/>
          </w:rPr>
          <w:t>23 B.L.R. (2d) 1</w:t>
        </w:r>
      </w:hyperlink>
      <w:r>
        <w:rPr>
          <w:rFonts w:ascii="arial" w:eastAsia="arial" w:hAnsi="arial" w:cs="arial"/>
          <w:color w:val="000000"/>
          <w:sz w:val="20"/>
          <w:lang w:val="en-US" w:eastAsia="en-US" w:bidi="ar-SA"/>
        </w:rPr>
        <w:t xml:space="preserve"> (Ont. C.A.), (leave to appeal refused, </w:t>
      </w:r>
      <w:hyperlink r:id="rId190" w:history="1">
        <w:r>
          <w:rPr>
            <w:rFonts w:ascii="arial" w:eastAsia="arial" w:hAnsi="arial" w:cs="arial"/>
            <w:i/>
            <w:color w:val="0077CC"/>
            <w:sz w:val="20"/>
            <w:u w:val="single"/>
            <w:shd w:val="clear" w:color="auto" w:fill="FFFFFF"/>
            <w:lang w:val="en-US" w:eastAsia="en-US" w:bidi="ar-SA"/>
          </w:rPr>
          <w:t>[1995] S.C.C.A. No. 553</w:t>
        </w:r>
      </w:hyperlink>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91</w:t>
      </w:r>
      <w:r>
        <w:rPr>
          <w:rFonts w:ascii="arial" w:eastAsia="arial" w:hAnsi="arial" w:cs="arial"/>
          <w:color w:val="000000"/>
          <w:sz w:val="20"/>
          <w:lang w:val="en-US" w:eastAsia="en-US" w:bidi="ar-SA"/>
        </w:rPr>
        <w:t>  In the St. Lawrence Cement case, the Ontario Court of Appeal determined that a barge owner's agreement to insure the barge for towing was made for the benefit of the tug engaged to tow the barge. The evidence established that prior to the tow the owner of the tug sought and obtained a commitment from the barge owner that the barge would be insured. In reversing the decision of the trial judge, the Court of Appeal held that the only logical conclusion to be drawn from those facts was that the owner agreed to place insurance for the benefit of the tug owner as well as itself.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92</w:t>
      </w:r>
      <w:r>
        <w:rPr>
          <w:rFonts w:ascii="arial" w:eastAsia="arial" w:hAnsi="arial" w:cs="arial"/>
          <w:color w:val="000000"/>
          <w:sz w:val="20"/>
          <w:lang w:val="en-US" w:eastAsia="en-US" w:bidi="ar-SA"/>
        </w:rPr>
        <w:t>  As to the issue of the extent of the protection of the covenant given by the owners to obtain insurance, the Court stated, at pp. 341-342:</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 The covenant by the respondent to be responsible for insuring the "Robert Koch" and its cargo was for the benefit of the appellant and relieved the appellant from liability in case of loss caused by its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The insurance policy obtained by the respondent, which covered loss or damage suffered by reason of the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of the appellant, was for the benefit of the appellant as well as for the respondent. Neither the respondent, nor its insurer, by way of subrogation, can recover damages for the loss of the barge or its cargo.</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93</w:t>
      </w:r>
      <w:r>
        <w:rPr>
          <w:rFonts w:ascii="arial" w:eastAsia="arial" w:hAnsi="arial" w:cs="arial"/>
          <w:color w:val="000000"/>
          <w:sz w:val="20"/>
          <w:lang w:val="en-US" w:eastAsia="en-US" w:bidi="ar-SA"/>
        </w:rPr>
        <w:t xml:space="preserve">  The St. Lawrence Cement decision was cited with approval by the British Columbia Court of Appeal in Laing Property Corp. v. All Seasons Display Inc. </w:t>
      </w:r>
      <w:hyperlink r:id="rId191" w:history="1">
        <w:r>
          <w:rPr>
            <w:rFonts w:ascii="arial" w:eastAsia="arial" w:hAnsi="arial" w:cs="arial"/>
            <w:i/>
            <w:color w:val="0077CC"/>
            <w:sz w:val="20"/>
            <w:u w:val="single"/>
            <w:shd w:val="clear" w:color="auto" w:fill="FFFFFF"/>
            <w:lang w:val="en-US" w:eastAsia="en-US" w:bidi="ar-SA"/>
          </w:rPr>
          <w:t>(2000), 79 B.C.L.R. (3d) 199</w:t>
        </w:r>
      </w:hyperlink>
      <w:r>
        <w:rPr>
          <w:rFonts w:ascii="arial" w:eastAsia="arial" w:hAnsi="arial" w:cs="arial"/>
          <w:color w:val="000000"/>
          <w:sz w:val="20"/>
          <w:lang w:val="en-US" w:eastAsia="en-US" w:bidi="ar-SA"/>
        </w:rPr>
        <w:t xml:space="preserve">, </w:t>
      </w:r>
      <w:hyperlink r:id="rId191" w:history="1">
        <w:r>
          <w:rPr>
            <w:rFonts w:ascii="arial" w:eastAsia="arial" w:hAnsi="arial" w:cs="arial"/>
            <w:i/>
            <w:color w:val="0077CC"/>
            <w:sz w:val="20"/>
            <w:u w:val="single"/>
            <w:shd w:val="clear" w:color="auto" w:fill="FFFFFF"/>
            <w:lang w:val="en-US" w:eastAsia="en-US" w:bidi="ar-SA"/>
          </w:rPr>
          <w:t>190 D.L.R. (4th) 1</w:t>
        </w:r>
      </w:hyperlink>
      <w:r>
        <w:rPr>
          <w:rFonts w:ascii="arial" w:eastAsia="arial" w:hAnsi="arial" w:cs="arial"/>
          <w:color w:val="000000"/>
          <w:sz w:val="20"/>
          <w:lang w:val="en-US" w:eastAsia="en-US" w:bidi="ar-SA"/>
        </w:rPr>
        <w:t xml:space="preserve"> at [paragraph] 24, in considering the effect of a covenant to insure in the context of a fire insurance policy under a tenancy agreement obligating the landlord to insure premises against fire for the benefit of the tenant.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94</w:t>
      </w:r>
      <w:r>
        <w:rPr>
          <w:rFonts w:ascii="arial" w:eastAsia="arial" w:hAnsi="arial" w:cs="arial"/>
          <w:color w:val="000000"/>
          <w:sz w:val="20"/>
          <w:lang w:val="en-US" w:eastAsia="en-US" w:bidi="ar-SA"/>
        </w:rPr>
        <w:t xml:space="preserve">  In my view, the authorities amply support the proposition that if the owners of a barge covenant with the owners of a tugboat to insure the barge for the benefit of "all parties", the owner's insurer may not advance a subrogated claim against the tugboat and its owner for losses occasioned by the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of the tugboat, its operators or its owners.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95</w:t>
      </w:r>
      <w:r>
        <w:rPr>
          <w:rFonts w:ascii="arial" w:eastAsia="arial" w:hAnsi="arial" w:cs="arial"/>
          <w:color w:val="000000"/>
          <w:sz w:val="20"/>
          <w:lang w:val="en-US" w:eastAsia="en-US" w:bidi="ar-SA"/>
        </w:rPr>
        <w:t>  That leaves for determination the issue of whether the misrepresentation by Budden to Nelson that such insurance was in place precludes the plaintiff's insurers from advancing this subrogated claim in the same way as if a covenant to insure had been given by the plaintiff itself.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96</w:t>
      </w:r>
      <w:r>
        <w:rPr>
          <w:rFonts w:ascii="arial" w:eastAsia="arial" w:hAnsi="arial" w:cs="arial"/>
          <w:color w:val="000000"/>
          <w:sz w:val="20"/>
          <w:lang w:val="en-US" w:eastAsia="en-US" w:bidi="ar-SA"/>
        </w:rPr>
        <w:t>  That question must be answered by reference to agency principles.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97</w:t>
      </w:r>
      <w:r>
        <w:rPr>
          <w:rFonts w:ascii="arial" w:eastAsia="arial" w:hAnsi="arial" w:cs="arial"/>
          <w:color w:val="000000"/>
          <w:sz w:val="20"/>
          <w:lang w:val="en-US" w:eastAsia="en-US" w:bidi="ar-SA"/>
        </w:rPr>
        <w:t>  In the The Law of Agency, 7th edition (Toronto: Butterworths, 1996) at p. 11, Professor G.H.L. Fridman provides a useful working analysis of the relationship between a principal and agent and its potential impact upon strangers to that relationship:</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 the relationship that exists between two persons when one, called the </w:t>
      </w:r>
      <w:r>
        <w:rPr>
          <w:rFonts w:ascii="arial" w:eastAsia="arial" w:hAnsi="arial" w:cs="arial"/>
          <w:i/>
          <w:color w:val="000000"/>
          <w:sz w:val="20"/>
          <w:lang w:val="en-US" w:eastAsia="en-US" w:bidi="ar-SA"/>
        </w:rPr>
        <w:t>agent</w:t>
      </w:r>
      <w:r>
        <w:rPr>
          <w:rFonts w:ascii="arial" w:eastAsia="arial" w:hAnsi="arial" w:cs="arial"/>
          <w:color w:val="000000"/>
          <w:sz w:val="20"/>
          <w:lang w:val="en-US" w:eastAsia="en-US" w:bidi="ar-SA"/>
        </w:rPr>
        <w:t xml:space="preserve">, is considered in law to represent the other, called the </w:t>
      </w:r>
      <w:r>
        <w:rPr>
          <w:rFonts w:ascii="arial" w:eastAsia="arial" w:hAnsi="arial" w:cs="arial"/>
          <w:i/>
          <w:color w:val="000000"/>
          <w:sz w:val="20"/>
          <w:lang w:val="en-US" w:eastAsia="en-US" w:bidi="ar-SA"/>
        </w:rPr>
        <w:t>principal</w:t>
      </w:r>
      <w:r>
        <w:rPr>
          <w:rFonts w:ascii="arial" w:eastAsia="arial" w:hAnsi="arial" w:cs="arial"/>
          <w:color w:val="000000"/>
          <w:sz w:val="20"/>
          <w:lang w:val="en-US" w:eastAsia="en-US" w:bidi="ar-SA"/>
        </w:rPr>
        <w:t xml:space="preserve">, in such a way </w:t>
      </w:r>
      <w:r>
        <w:rPr>
          <w:rFonts w:ascii="arial" w:eastAsia="arial" w:hAnsi="arial" w:cs="arial"/>
          <w:i/>
          <w:color w:val="000000"/>
          <w:sz w:val="20"/>
          <w:lang w:val="en-US" w:eastAsia="en-US" w:bidi="ar-SA"/>
        </w:rPr>
        <w:t>as to be able to affect the principal's legal position in respect of strangers to the relationship by the making of contracts</w:t>
      </w:r>
      <w:r>
        <w:rPr>
          <w:rFonts w:ascii="arial" w:eastAsia="arial" w:hAnsi="arial" w:cs="arial"/>
          <w:color w:val="000000"/>
          <w:sz w:val="20"/>
          <w:lang w:val="en-US" w:eastAsia="en-US" w:bidi="ar-SA"/>
        </w:rPr>
        <w:t xml:space="preserve"> or the disposition of property. [emphasis added]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98</w:t>
      </w:r>
      <w:r>
        <w:rPr>
          <w:rFonts w:ascii="arial" w:eastAsia="arial" w:hAnsi="arial" w:cs="arial"/>
          <w:color w:val="000000"/>
          <w:sz w:val="20"/>
          <w:lang w:val="en-US" w:eastAsia="en-US" w:bidi="ar-SA"/>
        </w:rPr>
        <w:t>  While the relationship between an agent and principal as well as the extent of the agent's authority to bind the principal will usually be governed by the terms of an agreement, such an agreement is not a necessary precondition to the agent's ability to alter the legal relationship between the principal and third parties.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99</w:t>
      </w:r>
      <w:r>
        <w:rPr>
          <w:rFonts w:ascii="arial" w:eastAsia="arial" w:hAnsi="arial" w:cs="arial"/>
          <w:color w:val="000000"/>
          <w:sz w:val="20"/>
          <w:lang w:val="en-US" w:eastAsia="en-US" w:bidi="ar-SA"/>
        </w:rPr>
        <w:t>  The existence of an agency relationship may also arise by implication. As noted in Bowstead on Agency, 15th edition (London: Street and Maxwell, 1985) at p. 1:</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 [a]gency is the fiduciary relationship which exists between two persons, one of whom expressly or </w:t>
      </w:r>
      <w:r>
        <w:rPr>
          <w:rFonts w:ascii="arial" w:eastAsia="arial" w:hAnsi="arial" w:cs="arial"/>
          <w:i/>
          <w:color w:val="000000"/>
          <w:sz w:val="20"/>
          <w:lang w:val="en-US" w:eastAsia="en-US" w:bidi="ar-SA"/>
        </w:rPr>
        <w:t>impliedly</w:t>
      </w:r>
      <w:r>
        <w:rPr>
          <w:rFonts w:ascii="arial" w:eastAsia="arial" w:hAnsi="arial" w:cs="arial"/>
          <w:color w:val="000000"/>
          <w:sz w:val="20"/>
          <w:lang w:val="en-US" w:eastAsia="en-US" w:bidi="ar-SA"/>
        </w:rPr>
        <w:t xml:space="preserve"> consents that the other should act on his behalf, and the other of whom similarly consents so to act or so acts. [emphasis added]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100</w:t>
      </w:r>
      <w:r>
        <w:rPr>
          <w:rFonts w:ascii="arial" w:eastAsia="arial" w:hAnsi="arial" w:cs="arial"/>
          <w:color w:val="000000"/>
          <w:sz w:val="20"/>
          <w:lang w:val="en-US" w:eastAsia="en-US" w:bidi="ar-SA"/>
        </w:rPr>
        <w:t>  I am satisfied that the plaintiff not only impliedly but actually allowed Budden to act on its behalf in arranging for Koprino to complete the tow.</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101</w:t>
      </w:r>
      <w:r>
        <w:rPr>
          <w:rFonts w:ascii="arial" w:eastAsia="arial" w:hAnsi="arial" w:cs="arial"/>
          <w:color w:val="000000"/>
          <w:sz w:val="20"/>
          <w:lang w:val="en-US" w:eastAsia="en-US" w:bidi="ar-SA"/>
        </w:rPr>
        <w:t>  By its contract of towage with Budden, the plaintiff placed Budden in possession of the Barge and left the obligation to complete the tow entirely within his control. Vicki Swanson also specifically agreed to allow the substitution of Koprino in place of the Jessie Island XI and informed her insurance agent of that change. I find that Budden was acting within the scope of the authority granted to him by the plaintiff in his negotiations with Nelson to have Koprino complete the tow.</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102</w:t>
      </w:r>
      <w:r>
        <w:rPr>
          <w:rFonts w:ascii="arial" w:eastAsia="arial" w:hAnsi="arial" w:cs="arial"/>
          <w:color w:val="000000"/>
          <w:sz w:val="20"/>
          <w:lang w:val="en-US" w:eastAsia="en-US" w:bidi="ar-SA"/>
        </w:rPr>
        <w:t>  In those circumstances, the Koprino defendants were, and are, entitled to rely upon Budden's statements to Nelson concerning insurance coverage on the Barge. That is so whether Budden's statements were deliberate misstatements or were founded upon his own misapprehension of the actual status of the insurance coverage. As Professor Fridman stated in The Law of Agency, supra, at p. 228 (Note 6):</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[t]he general principle seems to be that, if the third party could set up such fraud or other misconduct against the principal, if the principal himself had been guilty of it, then he may [do] so where the agent was the guilty party, even if the principal did not know what the agent was doing, as long as the agent was acting within the scope of the authority.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103</w:t>
      </w:r>
      <w:r>
        <w:rPr>
          <w:rFonts w:ascii="arial" w:eastAsia="arial" w:hAnsi="arial" w:cs="arial"/>
          <w:color w:val="000000"/>
          <w:sz w:val="20"/>
          <w:lang w:val="en-US" w:eastAsia="en-US" w:bidi="ar-SA"/>
        </w:rPr>
        <w:t>  I find that the Koprino defendants are entitled to rely upon the assurance made by Budden on behalf of the plaintiff that it would provide insurance for "all parties" in the same way that they would have been entitled to rely upon that assurance if it had been given by the plaintiff. It follows on the authority of St. Lawrence Cement, supra and Laing Properties, supra, that the plaintiff's subrogated insurance claim against the Koprino is barred.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104</w:t>
      </w:r>
      <w:r>
        <w:rPr>
          <w:rFonts w:ascii="arial" w:eastAsia="arial" w:hAnsi="arial" w:cs="arial"/>
          <w:color w:val="000000"/>
          <w:sz w:val="20"/>
          <w:lang w:val="en-US" w:eastAsia="en-US" w:bidi="ar-SA"/>
        </w:rPr>
        <w:t xml:space="preserve">  The plaintiff's claim against Budden does not, however, suffer the same fate. While the Koprino defendants as innocent third parties affected by Budden's misrepresentations may look to the plaintiff for relief from Budden's misconduct, Budden may not do so. Accordingly, if the Koprino defendants were liable to the plaintiffs for damages to the Barge arising from otherwise actionable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Budden would still be liable to compensate the plaintiff for that portion of the loss otherwise attributable to the Koprino.</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105</w:t>
      </w:r>
      <w:r>
        <w:rPr>
          <w:rFonts w:ascii="arial" w:eastAsia="arial" w:hAnsi="arial" w:cs="arial"/>
          <w:color w:val="000000"/>
          <w:sz w:val="20"/>
          <w:lang w:val="en-US" w:eastAsia="en-US" w:bidi="ar-SA"/>
        </w:rPr>
        <w:t>  That leaves for consideration the question of the extent of the damages that the plaintiff has established as being causally connected to the capsizing of the Barge.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106</w:t>
      </w:r>
      <w:r>
        <w:rPr>
          <w:rFonts w:ascii="arial" w:eastAsia="arial" w:hAnsi="arial" w:cs="arial"/>
          <w:color w:val="000000"/>
          <w:sz w:val="20"/>
          <w:lang w:val="en-US" w:eastAsia="en-US" w:bidi="ar-SA"/>
        </w:rPr>
        <w:t xml:space="preserve">  While I realize that in the circumstances of my findings concerning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and causation any assessment of damages is now academic, I have determined to address damage issues not only because they were thoroughly addressed by counsel but because my assessment of damages may be helpful if I may have erred in my determination of the liability and insurance issues.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Issue #3: What damages are attributable to the defendants' actions?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107</w:t>
      </w:r>
      <w:r>
        <w:rPr>
          <w:rFonts w:ascii="arial" w:eastAsia="arial" w:hAnsi="arial" w:cs="arial"/>
          <w:color w:val="000000"/>
          <w:sz w:val="20"/>
          <w:lang w:val="en-US" w:eastAsia="en-US" w:bidi="ar-SA"/>
        </w:rPr>
        <w:t>  The plaintiff did not pay the $42,500 final payment for the Barge to Budden. The plaintiff also did not pay the $5,000 fee negotiated with Budden for the tow of the Barge from Port Alberni to Campbell River. However, as noted above, while the Barge was stored at Beecher Bay, the plaintiff learned that title to it was not free from all encumbrances so that the plaintiff then paid $32,000 to the Farm Credit Corporation to obtain the release of a Personal Property Security Agreement registered against Budden's interest in the Barge. In result, therefore, the plaintiff paid $79,500 towards the total of that $95,000 purchase price and towing contract.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108</w:t>
      </w:r>
      <w:r>
        <w:rPr>
          <w:rFonts w:ascii="arial" w:eastAsia="arial" w:hAnsi="arial" w:cs="arial"/>
          <w:color w:val="000000"/>
          <w:sz w:val="20"/>
          <w:lang w:val="en-US" w:eastAsia="en-US" w:bidi="ar-SA"/>
        </w:rPr>
        <w:t>  Budden has not sought payment of either the $5,000 towing fee or the balance of $11,500 otherwise owing on the purchase price.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109</w:t>
      </w:r>
      <w:r>
        <w:rPr>
          <w:rFonts w:ascii="arial" w:eastAsia="arial" w:hAnsi="arial" w:cs="arial"/>
          <w:color w:val="000000"/>
          <w:sz w:val="20"/>
          <w:lang w:val="en-US" w:eastAsia="en-US" w:bidi="ar-SA"/>
        </w:rPr>
        <w:t>  Further, as I have noted above, when the repairs to the barge were finally undertaken in Esquimalt at Jenkins Marine Ltd., those repairs included: the re-design of the accommodation structure to create more floor area and allow more rooms; the repair of all damage to the Barge itself including its bow and stern as well as a strengthening of the bow and the replacement of rotten timbers from the deck of the Barge.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110</w:t>
      </w:r>
      <w:r>
        <w:rPr>
          <w:rFonts w:ascii="arial" w:eastAsia="arial" w:hAnsi="arial" w:cs="arial"/>
          <w:color w:val="000000"/>
          <w:sz w:val="20"/>
          <w:lang w:val="en-US" w:eastAsia="en-US" w:bidi="ar-SA"/>
        </w:rPr>
        <w:t>  The total cost of the repairs and improvements to the Barge by Jenkins Marine Ltd. were negotiated amongst Dennis Swanson, Down on behalf of the plaintiff's insurers and Jenkins Marine Ltd.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111</w:t>
      </w:r>
      <w:r>
        <w:rPr>
          <w:rFonts w:ascii="arial" w:eastAsia="arial" w:hAnsi="arial" w:cs="arial"/>
          <w:color w:val="000000"/>
          <w:sz w:val="20"/>
          <w:lang w:val="en-US" w:eastAsia="en-US" w:bidi="ar-SA"/>
        </w:rPr>
        <w:t>  In that process Down assessed the repair and reconstruction costs that he considered were needed to return the Barge to the condition it was in prior to capsizing. The plaintiff's insurers then paid Jenkins Marine Ltd. the amounts assessed by Down and by way of this subrogated claim, now seek $86,788.40 comprised of:</w:t>
      </w:r>
      <w:r>
        <w:rPr>
          <w:rFonts w:ascii="arial" w:eastAsia="arial" w:hAnsi="arial" w:cs="arial"/>
          <w:sz w:val="20"/>
          <w:lang w:val="en-US" w:eastAsia="en-US" w:bidi="ar-SA"/>
        </w:rPr>
        <w:cr/>
      </w:r>
    </w:p>
    <w:p>
      <w:pPr>
        <w:numPr>
          <w:numId w:val="6"/>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recovery of repair costs of $78,345.50;</w:t>
      </w:r>
    </w:p>
    <w:p>
      <w:pPr>
        <w:numPr>
          <w:numId w:val="6"/>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Down's fees of $4,292.90; and</w:t>
      </w:r>
    </w:p>
    <w:p>
      <w:pPr>
        <w:numPr>
          <w:numId w:val="6"/>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charges of $4,150 for the towing of the Barge from Port Renfrew to Beecher Bay.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112</w:t>
      </w:r>
      <w:r>
        <w:rPr>
          <w:rFonts w:ascii="arial" w:eastAsia="arial" w:hAnsi="arial" w:cs="arial"/>
          <w:color w:val="000000"/>
          <w:sz w:val="20"/>
          <w:lang w:val="en-US" w:eastAsia="en-US" w:bidi="ar-SA"/>
        </w:rPr>
        <w:t>  The plaintiff also seeks interest at the admiralty rate on the total amount. It submits that the admiralty rate of interest should be assessed as interest at the prevailing prime rate of interest compounded semi-annually from the date of payment of the Jenkins Marine Ltd. invoice to date of payment by the Koprino defendants.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113</w:t>
      </w:r>
      <w:r>
        <w:rPr>
          <w:rFonts w:ascii="arial" w:eastAsia="arial" w:hAnsi="arial" w:cs="arial"/>
          <w:color w:val="000000"/>
          <w:sz w:val="20"/>
          <w:lang w:val="en-US" w:eastAsia="en-US" w:bidi="ar-SA"/>
        </w:rPr>
        <w:t>  In response, the Koprino defendants:</w:t>
      </w:r>
      <w:r>
        <w:rPr>
          <w:rFonts w:ascii="arial" w:eastAsia="arial" w:hAnsi="arial" w:cs="arial"/>
          <w:sz w:val="20"/>
          <w:lang w:val="en-US" w:eastAsia="en-US" w:bidi="ar-SA"/>
        </w:rPr>
        <w:cr/>
      </w:r>
    </w:p>
    <w:p>
      <w:pPr>
        <w:numPr>
          <w:numId w:val="7"/>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admit that the towing fees of $4,150 are properly recoverable as damages;</w:t>
      </w:r>
    </w:p>
    <w:p>
      <w:pPr>
        <w:numPr>
          <w:numId w:val="7"/>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dispute that either the alleged cost of $78,345.50 to repair the Barge or Down's fees of $4,292.50 have been proven;</w:t>
      </w:r>
    </w:p>
    <w:p>
      <w:pPr>
        <w:numPr>
          <w:numId w:val="7"/>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deny they are obligated to pay for any repairs which resulted in the Barge becoming a better Barge than that which the plaintiff purchased;</w:t>
      </w:r>
    </w:p>
    <w:p>
      <w:pPr>
        <w:numPr>
          <w:numId w:val="7"/>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deny they are responsible for any alleged losses associated with the payment of the debt owed by Budden to the Farm Credit Corporation to obtain clear title to the Barge; and</w:t>
      </w:r>
    </w:p>
    <w:p>
      <w:pPr>
        <w:numPr>
          <w:numId w:val="7"/>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submit that they are not liable for any alleged losses which would result in the plaintiff benefiting financially from the capsizing of the Barge.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114</w:t>
      </w:r>
      <w:r>
        <w:rPr>
          <w:rFonts w:ascii="arial" w:eastAsia="arial" w:hAnsi="arial" w:cs="arial"/>
          <w:color w:val="000000"/>
          <w:sz w:val="20"/>
          <w:lang w:val="en-US" w:eastAsia="en-US" w:bidi="ar-SA"/>
        </w:rPr>
        <w:t>  The Koprino defendants submit that the fact that Down assessed a portion of the Jenkins Marine Ltd. repair costs as being attributable to the capsizing of the Barge does not constitute proof of that proposition. Counsel for the Koprino defendants also submits that an adverse inference should be drawn against the plaintiff due to its failure to call Down as a witness to verify his assessment and be cross-examined upon it.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115</w:t>
      </w:r>
      <w:r>
        <w:rPr>
          <w:rFonts w:ascii="arial" w:eastAsia="arial" w:hAnsi="arial" w:cs="arial"/>
          <w:color w:val="000000"/>
          <w:sz w:val="20"/>
          <w:lang w:val="en-US" w:eastAsia="en-US" w:bidi="ar-SA"/>
        </w:rPr>
        <w:t>  I have some sympathy for both of those arguments, especially given that Down's invoices for his work that is claimed to be the defendants' responsibility (because it allegedly relates to his overseeing of repairs on behalf of the plaintiff) obviously also relate to his role on behalf of the plaintiff's insurer in investigating and adjusting the loss for insurance purposes.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116</w:t>
      </w:r>
      <w:r>
        <w:rPr>
          <w:rFonts w:ascii="arial" w:eastAsia="arial" w:hAnsi="arial" w:cs="arial"/>
          <w:color w:val="000000"/>
          <w:sz w:val="20"/>
          <w:lang w:val="en-US" w:eastAsia="en-US" w:bidi="ar-SA"/>
        </w:rPr>
        <w:t>  On the other hand, I did have the benefit of the evidence of Vicki Swanson and Dennis Swanson as to the plaintiff's negotiations concerning Down's assessment of repair work as opposed to work related to improvements and changes that the plaintiff initiated for its own account.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117</w:t>
      </w:r>
      <w:r>
        <w:rPr>
          <w:rFonts w:ascii="arial" w:eastAsia="arial" w:hAnsi="arial" w:cs="arial"/>
          <w:color w:val="000000"/>
          <w:sz w:val="20"/>
          <w:lang w:val="en-US" w:eastAsia="en-US" w:bidi="ar-SA"/>
        </w:rPr>
        <w:t>  Those negotiations were arms-length and protracted and I assume that the plaintiff's insurer did not willingly pay more than that which it was obligated to pay. Accordingly, and subject to issues of betterment and depreciation, I am satisfied that the agreements reached between the plaintiff and its insurers reasonably attribute repair costs of $78,345.50 as arising from the capsizing of the Barge. The towing fees claimed in the amount of $4,150 are also attributable to the capsizing.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118</w:t>
      </w:r>
      <w:r>
        <w:rPr>
          <w:rFonts w:ascii="arial" w:eastAsia="arial" w:hAnsi="arial" w:cs="arial"/>
          <w:color w:val="000000"/>
          <w:sz w:val="20"/>
          <w:lang w:val="en-US" w:eastAsia="en-US" w:bidi="ar-SA"/>
        </w:rPr>
        <w:t>  I do not, however, accept that Down's fees in the amount of $4,292.50 have been proven as damages. There is simply insufficient differentiation of those fees as they relate to supervision of legitimate repair costs as opposed to supervision of new work or fees relating to insurance investigation and adjusting. In those circumstances and given the plaintiff's failure to have Down attend at trial to testify, I am not prepared to allow any of those fees as 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119</w:t>
      </w:r>
      <w:r>
        <w:rPr>
          <w:rFonts w:ascii="arial" w:eastAsia="arial" w:hAnsi="arial" w:cs="arial"/>
          <w:color w:val="000000"/>
          <w:sz w:val="20"/>
          <w:lang w:val="en-US" w:eastAsia="en-US" w:bidi="ar-SA"/>
        </w:rPr>
        <w:t>  I turn next to the issues of betterment and depreciation.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120</w:t>
      </w:r>
      <w:r>
        <w:rPr>
          <w:rFonts w:ascii="arial" w:eastAsia="arial" w:hAnsi="arial" w:cs="arial"/>
          <w:color w:val="000000"/>
          <w:sz w:val="20"/>
          <w:lang w:val="en-US" w:eastAsia="en-US" w:bidi="ar-SA"/>
        </w:rPr>
        <w:t xml:space="preserve">  In Nan v. Black Pine Manufacturing Ltd. </w:t>
      </w:r>
      <w:hyperlink r:id="rId192" w:history="1">
        <w:r>
          <w:rPr>
            <w:rFonts w:ascii="arial" w:eastAsia="arial" w:hAnsi="arial" w:cs="arial"/>
            <w:i/>
            <w:color w:val="0077CC"/>
            <w:sz w:val="20"/>
            <w:u w:val="single"/>
            <w:shd w:val="clear" w:color="auto" w:fill="FFFFFF"/>
            <w:lang w:val="en-US" w:eastAsia="en-US" w:bidi="ar-SA"/>
          </w:rPr>
          <w:t>(1991), 55 B.C.L.R. (2d) 241</w:t>
        </w:r>
      </w:hyperlink>
      <w:r>
        <w:rPr>
          <w:rFonts w:ascii="arial" w:eastAsia="arial" w:hAnsi="arial" w:cs="arial"/>
          <w:color w:val="000000"/>
          <w:sz w:val="20"/>
          <w:lang w:val="en-US" w:eastAsia="en-US" w:bidi="ar-SA"/>
        </w:rPr>
        <w:t xml:space="preserve"> (B.C.C.A.), </w:t>
      </w:r>
      <w:hyperlink r:id="rId192" w:history="1">
        <w:r>
          <w:rPr>
            <w:rFonts w:ascii="arial" w:eastAsia="arial" w:hAnsi="arial" w:cs="arial"/>
            <w:i/>
            <w:color w:val="0077CC"/>
            <w:sz w:val="20"/>
            <w:u w:val="single"/>
            <w:shd w:val="clear" w:color="auto" w:fill="FFFFFF"/>
            <w:lang w:val="en-US" w:eastAsia="en-US" w:bidi="ar-SA"/>
          </w:rPr>
          <w:t>80 D.L.R. (4th) 153</w:t>
        </w:r>
      </w:hyperlink>
      <w:r>
        <w:rPr>
          <w:rFonts w:ascii="arial" w:eastAsia="arial" w:hAnsi="arial" w:cs="arial"/>
          <w:color w:val="000000"/>
          <w:sz w:val="20"/>
          <w:lang w:val="en-US" w:eastAsia="en-US" w:bidi="ar-SA"/>
        </w:rPr>
        <w:t xml:space="preserve">, the Court held that while replacement cost is the usual starting point for assessment of damages to property, the question of whether that cost should be further adjusted for depreciation will depend on what is reasonable in the circumstances of the case. Also, in Prince George (City) v. Rahn Bros. Logging Ltd. </w:t>
      </w:r>
      <w:hyperlink r:id="rId193" w:history="1">
        <w:r>
          <w:rPr>
            <w:rFonts w:ascii="arial" w:eastAsia="arial" w:hAnsi="arial" w:cs="arial"/>
            <w:i/>
            <w:color w:val="0077CC"/>
            <w:sz w:val="20"/>
            <w:u w:val="single"/>
            <w:shd w:val="clear" w:color="auto" w:fill="FFFFFF"/>
            <w:lang w:val="en-US" w:eastAsia="en-US" w:bidi="ar-SA"/>
          </w:rPr>
          <w:t>(2003), 9 B.C.L.R. (4th) 253</w:t>
        </w:r>
      </w:hyperlink>
      <w:r>
        <w:rPr>
          <w:rFonts w:ascii="arial" w:eastAsia="arial" w:hAnsi="arial" w:cs="arial"/>
          <w:color w:val="000000"/>
          <w:sz w:val="20"/>
          <w:lang w:val="en-US" w:eastAsia="en-US" w:bidi="ar-SA"/>
        </w:rPr>
        <w:t xml:space="preserve"> (B.C.C.A.), </w:t>
      </w:r>
      <w:hyperlink r:id="rId193" w:history="1">
        <w:r>
          <w:rPr>
            <w:rFonts w:ascii="arial" w:eastAsia="arial" w:hAnsi="arial" w:cs="arial"/>
            <w:i/>
            <w:color w:val="0077CC"/>
            <w:sz w:val="20"/>
            <w:u w:val="single"/>
            <w:shd w:val="clear" w:color="auto" w:fill="FFFFFF"/>
            <w:lang w:val="en-US" w:eastAsia="en-US" w:bidi="ar-SA"/>
          </w:rPr>
          <w:t>222 D.L.R. (4th) 608</w:t>
        </w:r>
      </w:hyperlink>
      <w:r>
        <w:rPr>
          <w:rFonts w:ascii="arial" w:eastAsia="arial" w:hAnsi="arial" w:cs="arial"/>
          <w:color w:val="000000"/>
          <w:sz w:val="20"/>
          <w:lang w:val="en-US" w:eastAsia="en-US" w:bidi="ar-SA"/>
        </w:rPr>
        <w:t>, the Court held that when the property in question is commercial property, a deduction for depreciation and betterment may be appropriate to prevent the plaintiff from obtaining a windfall.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121</w:t>
      </w:r>
      <w:r>
        <w:rPr>
          <w:rFonts w:ascii="arial" w:eastAsia="arial" w:hAnsi="arial" w:cs="arial"/>
          <w:color w:val="000000"/>
          <w:sz w:val="20"/>
          <w:lang w:val="en-US" w:eastAsia="en-US" w:bidi="ar-SA"/>
        </w:rPr>
        <w:t>  In this case, as a consequence of the repairs to its bow and stern, the Barge is now structurally sound due to the replacement of rotten timbers and the addition of more vertical support. Also, all rotten deck timber has been replaced.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122</w:t>
      </w:r>
      <w:r>
        <w:rPr>
          <w:rFonts w:ascii="arial" w:eastAsia="arial" w:hAnsi="arial" w:cs="arial"/>
          <w:color w:val="000000"/>
          <w:sz w:val="20"/>
          <w:lang w:val="en-US" w:eastAsia="en-US" w:bidi="ar-SA"/>
        </w:rPr>
        <w:t>  I am satisfied that the repairs to the Barge have vastly improved its overall condition and usefulness as an accommodation Barge for commercial purposes and I find that a discount of the repair bill quantified by Down by approximately 25% to $60,000 as a consequence of depreciation and betterment is necessary and appropriate in all of the circumstances.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123</w:t>
      </w:r>
      <w:r>
        <w:rPr>
          <w:rFonts w:ascii="arial" w:eastAsia="arial" w:hAnsi="arial" w:cs="arial"/>
          <w:color w:val="000000"/>
          <w:sz w:val="20"/>
          <w:lang w:val="en-US" w:eastAsia="en-US" w:bidi="ar-SA"/>
        </w:rPr>
        <w:t>  Counsel for the Koprino defendants also advanced the argument that since the plaintiff has not been required to pay the full purchase price for the Barge or the cost of the tow from Port Alberni, it may not recover the full amount of repair damages of $60,000 and towing costs of $4,150 from Koprino since those amounts would exceed the plaintiff's actual loss.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124</w:t>
      </w:r>
      <w:r>
        <w:rPr>
          <w:rFonts w:ascii="arial" w:eastAsia="arial" w:hAnsi="arial" w:cs="arial"/>
          <w:color w:val="000000"/>
          <w:sz w:val="20"/>
          <w:lang w:val="en-US" w:eastAsia="en-US" w:bidi="ar-SA"/>
        </w:rPr>
        <w:t>  Mr. McEwen submits that the plaintiff's actual loss is the difference between original contract price ($95,000 inclusive of the towing contract) and the amount actually paid to Budden towards the purchase of the Barge ($47,500) adjusted for the cost of repair less betterment ($60,000) and the towing costs actually incurred ($4,150) so that the actual cost to the plaintiff to acquire the Barge should be assessed as $111,650. He then submits that those calculations result in an actual loss to the plaintiff of only $16,650 over the original $95,000 purchase and towing price and that $16,650 is therefore the proper measure of damages arising from the capsizing.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125</w:t>
      </w:r>
      <w:r>
        <w:rPr>
          <w:rFonts w:ascii="arial" w:eastAsia="arial" w:hAnsi="arial" w:cs="arial"/>
          <w:color w:val="000000"/>
          <w:sz w:val="20"/>
          <w:lang w:val="en-US" w:eastAsia="en-US" w:bidi="ar-SA"/>
        </w:rPr>
        <w:t>  In making those submissions, Mr. McEwen further says that the payment of $32,000 to the Farm Credit Corporation to obtain the release of its encumbrance to the title to the Barge was a gratuitous payment that should not be considered in the assessment of 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126</w:t>
      </w:r>
      <w:r>
        <w:rPr>
          <w:rFonts w:ascii="arial" w:eastAsia="arial" w:hAnsi="arial" w:cs="arial"/>
          <w:color w:val="000000"/>
          <w:sz w:val="20"/>
          <w:lang w:val="en-US" w:eastAsia="en-US" w:bidi="ar-SA"/>
        </w:rPr>
        <w:t xml:space="preserve">  Mr. McEwen's submissions were made in reliance upon Dawson v. Helicopter Exploration Co. </w:t>
      </w:r>
      <w:hyperlink r:id="rId194" w:history="1">
        <w:r>
          <w:rPr>
            <w:rFonts w:ascii="arial" w:eastAsia="arial" w:hAnsi="arial" w:cs="arial"/>
            <w:i/>
            <w:color w:val="0077CC"/>
            <w:sz w:val="20"/>
            <w:u w:val="single"/>
            <w:shd w:val="clear" w:color="auto" w:fill="FFFFFF"/>
            <w:lang w:val="en-US" w:eastAsia="en-US" w:bidi="ar-SA"/>
          </w:rPr>
          <w:t>(1958), 12 D.L.R. (2d) 1</w:t>
        </w:r>
      </w:hyperlink>
      <w:r>
        <w:rPr>
          <w:rFonts w:ascii="arial" w:eastAsia="arial" w:hAnsi="arial" w:cs="arial"/>
          <w:color w:val="000000"/>
          <w:sz w:val="20"/>
          <w:lang w:val="en-US" w:eastAsia="en-US" w:bidi="ar-SA"/>
        </w:rPr>
        <w:t xml:space="preserve"> (S.C.C.) in which Rand J. speaking for the Court at p. 10 said: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rule ... governing mitigation is not in dispute. If the interest acquired by the damaged person is something he could not have been able to obtain if the contract had been carried out, it must be brought into account; if it could have been acquired consistently with his performance of the contract, it is not available as mitigation.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127</w:t>
      </w:r>
      <w:r>
        <w:rPr>
          <w:rFonts w:ascii="arial" w:eastAsia="arial" w:hAnsi="arial" w:cs="arial"/>
          <w:color w:val="000000"/>
          <w:sz w:val="20"/>
          <w:lang w:val="en-US" w:eastAsia="en-US" w:bidi="ar-SA"/>
        </w:rPr>
        <w:t xml:space="preserve">  The Koprino defendants also relied upon British Columbia v. Canadian Forest Products Ltd. </w:t>
      </w:r>
      <w:hyperlink r:id="rId195" w:history="1">
        <w:r>
          <w:rPr>
            <w:rFonts w:ascii="arial" w:eastAsia="arial" w:hAnsi="arial" w:cs="arial"/>
            <w:i/>
            <w:color w:val="0077CC"/>
            <w:sz w:val="20"/>
            <w:u w:val="single"/>
            <w:shd w:val="clear" w:color="auto" w:fill="FFFFFF"/>
            <w:lang w:val="en-US" w:eastAsia="en-US" w:bidi="ar-SA"/>
          </w:rPr>
          <w:t>(2002), 100 B.C.L.R. (3d) 114</w:t>
        </w:r>
      </w:hyperlink>
      <w:r>
        <w:rPr>
          <w:rFonts w:ascii="arial" w:eastAsia="arial" w:hAnsi="arial" w:cs="arial"/>
          <w:color w:val="000000"/>
          <w:sz w:val="20"/>
          <w:lang w:val="en-US" w:eastAsia="en-US" w:bidi="ar-SA"/>
        </w:rPr>
        <w:t xml:space="preserve"> (B.C.C.A.), </w:t>
      </w:r>
      <w:hyperlink r:id="rId195" w:history="1">
        <w:r>
          <w:rPr>
            <w:rFonts w:ascii="arial" w:eastAsia="arial" w:hAnsi="arial" w:cs="arial"/>
            <w:i/>
            <w:color w:val="0077CC"/>
            <w:sz w:val="20"/>
            <w:u w:val="single"/>
            <w:shd w:val="clear" w:color="auto" w:fill="FFFFFF"/>
            <w:lang w:val="en-US" w:eastAsia="en-US" w:bidi="ar-SA"/>
          </w:rPr>
          <w:t>2002 BCCA 217</w:t>
        </w:r>
      </w:hyperlink>
      <w:r>
        <w:rPr>
          <w:rFonts w:ascii="arial" w:eastAsia="arial" w:hAnsi="arial" w:cs="arial"/>
          <w:color w:val="000000"/>
          <w:sz w:val="20"/>
          <w:lang w:val="en-US" w:eastAsia="en-US" w:bidi="ar-SA"/>
        </w:rPr>
        <w:t xml:space="preserve">, which denied recovery of stumpage profits to the plaintiff notwithstanding the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of the defendant. In that case the plaintiff had actually received greater stumpage revenue from its early harvesting of salvaged timber from the area burned as a consequence of the defendant's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than it would have otherwise received. Hall J.A. (for the majority) stated at [paragraph] 56:</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issue we are dealing with here raises for consideration the well known principle sometimes referred to by its Latin phraseology "res inter alios acta." If a gain or loss is not part of a transaction or series of transactions, then generally it will be held to be irrelevant on the question of assessment of damages. However, the case is otherwise if the gain or loss arises directly out of the transaction or out of a series of related transactions.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128</w:t>
      </w:r>
      <w:r>
        <w:rPr>
          <w:rFonts w:ascii="arial" w:eastAsia="arial" w:hAnsi="arial" w:cs="arial"/>
          <w:color w:val="000000"/>
          <w:sz w:val="20"/>
          <w:lang w:val="en-US" w:eastAsia="en-US" w:bidi="ar-SA"/>
        </w:rPr>
        <w:t>  In my opinion Mr. McEwen's submissions that an otherwise appropriate damage award of $64,150 should be reduced to $16,500 must fail except to the extent of a reduction of $5,000 arising from the failure of Budden to complete the tow of the Barge. I say that because:</w:t>
      </w:r>
      <w:r>
        <w:rPr>
          <w:rFonts w:ascii="arial" w:eastAsia="arial" w:hAnsi="arial" w:cs="arial"/>
          <w:sz w:val="20"/>
          <w:lang w:val="en-US" w:eastAsia="en-US" w:bidi="ar-SA"/>
        </w:rPr>
        <w:cr/>
      </w:r>
    </w:p>
    <w:p>
      <w:pPr>
        <w:numPr>
          <w:numId w:val="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plaintiff has not proven that the Barge capsized due to any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of Budden so that the only breach of contract established by the plaintiff is Budden's failure to complete the tow. That breach disentitles Budden to payment of $5,000;</w:t>
      </w:r>
    </w:p>
    <w:p>
      <w:pPr>
        <w:numPr>
          <w:numId w:val="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actual cost of the Barge to the plaintiff must include payment of the $32,000 to the Farm Credit Corporation as a credit towards the debt owed to Budden. That result might be different if the payment was entirely gratuitous, but on the analysis of damages pursued by the Koprino, that payment was necessary to obtain title to the Barge as part of the actual price; and</w:t>
      </w:r>
    </w:p>
    <w:p>
      <w:pPr>
        <w:numPr>
          <w:numId w:val="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Although Budden has not pursued the balance of $11,500 still owing for the Barge, I cannot on the evidence now before me conclude that it has been forgiven or should be offset in any way because the plaintiff advanced no claim against Budden arising from the lack of seaworthiness of the Barge.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129</w:t>
      </w:r>
      <w:r>
        <w:rPr>
          <w:rFonts w:ascii="arial" w:eastAsia="arial" w:hAnsi="arial" w:cs="arial"/>
          <w:color w:val="000000"/>
          <w:sz w:val="20"/>
          <w:lang w:val="en-US" w:eastAsia="en-US" w:bidi="ar-SA"/>
        </w:rPr>
        <w:t>  I am accordingly satisfied that if the Koprino defendants were negligent as alleged and if the plaintiff's claim was not barred by reason of its failure to provide insurance, the damages payable by the Koprino defendants as a consequence of the capsizing of the Barge are $59,150 calculated as follows: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4705"/>
        <w:gridCol w:w="1778"/>
        <w:gridCol w:w="33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4608"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Cost of repair (less betterment):</w:t>
            </w:r>
          </w:p>
        </w:tc>
        <w:tc>
          <w:tcPr>
            <w:tcW w:w="1741"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$60,000.00</w:t>
            </w:r>
          </w:p>
        </w:tc>
        <w:tc>
          <w:tcPr>
            <w:tcW w:w="3277"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Plus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4078"/>
        <w:gridCol w:w="2405"/>
        <w:gridCol w:w="33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3994"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Cost of towing from Port</w:t>
            </w:r>
          </w:p>
        </w:tc>
        <w:tc>
          <w:tcPr>
            <w:tcW w:w="2355"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$ 4,150.00</w:t>
            </w:r>
          </w:p>
        </w:tc>
        <w:tc>
          <w:tcPr>
            <w:tcW w:w="3277"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614"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3994"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Renfrew to Esquimalt:</w:t>
            </w:r>
          </w:p>
        </w:tc>
        <w:tc>
          <w:tcPr>
            <w:tcW w:w="2355"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3277" w:type="dxa"/>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bl>
    <w:p>
      <w:pPr>
        <w:rPr>
          <w:rFonts w:ascii="arial" w:eastAsia="arial" w:hAnsi="arial" w:cs="arial"/>
          <w:sz w:val="20"/>
          <w:lang w:val="en-US" w:eastAsia="en-US" w:bidi="ar-SA"/>
        </w:rPr>
      </w:pP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Less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4496"/>
        <w:gridCol w:w="1987"/>
        <w:gridCol w:w="33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4403"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Unpaid Budden towing contract:</w:t>
            </w:r>
          </w:p>
        </w:tc>
        <w:tc>
          <w:tcPr>
            <w:tcW w:w="1946"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$ 5,000.00</w:t>
            </w:r>
          </w:p>
        </w:tc>
        <w:tc>
          <w:tcPr>
            <w:tcW w:w="3277"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INTEREST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130</w:t>
      </w:r>
      <w:r>
        <w:rPr>
          <w:rFonts w:ascii="arial" w:eastAsia="arial" w:hAnsi="arial" w:cs="arial"/>
          <w:color w:val="000000"/>
          <w:sz w:val="20"/>
          <w:lang w:val="en-US" w:eastAsia="en-US" w:bidi="ar-SA"/>
        </w:rPr>
        <w:t>  Counsel for the Koprino defendants agreed that if the Koprino defendants were liable to the plaintiff and if its claim was not barred by failure to provide insurance, interest on the judgment amount should be based upon the usual admiralty rate of interest compounded semi-annually from the date of the payment of the Jenkins Marine Ltd. invoice by the plaintiff.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COSTS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131</w:t>
      </w:r>
      <w:r>
        <w:rPr>
          <w:rFonts w:ascii="arial" w:eastAsia="arial" w:hAnsi="arial" w:cs="arial"/>
          <w:color w:val="000000"/>
          <w:sz w:val="20"/>
          <w:lang w:val="en-US" w:eastAsia="en-US" w:bidi="ar-SA"/>
        </w:rPr>
        <w:t>  Unless there are matters of which I am unaware the Koprino defendants are entitled to costs against the plaintiff based upon Scale 3.</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132</w:t>
      </w:r>
      <w:r>
        <w:rPr>
          <w:rFonts w:ascii="arial" w:eastAsia="arial" w:hAnsi="arial" w:cs="arial"/>
          <w:color w:val="000000"/>
          <w:sz w:val="20"/>
          <w:lang w:val="en-US" w:eastAsia="en-US" w:bidi="ar-SA"/>
        </w:rPr>
        <w:t>  Notwithstanding his relative success in the result, I make no order of costs either in favour of or against Budden due to his non-appearance at trial.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SUMMARY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133</w:t>
      </w:r>
      <w:r>
        <w:rPr>
          <w:rFonts w:ascii="arial" w:eastAsia="arial" w:hAnsi="arial" w:cs="arial"/>
          <w:color w:val="000000"/>
          <w:sz w:val="20"/>
          <w:lang w:val="en-US" w:eastAsia="en-US" w:bidi="ar-SA"/>
        </w:rPr>
        <w:t>  The plaintiff has failed to prove that any of the defendants were negligent in the towing of the Barge as alleged.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134</w:t>
      </w:r>
      <w:r>
        <w:rPr>
          <w:rFonts w:ascii="arial" w:eastAsia="arial" w:hAnsi="arial" w:cs="arial"/>
          <w:color w:val="000000"/>
          <w:sz w:val="20"/>
          <w:lang w:val="en-US" w:eastAsia="en-US" w:bidi="ar-SA"/>
        </w:rPr>
        <w:t>  The plaintiff's subrogated claims against the Koprino defendants are, in any event, barred by the misrepresentations of Budden concerning insurance coverage. Those representations were made by Budden acting as the agent of the plaintiff by implication within the authority granted by the plaintiff to arrange the completion of the towing of the Barge by Koprino.</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135</w:t>
      </w:r>
      <w:r>
        <w:rPr>
          <w:rFonts w:ascii="arial" w:eastAsia="arial" w:hAnsi="arial" w:cs="arial"/>
          <w:color w:val="000000"/>
          <w:sz w:val="20"/>
          <w:lang w:val="en-US" w:eastAsia="en-US" w:bidi="ar-SA"/>
        </w:rPr>
        <w:t>  The plaintiff has proven that the defendant Budden breached his contract of towage by failing to deliver the Barge and is thus not entitled to payment of $5,000 under the towage contract.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136</w:t>
      </w:r>
      <w:r>
        <w:rPr>
          <w:rFonts w:ascii="arial" w:eastAsia="arial" w:hAnsi="arial" w:cs="arial"/>
          <w:color w:val="000000"/>
          <w:sz w:val="20"/>
          <w:lang w:val="en-US" w:eastAsia="en-US" w:bidi="ar-SA"/>
        </w:rPr>
        <w:t xml:space="preserve">  If the Koprino defendants'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had caused the Barge to capsize and the plaintiff's claim was not barred by reason of its failure to provide insurance, the amount payable by the Koprino defendants as damages would be $59,150 together with interest at the admiralty rate.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137</w:t>
      </w:r>
      <w:r>
        <w:rPr>
          <w:rFonts w:ascii="arial" w:eastAsia="arial" w:hAnsi="arial" w:cs="arial"/>
          <w:color w:val="000000"/>
          <w:sz w:val="20"/>
          <w:lang w:val="en-US" w:eastAsia="en-US" w:bidi="ar-SA"/>
        </w:rPr>
        <w:t>  Unless there are matters of which I am unaware, the Koprino defendants are entitled to costs based upon Scale 3 and I make no order of costs either in favour of or against the defendant Budden.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B.M. DAVIES J.</w:t>
      </w:r>
      <w:r>
        <w:rPr>
          <w:rFonts w:ascii="arial" w:eastAsia="arial" w:hAnsi="arial" w:cs="arial"/>
          <w:sz w:val="20"/>
          <w:lang w:val="en-US" w:eastAsia="en-US" w:bidi="ar-SA"/>
        </w:rPr>
        <w:cr/>
      </w:r>
    </w:p>
    <w:p>
      <w:pPr>
        <w:rPr>
          <w:rFonts w:ascii="arial" w:eastAsia="arial" w:hAnsi="arial" w:cs="arial"/>
          <w:sz w:val="20"/>
          <w:lang w:val="en-US" w:eastAsia="en-US" w:bidi="ar-SA"/>
        </w:rPr>
      </w:pPr>
    </w:p>
    <w:p>
      <w:pPr>
        <w:ind w:left="200"/>
        <w:rPr>
          <w:rFonts w:ascii="arial" w:eastAsia="arial" w:hAnsi="arial" w:cs="arial"/>
          <w:sz w:val="20"/>
          <w:lang w:val="en-US" w:eastAsia="en-US" w:bidi="ar-SA"/>
        </w:rPr>
        <w:sectPr>
          <w:type w:val="continuous"/>
          <w:pgMar w:top="840" w:right="1000" w:bottom="840" w:left="1000" w:header="400" w:footer="400"/>
          <w:pgNumType w:fmt="decimal"/>
          <w:cols w:space="720"/>
        </w:sectPr>
      </w:pPr>
      <w:r>
        <w:rPr>
          <w:rFonts w:ascii="arial" w:eastAsia="arial" w:hAnsi="arial" w:cs="arial"/>
          <w:sz w:val="20"/>
          <w:lang w:val="en-US" w:eastAsia="en-US" w:bidi="ar-SA"/>
        </w:rPr>
        <w:br/>
      </w:r>
      <w:r>
        <w:pict>
          <v:line id="_x0000_s1061" style="position:absolute;z-index:251816960" from="0,10pt" to="512pt,10pt" strokecolor="black" strokeweight="1pt">
            <v:stroke linestyle="single"/>
          </v:line>
        </w:pict>
      </w:r>
      <w:r>
        <w:rPr>
          <w:b/>
          <w:color w:val="767676"/>
          <w:sz w:val="16"/>
          <w:lang w:val="en-US" w:eastAsia="en-US" w:bidi="ar-SA"/>
        </w:rPr>
        <w:t>End of Document</w:t>
      </w:r>
    </w:p>
    <w:p>
      <w:pPr>
        <w:rPr>
          <w:rFonts w:ascii="arial" w:eastAsia="arial" w:hAnsi="arial" w:cs="arial"/>
          <w:sz w:val="20"/>
          <w:lang w:val="en-US" w:eastAsia="en-US" w:bidi="ar-SA"/>
        </w:rPr>
        <w:sectPr>
          <w:headerReference w:type="even" r:id="rId196"/>
          <w:headerReference w:type="default" r:id="rId197"/>
          <w:footerReference w:type="even" r:id="rId198"/>
          <w:footerReference w:type="default" r:id="rId199"/>
          <w:headerReference w:type="first" r:id="rId200"/>
          <w:footerReference w:type="first" r:id="rId201"/>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eastAsia="arial" w:hAnsi="Arial" w:cs="Arial"/>
          <w:b/>
          <w:bCs/>
          <w:kern w:val="32"/>
          <w:sz w:val="32"/>
          <w:szCs w:val="32"/>
          <w:lang w:val="en-US" w:eastAsia="en-US" w:bidi="ar-SA"/>
        </w:rPr>
      </w:pPr>
      <w:hyperlink r:id="rId202" w:history="1">
        <w:r>
          <w:rPr>
            <w:rFonts w:ascii="arial" w:eastAsia="arial" w:hAnsi="arial" w:cs="arial"/>
            <w:b/>
            <w:bCs/>
            <w:i/>
            <w:color w:val="0077CC"/>
            <w:kern w:val="32"/>
            <w:sz w:val="28"/>
            <w:szCs w:val="32"/>
            <w:u w:val="single"/>
            <w:shd w:val="clear" w:color="auto" w:fill="FFFFFF"/>
            <w:lang w:val="en-US" w:eastAsia="en-US" w:bidi="ar-SA"/>
          </w:rPr>
          <w:t>Schellenberg v. Wawanesa Mutual Insurance Co., [2019] I.L.R. para. I-6131</w:t>
        </w:r>
      </w:hyperlink>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Canadian Insurance Law Reporter Cases</w:t>
      </w:r>
    </w:p>
    <w:p>
      <w:pPr>
        <w:rPr>
          <w:rFonts w:ascii="arial" w:eastAsia="arial" w:hAnsi="arial" w:cs="arial"/>
          <w:sz w:val="20"/>
          <w:lang w:val="en-US" w:eastAsia="en-US" w:bidi="ar-SA"/>
        </w:rPr>
      </w:pP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Supreme Court of British Columbia</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Before: Fleming J</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Decision: February 19, 2019.</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Docket No. S172147</w:t>
      </w:r>
    </w:p>
    <w:p>
      <w:pPr>
        <w:rPr>
          <w:rFonts w:ascii="arial" w:eastAsia="arial" w:hAnsi="arial" w:cs="arial"/>
          <w:sz w:val="20"/>
          <w:lang w:val="en-US" w:eastAsia="en-US" w:bidi="ar-SA"/>
        </w:rPr>
      </w:pPr>
    </w:p>
    <w:p>
      <w:pPr>
        <w:spacing w:before="120" w:after="120" w:line="280" w:lineRule="atLeast"/>
        <w:rPr>
          <w:rFonts w:ascii="arial" w:eastAsia="arial" w:hAnsi="arial" w:cs="arial"/>
          <w:sz w:val="20"/>
          <w:lang w:val="en-US" w:eastAsia="en-US" w:bidi="ar-SA"/>
        </w:rPr>
      </w:pPr>
      <w:r>
        <w:rPr>
          <w:rFonts w:ascii="arial" w:eastAsia="arial" w:hAnsi="arial" w:cs="arial"/>
          <w:b/>
          <w:i/>
          <w:color w:val="000000"/>
          <w:sz w:val="22"/>
          <w:lang w:val="en-US" w:eastAsia="en-US" w:bidi="ar-SA"/>
        </w:rPr>
        <w:t xml:space="preserve">Canadian Insurance Law Reporter Cases  </w:t>
      </w:r>
      <w:r>
        <w:rPr>
          <w:rFonts w:ascii="arial" w:eastAsia="arial" w:hAnsi="arial" w:cs="arial"/>
          <w:b/>
          <w:color w:val="000000"/>
          <w:sz w:val="22"/>
          <w:lang w:val="en-US" w:eastAsia="en-US" w:bidi="ar-SA"/>
        </w:rPr>
        <w:t xml:space="preserve">  &gt;  </w:t>
      </w:r>
      <w:r>
        <w:rPr>
          <w:rFonts w:ascii="arial" w:eastAsia="arial" w:hAnsi="arial" w:cs="arial"/>
          <w:b/>
          <w:i/>
          <w:color w:val="000000"/>
          <w:sz w:val="22"/>
          <w:lang w:val="en-US" w:eastAsia="en-US" w:bidi="ar-SA"/>
        </w:rPr>
        <w:t>Cases</w:t>
      </w:r>
      <w:r>
        <w:rPr>
          <w:rFonts w:ascii="arial" w:eastAsia="arial" w:hAnsi="arial" w:cs="arial"/>
          <w:b/>
          <w:color w:val="000000"/>
          <w:sz w:val="22"/>
          <w:lang w:val="en-US" w:eastAsia="en-US" w:bidi="ar-SA"/>
        </w:rPr>
        <w:t xml:space="preserve">  &gt;  </w:t>
      </w:r>
      <w:r>
        <w:rPr>
          <w:rFonts w:ascii="arial" w:eastAsia="arial" w:hAnsi="arial" w:cs="arial"/>
          <w:b/>
          <w:i/>
          <w:color w:val="000000"/>
          <w:sz w:val="22"/>
          <w:lang w:val="en-US" w:eastAsia="en-US" w:bidi="ar-SA"/>
        </w:rPr>
        <w:t>2010s</w:t>
      </w:r>
      <w:r>
        <w:rPr>
          <w:rFonts w:ascii="arial" w:eastAsia="arial" w:hAnsi="arial" w:cs="arial"/>
          <w:b/>
          <w:color w:val="000000"/>
          <w:sz w:val="22"/>
          <w:lang w:val="en-US" w:eastAsia="en-US" w:bidi="ar-SA"/>
        </w:rPr>
        <w:t xml:space="preserve">  &gt;  </w:t>
      </w:r>
      <w:r>
        <w:rPr>
          <w:rFonts w:ascii="arial" w:eastAsia="arial" w:hAnsi="arial" w:cs="arial"/>
          <w:b/>
          <w:i/>
          <w:color w:val="000000"/>
          <w:sz w:val="22"/>
          <w:lang w:val="en-US" w:eastAsia="en-US" w:bidi="ar-SA"/>
        </w:rPr>
        <w:t>2019</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[2019] I.L.R. para. I-6131</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hyperlink r:id="rId203" w:history="1">
        <w:r>
          <w:rPr>
            <w:rFonts w:ascii="arial" w:eastAsia="arial" w:hAnsi="arial" w:cs="arial"/>
            <w:i/>
            <w:color w:val="0077CC"/>
            <w:sz w:val="20"/>
            <w:u w:val="single"/>
            <w:shd w:val="clear" w:color="auto" w:fill="FFFFFF"/>
            <w:lang w:val="en-US" w:eastAsia="en-US" w:bidi="ar-SA"/>
          </w:rPr>
          <w:t>[2019] B.C.J. No. 221</w:t>
        </w:r>
      </w:hyperlink>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hyperlink r:id="rId203" w:history="1">
        <w:r>
          <w:rPr>
            <w:rFonts w:ascii="arial" w:eastAsia="arial" w:hAnsi="arial" w:cs="arial"/>
            <w:i/>
            <w:color w:val="0077CC"/>
            <w:sz w:val="20"/>
            <w:u w:val="single"/>
            <w:shd w:val="clear" w:color="auto" w:fill="FFFFFF"/>
            <w:lang w:val="en-US" w:eastAsia="en-US" w:bidi="ar-SA"/>
          </w:rPr>
          <w:t>2019 BCSC 196</w:t>
        </w:r>
      </w:hyperlink>
    </w:p>
    <w:p>
      <w:pPr>
        <w:spacing w:before="120" w:line="260" w:lineRule="atLeast"/>
        <w:rPr>
          <w:rFonts w:ascii="arial" w:eastAsia="arial" w:hAnsi="arial" w:cs="arial"/>
          <w:sz w:val="20"/>
          <w:lang w:val="en-US" w:eastAsia="en-US" w:bidi="ar-SA"/>
        </w:rPr>
      </w:pPr>
      <w:r>
        <w:rPr>
          <w:rFonts w:ascii="arial" w:eastAsia="arial" w:hAnsi="arial" w:cs="arial"/>
          <w:color w:val="000000"/>
          <w:sz w:val="20"/>
          <w:lang w:val="en-US" w:eastAsia="en-US" w:bidi="ar-SA"/>
        </w:rPr>
        <w:t>William Robert Schellenberg and Linda Rose Schellenberg v. Wawanesa Mutual Insurance Company, Hub International Canada West ULC doing business as Hub International Barton Insurance Brokers and John Doe</w:t>
      </w:r>
    </w:p>
    <w:p>
      <w:pPr>
        <w:keepNext/>
        <w:spacing w:before="12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Case Summary</w:t>
      </w:r>
    </w:p>
    <w:p>
      <w:pPr>
        <w:spacing w:line="60" w:lineRule="exact"/>
        <w:rPr>
          <w:rFonts w:ascii="arial" w:eastAsia="arial" w:hAnsi="arial" w:cs="arial"/>
          <w:sz w:val="20"/>
          <w:lang w:val="en-US" w:eastAsia="en-US" w:bidi="ar-SA"/>
        </w:rPr>
      </w:pPr>
      <w:r>
        <w:pict>
          <v:line id="_x0000_s1062" style="position:absolute;z-index:251665408"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bookmarkStart w:id="44" w:name="Keywords_5"/>
      <w:bookmarkEnd w:id="44"/>
      <w:r>
        <w:rPr>
          <w:rFonts w:ascii="arial" w:eastAsia="arial" w:hAnsi="arial" w:cs="arial"/>
          <w:b/>
          <w:color w:val="000000"/>
          <w:sz w:val="20"/>
          <w:lang w:val="en-US" w:eastAsia="en-US" w:bidi="ar-SA"/>
        </w:rPr>
        <w:t xml:space="preserve">Homeowner's insurance — Fire insurance — Void policy — Disclosure of change in material risk — Marijuana growing operation — Electrical upgrades — Plaintiff couple owned property containing their house and large outbuilding — In 2014, fire destroyed upper floor of outbuilding — Lower floor of outbuilding contained licenced marijuana grow operation — Plaintiffs had upgraded property's electrical system from 200 to 400 amps — Defendant homeowner's policy insurer denied claim for coverage on basis that policy was void due to failure to disclose material change in risk — Plaintiffs conceded that they did not inform insurer about grow operation or upgrade to electrical system — Plaintiffs brought action against insurer, seeking damages for failure to indemnify them, and against broker, for breach of implied contract and </w:t>
      </w:r>
      <w:r>
        <w:rPr>
          <w:rFonts w:ascii="arial" w:eastAsia="arial" w:hAnsi="arial" w:cs="arial"/>
          <w:b/>
          <w:i/>
          <w:color w:val="000000"/>
          <w:sz w:val="20"/>
          <w:u w:val="single"/>
          <w:lang w:val="en-US" w:eastAsia="en-US" w:bidi="ar-SA"/>
        </w:rPr>
        <w:t>negligence</w:t>
      </w:r>
      <w:r>
        <w:rPr>
          <w:rFonts w:ascii="arial" w:eastAsia="arial" w:hAnsi="arial" w:cs="arial"/>
          <w:b/>
          <w:color w:val="000000"/>
          <w:sz w:val="20"/>
          <w:lang w:val="en-US" w:eastAsia="en-US" w:bidi="ar-SA"/>
        </w:rPr>
        <w:t xml:space="preserve"> — Court found grow operation and electrical upgrade were changes material to risk — Evidence indicated that marijuana grow operation increases various risks, including fire, water, and mold — Electrical system of 400 amps is more than normally required for family home and would prompt questions from insurer — Court did not need to resolve issue of whether objective or subjective knowledge of risk by insured is required under statutory condition 4 — Court was satisfied that plaintiffs knew that presence of grow operation was material to risk — Plaintiffs knew of need to inform insurer of significant changes to property — Plaintiffs expressed fears of theft and crime associated with their grow operation — Court did not accept that annual renewal letters and examples of material changes contained therein did not alert plaintiffs of need to contact insurer — Court found insurer validly voided policy based on breach of statutory condition 4 — Plaintiffs did not provide expert evidence on standard of care of brokers and their approach to making inquiries and providing advice about material changes in risk — Court could not determine plaintiffs' claim against brokerage — Action dismissed — Insurance Act, </w:t>
      </w:r>
      <w:hyperlink r:id="rId204" w:history="1">
        <w:r>
          <w:rPr>
            <w:rFonts w:ascii="arial" w:eastAsia="arial" w:hAnsi="arial" w:cs="arial"/>
            <w:b/>
            <w:i/>
            <w:color w:val="0077CC"/>
            <w:sz w:val="20"/>
            <w:u w:val="single"/>
            <w:shd w:val="clear" w:color="auto" w:fill="FFFFFF"/>
            <w:lang w:val="en-US" w:eastAsia="en-US" w:bidi="ar-SA"/>
          </w:rPr>
          <w:t>RSBC 2012, c. 1, s. 29</w:t>
        </w:r>
      </w:hyperlink>
      <w:r>
        <w:rPr>
          <w:rFonts w:ascii="arial" w:eastAsia="arial" w:hAnsi="arial" w:cs="arial"/>
          <w:b/>
          <w:color w:val="000000"/>
          <w:sz w:val="20"/>
          <w:lang w:val="en-US" w:eastAsia="en-US" w:bidi="ar-SA"/>
        </w:rPr>
        <w:t>.</w:t>
      </w:r>
    </w:p>
    <w:p>
      <w:pPr>
        <w:rPr>
          <w:rFonts w:ascii="arial" w:eastAsia="arial" w:hAnsi="arial" w:cs="arial"/>
          <w:sz w:val="20"/>
          <w:lang w:val="en-US" w:eastAsia="en-US" w:bidi="ar-SA"/>
        </w:rPr>
      </w:pPr>
    </w:p>
    <w:tbl>
      <w:tblPr>
        <w:tblStyle w:val="TableNormal"/>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
      <w:tblGrid>
        <w:gridCol w:w="10225"/>
      </w:tblGrid>
      <w:tr>
        <w:tblPrEx>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Ex>
        <w:tc>
          <w:tcPr/>
          <w:p>
            <w:pPr>
              <w:rPr>
                <w:rFonts w:ascii="arial" w:eastAsia="arial" w:hAnsi="arial" w:cs="arial"/>
                <w:sz w:val="20"/>
                <w:lang w:val="en-US" w:eastAsia="en-US" w:bidi="ar-SA"/>
              </w:rPr>
            </w:pPr>
            <w:bookmarkStart w:id="45" w:name="Case Summary_5"/>
            <w:bookmarkEnd w:id="45"/>
          </w:p>
          <w:p>
            <w:pPr>
              <w:spacing w:before="120" w:line="260" w:lineRule="atLeast"/>
              <w:ind w:left="240"/>
              <w:jc w:val="both"/>
              <w:rPr>
                <w:rFonts w:ascii="arial" w:eastAsia="arial" w:hAnsi="arial" w:cs="arial"/>
                <w:sz w:val="20"/>
                <w:lang w:val="en-US" w:eastAsia="en-US" w:bidi="ar-SA"/>
              </w:rPr>
            </w:pPr>
            <w:r>
              <w:rPr>
                <w:rFonts w:ascii="arial" w:eastAsia="arial" w:hAnsi="arial" w:cs="arial"/>
                <w:b/>
                <w:color w:val="000000"/>
                <w:sz w:val="20"/>
                <w:lang w:val="en-US" w:eastAsia="en-US" w:bidi="ar-SA"/>
              </w:rPr>
              <w:t>Facts:</w:t>
            </w:r>
            <w:r>
              <w:rPr>
                <w:rFonts w:ascii="arial" w:eastAsia="arial" w:hAnsi="arial" w:cs="arial"/>
                <w:color w:val="000000"/>
                <w:sz w:val="20"/>
                <w:lang w:val="en-US" w:eastAsia="en-US" w:bidi="ar-SA"/>
              </w:rPr>
              <w:t xml:space="preserve"> The plaintiff couple owned a property which contained their house and a large outbuilding. The upper floor of the outbuilding was destroyed by a fire in January 2014. At the time of the fire, the lower floor of the outbuilding contained a licenced marijuana grow operation with 311 plants. The fire was unrelated to the grow operation. The plaintiffs finished constructing the outbuilding in 2011 and upgraded the property's electrical system from 200 to 400 amps. The plaintiffs had obtained a homeowner's policy with the defendant insurer in 2004 or 2005 after constructing their house and renewed the policy yearly through the defendant broker. </w:t>
            </w:r>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insurer denied the plaintiffs' claim for coverage on the basis that the policy was void as of February 2011 due to the plaintiffs' failure to disclose a material change in risk, in violation of statutory condition 4. The plaintiffs conceded that they did not inform the insurer about the grow operation or upgrade to the electrical system. The plaintiffs brought an action against the insurer, seeking damages for its failure to indemnify them, and against the broker, alleging breach of an implied contract and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The plaintiffs claimed that they did not know that the undisclosed changes were material to the insurer. </w:t>
            </w:r>
            <w:r>
              <w:rPr>
                <w:rFonts w:ascii="arial" w:eastAsia="arial" w:hAnsi="arial" w:cs="arial"/>
                <w:sz w:val="20"/>
                <w:lang w:val="en-US" w:eastAsia="en-US" w:bidi="ar-SA"/>
              </w:rPr>
              <w:cr/>
            </w:r>
          </w:p>
          <w:p>
            <w:pPr>
              <w:spacing w:before="120" w:line="260" w:lineRule="atLeast"/>
              <w:ind w:left="240"/>
              <w:jc w:val="both"/>
              <w:rPr>
                <w:rFonts w:ascii="arial" w:eastAsia="arial" w:hAnsi="arial" w:cs="arial"/>
                <w:sz w:val="20"/>
                <w:lang w:val="en-US" w:eastAsia="en-US" w:bidi="ar-SA"/>
              </w:rPr>
            </w:pPr>
            <w:bookmarkStart w:id="46" w:name="Holdings of Court_5"/>
            <w:bookmarkEnd w:id="46"/>
            <w:r>
              <w:rPr>
                <w:rFonts w:ascii="arial" w:eastAsia="arial" w:hAnsi="arial" w:cs="arial"/>
                <w:color w:val="000000"/>
                <w:sz w:val="20"/>
                <w:lang w:val="en-US" w:eastAsia="en-US" w:bidi="ar-SA"/>
              </w:rPr>
              <w:t>HELD: The action was dismissed.</w:t>
            </w:r>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Court found that the grow operation and the electrical upgrade were changes that were material to the risk. The evidence indicated that a marijuana grow operation increases the risk of fire, water, mold damage, theft loss, and third-party exposure to fumes. Changes to the electrical system to 400 amps would be considered material to an underwriter, as this is more than normally required for a family home and would prompt further questions. </w:t>
            </w:r>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Reading condition 4 contextually and harmoniously with the other statutory conditions and recognizing their remedial purpose weighed in favour of finding that at least objective knowledge of materiality by the insured is required. The Court, however, did not ultimately need to resolve the issue of whether objective or subjective knowledge of risk by the insured is required, as it was satisfied that the plaintiffs knew that the presence of the grow operation was material to the risk. The plaintiffs knew of the need to inform the insurer of significant changes to the property, as they had made inquiries to the insurer in the past. The plaintiffs also expressed fears of theft and crime associated with their grow operation. The Court did not accept that the annual renewal letters and examples of material changes they contained did not alert the plaintiffs of the need to contact the insurer respecting the grow operation. The Court concluded that the insurer validly voided the policy based on the breach of statutory condition 4. </w:t>
            </w:r>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As the plaintiffs did not provide expert evidence on the standard of care of brokers and their approach to making inquiries and providing advice about material changes in risk, the Court could not determine the plaintiffs' claim against the brokerage. </w:t>
            </w:r>
            <w:r>
              <w:rPr>
                <w:rFonts w:ascii="arial" w:eastAsia="arial" w:hAnsi="arial" w:cs="arial"/>
                <w:sz w:val="20"/>
                <w:lang w:val="en-US" w:eastAsia="en-US" w:bidi="ar-SA"/>
              </w:rPr>
              <w:cr/>
            </w:r>
          </w:p>
          <w:p>
            <w:pPr>
              <w:rPr>
                <w:rFonts w:ascii="arial" w:eastAsia="arial" w:hAnsi="arial" w:cs="arial"/>
                <w:sz w:val="20"/>
                <w:lang w:val="en-US" w:eastAsia="en-US" w:bidi="ar-SA"/>
              </w:rPr>
            </w:pPr>
          </w:p>
        </w:tc>
      </w:tr>
    </w:tbl>
    <w:p>
      <w:pPr>
        <w:jc w:val="both"/>
        <w:rPr>
          <w:rFonts w:ascii="arial" w:eastAsia="arial" w:hAnsi="arial" w:cs="arial"/>
          <w:sz w:val="20"/>
          <w:lang w:val="en-US" w:eastAsia="en-US" w:bidi="ar-SA"/>
        </w:rPr>
      </w:pPr>
      <w:bookmarkStart w:id="47" w:name="Counsel_6"/>
      <w:bookmarkEnd w:id="47"/>
      <w:r>
        <w:rPr>
          <w:rFonts w:ascii="arial" w:eastAsia="arial" w:hAnsi="arial" w:cs="arial"/>
          <w:sz w:val="20"/>
          <w:lang w:val="en-US" w:eastAsia="en-US" w:bidi="ar-SA"/>
        </w:rPr>
        <w:br/>
      </w:r>
    </w:p>
    <w:p>
      <w:pPr>
        <w:keepNext/>
        <w:spacing w:before="24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Counsel</w:t>
      </w:r>
    </w:p>
    <w:p>
      <w:pPr>
        <w:spacing w:line="60" w:lineRule="exact"/>
        <w:rPr>
          <w:rFonts w:ascii="arial" w:eastAsia="arial" w:hAnsi="arial" w:cs="arial"/>
          <w:sz w:val="20"/>
          <w:lang w:val="en-US" w:eastAsia="en-US" w:bidi="ar-SA"/>
        </w:rPr>
      </w:pPr>
      <w:r>
        <w:pict>
          <v:line id="_x0000_s1063" style="position:absolute;z-index:251716608"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G. Douvelos for the plaintiffs; S.W. Abramson for the defendant Wawanesa Mutual Insurance; M. Nadeau and S. Ashbourne for the defendant Hub International Canada West ULC</w:t>
      </w:r>
      <w:r>
        <w:rPr>
          <w:rFonts w:ascii="arial" w:eastAsia="arial" w:hAnsi="arial" w:cs="arial"/>
          <w:sz w:val="20"/>
          <w:lang w:val="en-US" w:eastAsia="en-US" w:bidi="ar-SA"/>
        </w:rPr>
        <w:cr/>
      </w:r>
    </w:p>
    <w:p>
      <w:pPr>
        <w:spacing w:after="240"/>
        <w:rPr>
          <w:rFonts w:ascii="arial" w:eastAsia="arial" w:hAnsi="arial" w:cs="arial"/>
          <w:sz w:val="20"/>
          <w:lang w:val="en-US" w:eastAsia="en-US" w:bidi="ar-SA"/>
        </w:rPr>
      </w:pPr>
      <w:bookmarkStart w:id="48" w:name="Judgment_6"/>
      <w:bookmarkEnd w:id="48"/>
      <w:r>
        <w:pict>
          <v:line id="_x0000_s1064" style="position:absolute;z-index:251767808" from="0,12pt" to="512pt,12pt" strokecolor="#009ddb" strokeweight="1.5pt">
            <v:stroke linestyle="single"/>
          </v:line>
        </w:pict>
      </w:r>
    </w:p>
    <w:p>
      <w:pPr>
        <w:spacing w:before="120" w:line="260" w:lineRule="atLeast"/>
        <w:jc w:val="center"/>
        <w:rPr>
          <w:rFonts w:ascii="arial" w:eastAsia="arial" w:hAnsi="arial" w:cs="arial"/>
          <w:sz w:val="20"/>
          <w:lang w:val="en-US" w:eastAsia="en-US" w:bidi="ar-SA"/>
        </w:rPr>
      </w:pPr>
      <w:r>
        <w:rPr>
          <w:rFonts w:ascii="arial" w:eastAsia="arial" w:hAnsi="arial" w:cs="arial"/>
          <w:b/>
          <w:color w:val="000000"/>
          <w:sz w:val="20"/>
          <w:lang w:val="en-US" w:eastAsia="en-US" w:bidi="ar-SA"/>
        </w:rPr>
        <w:t>Reasons for Judgment</w:t>
      </w:r>
      <w:r>
        <w:rPr>
          <w:rFonts w:ascii="arial" w:eastAsia="arial" w:hAnsi="arial" w:cs="arial"/>
          <w:sz w:val="20"/>
          <w:lang w:val="en-US" w:eastAsia="en-US" w:bidi="ar-SA"/>
        </w:rPr>
        <w:cr/>
      </w:r>
    </w:p>
    <w:p>
      <w:pPr>
        <w:rPr>
          <w:rFonts w:ascii="arial" w:eastAsia="arial" w:hAnsi="arial" w:cs="arial"/>
          <w:sz w:val="20"/>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2637"/>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rFonts w:ascii="arial" w:eastAsia="arial" w:hAnsi="arial" w:cs="arial"/>
                <w:sz w:val="20"/>
                <w:lang w:val="en-US" w:eastAsia="en-US" w:bidi="ar-SA"/>
              </w:rPr>
            </w:pPr>
            <w:bookmarkStart w:id="49" w:name="M.L. FLEMING J."/>
            <w:bookmarkEnd w:id="49"/>
            <w:r>
              <w:rPr>
                <w:rFonts w:ascii="arial" w:eastAsia="arial" w:hAnsi="arial" w:cs="arial"/>
                <w:b/>
                <w:color w:val="000000"/>
                <w:sz w:val="30"/>
                <w:lang w:val="en-US" w:eastAsia="en-US" w:bidi="ar-SA"/>
              </w:rPr>
              <w:t>M.L. FLEMING J.</w:t>
            </w:r>
          </w:p>
        </w:tc>
      </w:tr>
    </w:tbl>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Introduction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On January 21, 2014, a fire destroyed the upper storey of a large outbuilding located on property owned by Linda and William Robert ("Bob") Schellenberg. At the time of the fire, the lower storey of the outbuilding contained a medical marijuana grow operation licensed by Health Canada. Before that, in 2011 or 2012, Mr. Schellenberg, a long time builder, finished the outbuilding along with an upgrade to the property's electrical system from 200 to 400 amps. Wawanesa Mutual Insurance Company ("Wawanesa") had been insuring the property for many years. The Schellenbergs renewed their policy each year through Hub International Canada West ULC, doing business as Hub International Barton Insurance Brokers ("Hub"). They acknowledge they did not notify Hub or Wawanesa of the grow operation or the upgrade to the electrical system before the fire.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After the fire, Wawanesa voided the policy based on a failure to disclose a material change in risk.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xml:space="preserve">  The Schellenbergs seek damages from Wawanesa and Hub. They assert that because they did not intend to misrepresent the change in risk, Wawanesa was not entitled to void the policy and, therefore, remained obligated to indemnify them. The claim against Hub is based on an alleged breach of an "implied" contract and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The Schellenbergs argue Hub's broker failed to ask the right questions and ensure they had adequate insurance coverage during the renewal process.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xml:space="preserve">  Wawanesa and Hub deny liability, taking the position the Schellenbergs are solely responsible for their lack of coverage. Both Wawanesa and Hub argue the grow operation and the upgrade to the electrical system were material changes in risk that the Schellenbergs should have disclosed. Hub also argues that it is not possible for them to establish the requisite standard of care for an insurance broker in the circumstances of this case, a necessary element of both the contract and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claims.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For the reasons that follow, I am dismissing the Schellenbergs' claims against Wawanesa and Hub.</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Overview</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The Schellenbergs' property is located in Chilliwack, BC.</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After a career as a realtor, Mrs. Schellenberg retired in or about 2013. Mr. Schellenberg also worked as a realtor in the past, in addition to operating a business as a builder/contractor.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Mr. Schellenberg typically dealt with their insurance and Hub.</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In or about 2004 or 2005, Mr. Schellenberg completed the construction of their house on the property. Hub arranged for a course of construction policy while it was being built and, then later, a standard home owner's policy underwritten by Wawanesa.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Each year, before their policy expired, Wawanesa sent renewal documents to the Schellenbergs' home and copies to Hub. Each year, Hub sent all of its customers a standard reminder letter advising them they should have received the renewal documents and asking them to review their policy limits to ensure the coverage was adequate in the event of a loss ("Reminder Letter"). The Reminder Letter also included the following paragraph:</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We have also attached "Some Coverage Notes and Recommendations", as further information on how your coverage may be affected by changes throughout the policy term. We would be pleased to discuss any questions or concerns you may have.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The attachment titled "Some Coverage Notes and Recommendations" read in part: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numPr>
          <w:numId w:val="1"/>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b/>
          <w:color w:val="000000"/>
          <w:sz w:val="20"/>
          <w:lang w:val="en-US" w:eastAsia="en-US" w:bidi="ar-SA"/>
        </w:rPr>
        <w:t>Let us know about any changes</w:t>
      </w:r>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If a "Material Change" arises during the policy period, this must be reported to our office immediately. Failure to do so may result in voiding of the Insurance Policy involved. A "Material Change" is something important enough to change the original agreement between the insurance company and the policyholder.</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Some examples of "Material Change" which would require that you notify your insurer would include:</w:t>
      </w:r>
    </w:p>
    <w:p>
      <w:pPr>
        <w:numPr>
          <w:numId w:val="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Starting a home-based business/farm use</w:t>
      </w:r>
    </w:p>
    <w:p>
      <w:pPr>
        <w:numPr>
          <w:numId w:val="3"/>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Using an auxiliary wood heat source without the insurers knowledge</w:t>
      </w:r>
    </w:p>
    <w:p>
      <w:pPr>
        <w:numPr>
          <w:numId w:val="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Renovations or Alternations to the building.</w:t>
      </w:r>
    </w:p>
    <w:p>
      <w:pPr>
        <w:numPr>
          <w:numId w:val="5"/>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Changes in occupancy - renting to another party or adding a second family.</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"Material Change" can be found in the Statutory Conditions portion of your policy.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xml:space="preserve">  Section 29 of the </w:t>
      </w:r>
      <w:r>
        <w:rPr>
          <w:rFonts w:ascii="arial" w:eastAsia="arial" w:hAnsi="arial" w:cs="arial"/>
          <w:i/>
          <w:color w:val="000000"/>
          <w:sz w:val="20"/>
          <w:lang w:val="en-US" w:eastAsia="en-US" w:bidi="ar-SA"/>
        </w:rPr>
        <w:t>Insurance Act</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R.S.B.C. 2012, c. 1</w:t>
      </w:r>
      <w:r>
        <w:rPr>
          <w:rFonts w:ascii="arial" w:eastAsia="arial" w:hAnsi="arial" w:cs="arial"/>
          <w:color w:val="000000"/>
          <w:sz w:val="20"/>
          <w:lang w:val="en-US" w:eastAsia="en-US" w:bidi="ar-SA"/>
        </w:rPr>
        <w:t>, sets out the statutory conditions, referred to in the attachment, which are deemed to be a part of every insurance contract, and requires them to printed on every policy under the heading "Statutory Conditions".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Statutory condition 4 applies to a material change in risk. It states: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Material change in risk</w:t>
      </w:r>
    </w:p>
    <w:p>
      <w:pPr>
        <w:numPr>
          <w:numId w:val="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(1) The insured must promptly give notice in writing to the insurer or its agent of a change that is</w:t>
      </w:r>
    </w:p>
    <w:p>
      <w:pPr>
        <w:numPr>
          <w:numId w:val="7"/>
        </w:numPr>
        <w:tabs>
          <w:tab w:val="clear" w:pos="112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material to the risk, and</w:t>
      </w:r>
    </w:p>
    <w:p>
      <w:pPr>
        <w:numPr>
          <w:numId w:val="7"/>
        </w:numPr>
        <w:tabs>
          <w:tab w:val="clear" w:pos="112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within the control and knowledge of the insured.</w:t>
      </w:r>
    </w:p>
    <w:p>
      <w:pPr>
        <w:numPr>
          <w:numId w:val="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If an insurer or its agent is not promptly notified of a change under subparagraph (1) of this condition, the contract is void as to the part affected by the change.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At some point before building the outbuilding, Mr. Schellenberg had the electrical service to the house increased from 125 to 200 amps. Later he upgraded it to 400 amps in order to supply the outbuilding with 200 amps.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w:t>
      </w:r>
      <w:r>
        <w:rPr>
          <w:rFonts w:ascii="arial" w:eastAsia="arial" w:hAnsi="arial" w:cs="arial"/>
          <w:color w:val="000000"/>
          <w:sz w:val="20"/>
          <w:lang w:val="en-US" w:eastAsia="en-US" w:bidi="ar-SA"/>
        </w:rPr>
        <w:t>  The outbuilding was a large two storey building. The lower storey, which Mr. Schellenberg referred to as the "bunker", was made of concrete and included a second level. The upper storey was a wood frame construction. Mr. Schellenberg described it as his "car museum" or showroom, but also a "1,350 square foot house". The two storeys were separated by a suspended concrete slab. Although the outbuilding's exterior was finished, the inside of the upper storey was not.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w:t>
      </w:r>
      <w:r>
        <w:rPr>
          <w:rFonts w:ascii="arial" w:eastAsia="arial" w:hAnsi="arial" w:cs="arial"/>
          <w:color w:val="000000"/>
          <w:sz w:val="20"/>
          <w:lang w:val="en-US" w:eastAsia="en-US" w:bidi="ar-SA"/>
        </w:rPr>
        <w:t>  The Schellenbergs first considered growing medical marijuana in 2010, after Mrs. Schellenberg learned about it from a police officer she spoke with at an open house. Two of their three sons, Todd and Michael, suffered from pain conditions that left them unable to work. Todd had become dependent on oxycodone to manage his pain. The Schellenbergs were understandably concerned and viewed marijuana as a safe alternative. After a doctor prescribed cannabis for Todd and Michael, signed other necessary paperwork, and with the Schellenbergs' consent, Todd, Michael and their other son, Stuart, obtained licenses from Health Canada to produce marijuana indoors at the property.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w:t>
      </w:r>
      <w:r>
        <w:rPr>
          <w:rFonts w:ascii="arial" w:eastAsia="arial" w:hAnsi="arial" w:cs="arial"/>
          <w:color w:val="000000"/>
          <w:sz w:val="20"/>
          <w:lang w:val="en-US" w:eastAsia="en-US" w:bidi="ar-SA"/>
        </w:rPr>
        <w:t>  At the time of the fire, Stuart's license permitted him to grow up to 292 plants for a friend with paraplegia. Todd and Michael's licenses were for personal use production. Todd's license allowed him to grow a maximum of 112 plants and Michael's, 98 plants. Together the licenses also allowed for up to 22.6 kilograms, or about 50 pounds of dried marijuana, to be stored on site. The grow operation occupied significant portions of the lower storey or bunker of the outbuilding. Mr. Schellenberg also had a "shop" there where he worked on vehicles.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w:t>
      </w:r>
      <w:r>
        <w:rPr>
          <w:rFonts w:ascii="arial" w:eastAsia="arial" w:hAnsi="arial" w:cs="arial"/>
          <w:color w:val="000000"/>
          <w:sz w:val="20"/>
          <w:lang w:val="en-US" w:eastAsia="en-US" w:bidi="ar-SA"/>
        </w:rPr>
        <w:t>  After completing the outbuilding, Mr. Schellenberg called Hub and spoke to insurance broker Brenda Koehn. There is a dispute about what they discussed.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w:t>
      </w:r>
      <w:r>
        <w:rPr>
          <w:rFonts w:ascii="arial" w:eastAsia="arial" w:hAnsi="arial" w:cs="arial"/>
          <w:color w:val="000000"/>
          <w:sz w:val="20"/>
          <w:lang w:val="en-US" w:eastAsia="en-US" w:bidi="ar-SA"/>
        </w:rPr>
        <w:t>  In or about October 26, 2013, Mr. Schellenberg renewed their policy in response to a phone call from Hub. The policy identified the property coverages as $637,000 for the "Dwelling Building" and $95,550 for "Private Structures", meaning the home and outbuilding. The policy included "5.0% Inflation Protection", "Guaranteed Replacement Cost - Coverage A" and a single inclusive limit of $1,369,500.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w:t>
      </w:r>
      <w:r>
        <w:rPr>
          <w:rFonts w:ascii="arial" w:eastAsia="arial" w:hAnsi="arial" w:cs="arial"/>
          <w:color w:val="000000"/>
          <w:sz w:val="20"/>
          <w:lang w:val="en-US" w:eastAsia="en-US" w:bidi="ar-SA"/>
        </w:rPr>
        <w:t xml:space="preserve">  In compliance with Section 29 of the </w:t>
      </w:r>
      <w:r>
        <w:rPr>
          <w:rFonts w:ascii="arial" w:eastAsia="arial" w:hAnsi="arial" w:cs="arial"/>
          <w:i/>
          <w:color w:val="000000"/>
          <w:sz w:val="20"/>
          <w:lang w:val="en-US" w:eastAsia="en-US" w:bidi="ar-SA"/>
        </w:rPr>
        <w:t>Insurance Act</w:t>
      </w:r>
      <w:r>
        <w:rPr>
          <w:rFonts w:ascii="arial" w:eastAsia="arial" w:hAnsi="arial" w:cs="arial"/>
          <w:color w:val="000000"/>
          <w:sz w:val="20"/>
          <w:lang w:val="en-US" w:eastAsia="en-US" w:bidi="ar-SA"/>
        </w:rPr>
        <w:t>, the policy also included and set out statutory conditions 1 through 14.</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w:t>
      </w:r>
      <w:r>
        <w:rPr>
          <w:rFonts w:ascii="arial" w:eastAsia="arial" w:hAnsi="arial" w:cs="arial"/>
          <w:color w:val="000000"/>
          <w:sz w:val="20"/>
          <w:lang w:val="en-US" w:eastAsia="en-US" w:bidi="ar-SA"/>
        </w:rPr>
        <w:t>  The fire was unrelated to the grow operation. It occurred in the upper storey, essentially destroying that part of the outbuilding and causing damage to the suspended concrete slab. The bunker was also damaged by water that leaked through the slab, even after it was tarped, caulked and/or sealed. Mr. Schellenberg testified that without a roof, it was no longer possible to achieve the humidity levels necessary to grow marijuana there. Todd returned to using oxycodone. Tragically, he passed away in 2016. The Schellenbergs were and remain heartbroken by his death.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w:t>
      </w:r>
      <w:r>
        <w:rPr>
          <w:rFonts w:ascii="arial" w:eastAsia="arial" w:hAnsi="arial" w:cs="arial"/>
          <w:color w:val="000000"/>
          <w:sz w:val="20"/>
          <w:lang w:val="en-US" w:eastAsia="en-US" w:bidi="ar-SA"/>
        </w:rPr>
        <w:t>  Robert Orr, an independent adjuster, was assigned to adjust the Schellenbergs' claim. On January 22, 2014, the day after the fire, he attended the property, obtained written statements from each of them and inspected the outbuilding. Mr. Schellenberg's statement provided the grow operation had started 18 months earlier. Mr. Orr observed and took photographs of the damage to the upper storey, as well as the "bunker".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w:t>
      </w:r>
      <w:r>
        <w:rPr>
          <w:rFonts w:ascii="arial" w:eastAsia="arial" w:hAnsi="arial" w:cs="arial"/>
          <w:color w:val="000000"/>
          <w:sz w:val="20"/>
          <w:lang w:val="en-US" w:eastAsia="en-US" w:bidi="ar-SA"/>
        </w:rPr>
        <w:t>  The evidence of Mr. Orr and Mr. Schellenberg establishes marijuana plants at different stages of growth occupied three rooms on the first and second levels of the bunker, serviced by an elaborate irrigation system that sent tubing to and from each plant container, high powered lighting, and a large sophisticated ventilation system. There was also a separate room for drying the marijuana.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w:t>
      </w:r>
      <w:r>
        <w:rPr>
          <w:rFonts w:ascii="arial" w:eastAsia="arial" w:hAnsi="arial" w:cs="arial"/>
          <w:color w:val="000000"/>
          <w:sz w:val="20"/>
          <w:lang w:val="en-US" w:eastAsia="en-US" w:bidi="ar-SA"/>
        </w:rPr>
        <w:t>  Mr. Orr informed Wawanesa the outbuilding was being used to cultivate marijuana licensed by Health Canada.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w:t>
      </w:r>
      <w:r>
        <w:rPr>
          <w:rFonts w:ascii="arial" w:eastAsia="arial" w:hAnsi="arial" w:cs="arial"/>
          <w:color w:val="000000"/>
          <w:sz w:val="20"/>
          <w:lang w:val="en-US" w:eastAsia="en-US" w:bidi="ar-SA"/>
        </w:rPr>
        <w:t>  On January 27, 2014, he wrote to the Schellenbergs to advise them that Wawanesa was reserving its right to disclaim any obligation under the policy, "due to fact that the building damaged by fire was used in the production of marijuana" and "[t]he insurer was not made aware of this fact during the application of insurance (misrepresentation) ...".</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w:t>
      </w:r>
      <w:r>
        <w:rPr>
          <w:rFonts w:ascii="arial" w:eastAsia="arial" w:hAnsi="arial" w:cs="arial"/>
          <w:color w:val="000000"/>
          <w:sz w:val="20"/>
          <w:lang w:val="en-US" w:eastAsia="en-US" w:bidi="ar-SA"/>
        </w:rPr>
        <w:t>  In a report to Wawanesa also dated January 27, 2014, Mr. Orr indicated there were 311 marijuana plants in the outbuilding at the time of the fire, relying on the report of the fire investigator. Mr. Schellenberg did not disagree with the number, indicating there could have been more than 300 plants at any one time.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w:t>
      </w:r>
      <w:r>
        <w:rPr>
          <w:rFonts w:ascii="arial" w:eastAsia="arial" w:hAnsi="arial" w:cs="arial"/>
          <w:color w:val="000000"/>
          <w:sz w:val="20"/>
          <w:lang w:val="en-US" w:eastAsia="en-US" w:bidi="ar-SA"/>
        </w:rPr>
        <w:t>  On May 15, 2014, Wawanesa notified the Schellenbergs it was voiding their policy to February 1, 2011, the date it allocated for the change in use. The letter stated an investigation of the outbuilding revealed the electrical system had been extensively upgraded "and was being used for commercial purposes", and had Wawanesa known of the change in use, it would have "declined to endorse the policy" referring to statutory condition 4. Enclosed with the letter was a cheque refunding the premiums paid for the insurance since then.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w:t>
      </w:r>
      <w:r>
        <w:rPr>
          <w:rFonts w:ascii="arial" w:eastAsia="arial" w:hAnsi="arial" w:cs="arial"/>
          <w:color w:val="000000"/>
          <w:sz w:val="20"/>
          <w:lang w:val="en-US" w:eastAsia="en-US" w:bidi="ar-SA"/>
        </w:rPr>
        <w:t>  Wawanesa's amended response to civil claim ("ARCC") identified the particulars of the undisclosed material change in risk as increasing the property's electrical system to a 400 amp service and introducing a marijuana grow operation to the property, as well as using it for a commercial purpose. At the trial, however, Wawanesa focused on the presence of a licensed marijuana grow operation and, to a lesser extent, the upgrades to the electrical system. It did not pursue the allegation that the grow operation was commercial.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w:t>
      </w:r>
      <w:r>
        <w:rPr>
          <w:rFonts w:ascii="arial" w:eastAsia="arial" w:hAnsi="arial" w:cs="arial"/>
          <w:color w:val="000000"/>
          <w:sz w:val="20"/>
          <w:lang w:val="en-US" w:eastAsia="en-US" w:bidi="ar-SA"/>
        </w:rPr>
        <w:t xml:space="preserve">  Similarly, in their amended notice of civil claim ("ANCC") the Schellenbergs pleaded several causes of action against Hub, but at the end of the trial, they sought damages based on the breach of contract and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claims only.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Credibility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w:t>
      </w:r>
      <w:r>
        <w:rPr>
          <w:rFonts w:ascii="arial" w:eastAsia="arial" w:hAnsi="arial" w:cs="arial"/>
          <w:color w:val="000000"/>
          <w:sz w:val="20"/>
          <w:lang w:val="en-US" w:eastAsia="en-US" w:bidi="ar-SA"/>
        </w:rPr>
        <w:t>  Although many of the facts in this case are not disputed, credibility is a contested issue. Most significantly, Mr. Schellenberg and Hub's representative, Brenda Koehn, provided conflicting evidence about the conversation they had after the outbuilding was completed. The Schellenbergs rely upon his version to assert Ms. Koehn should have asked additional questions and her failure to do so is what lead to inadequate coverage.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w:t>
      </w:r>
      <w:r>
        <w:rPr>
          <w:rFonts w:ascii="arial" w:eastAsia="arial" w:hAnsi="arial" w:cs="arial"/>
          <w:color w:val="000000"/>
          <w:sz w:val="20"/>
          <w:lang w:val="en-US" w:eastAsia="en-US" w:bidi="ar-SA"/>
        </w:rPr>
        <w:t xml:space="preserve">  In general, I have assessed the truthfulness and accuracy of the testimony of the witnesses applying the test articulated many years ago in </w:t>
      </w:r>
      <w:r>
        <w:rPr>
          <w:rFonts w:ascii="arial" w:eastAsia="arial" w:hAnsi="arial" w:cs="arial"/>
          <w:i/>
          <w:color w:val="000000"/>
          <w:sz w:val="20"/>
          <w:lang w:val="en-US" w:eastAsia="en-US" w:bidi="ar-SA"/>
        </w:rPr>
        <w:t>Faryna v. Chorny</w:t>
      </w:r>
      <w:r>
        <w:rPr>
          <w:rFonts w:ascii="arial" w:eastAsia="arial" w:hAnsi="arial" w:cs="arial"/>
          <w:color w:val="000000"/>
          <w:sz w:val="20"/>
          <w:lang w:val="en-US" w:eastAsia="en-US" w:bidi="ar-SA"/>
        </w:rPr>
        <w:t xml:space="preserve">, </w:t>
      </w:r>
      <w:hyperlink r:id="rId205" w:history="1">
        <w:r>
          <w:rPr>
            <w:rFonts w:ascii="arial" w:eastAsia="arial" w:hAnsi="arial" w:cs="arial"/>
            <w:i/>
            <w:color w:val="0077CC"/>
            <w:sz w:val="20"/>
            <w:u w:val="single"/>
            <w:shd w:val="clear" w:color="auto" w:fill="FFFFFF"/>
            <w:lang w:val="en-US" w:eastAsia="en-US" w:bidi="ar-SA"/>
          </w:rPr>
          <w:t>[1952] 2 D.L.R. 354</w:t>
        </w:r>
      </w:hyperlink>
      <w:r>
        <w:rPr>
          <w:rFonts w:ascii="arial" w:eastAsia="arial" w:hAnsi="arial" w:cs="arial"/>
          <w:color w:val="000000"/>
          <w:sz w:val="20"/>
          <w:lang w:val="en-US" w:eastAsia="en-US" w:bidi="ar-SA"/>
        </w:rPr>
        <w:t xml:space="preserve"> (B.C.C.A.) at 357:</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In short, the real test of the truth of the story of a witness in such a case must be its harmony with the preponderance of the probabilities which a practical and informed person would readily recognize as reasonable in that place and in those conditions...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w:t>
      </w:r>
      <w:r>
        <w:rPr>
          <w:rFonts w:ascii="arial" w:eastAsia="arial" w:hAnsi="arial" w:cs="arial"/>
          <w:color w:val="000000"/>
          <w:sz w:val="20"/>
          <w:lang w:val="en-US" w:eastAsia="en-US" w:bidi="ar-SA"/>
        </w:rPr>
        <w:t xml:space="preserve">  I have also considered the factors identified in </w:t>
      </w:r>
      <w:r>
        <w:rPr>
          <w:rFonts w:ascii="arial" w:eastAsia="arial" w:hAnsi="arial" w:cs="arial"/>
          <w:i/>
          <w:color w:val="000000"/>
          <w:sz w:val="20"/>
          <w:lang w:val="en-US" w:eastAsia="en-US" w:bidi="ar-SA"/>
        </w:rPr>
        <w:t>Bradshaw v. Stenner</w:t>
      </w:r>
      <w:r>
        <w:rPr>
          <w:rFonts w:ascii="arial" w:eastAsia="arial" w:hAnsi="arial" w:cs="arial"/>
          <w:color w:val="000000"/>
          <w:sz w:val="20"/>
          <w:lang w:val="en-US" w:eastAsia="en-US" w:bidi="ar-SA"/>
        </w:rPr>
        <w:t xml:space="preserve">, </w:t>
      </w:r>
      <w:hyperlink r:id="rId206" w:history="1">
        <w:r>
          <w:rPr>
            <w:rFonts w:ascii="arial" w:eastAsia="arial" w:hAnsi="arial" w:cs="arial"/>
            <w:i/>
            <w:color w:val="0077CC"/>
            <w:sz w:val="20"/>
            <w:u w:val="single"/>
            <w:shd w:val="clear" w:color="auto" w:fill="FFFFFF"/>
            <w:lang w:val="en-US" w:eastAsia="en-US" w:bidi="ar-SA"/>
          </w:rPr>
          <w:t>2010 BCSC 1398</w:t>
        </w:r>
      </w:hyperlink>
      <w:r>
        <w:rPr>
          <w:rFonts w:ascii="arial" w:eastAsia="arial" w:hAnsi="arial" w:cs="arial"/>
          <w:color w:val="000000"/>
          <w:sz w:val="20"/>
          <w:lang w:val="en-US" w:eastAsia="en-US" w:bidi="ar-SA"/>
        </w:rPr>
        <w:t xml:space="preserve"> at para. 186, aff'd </w:t>
      </w:r>
      <w:hyperlink r:id="rId207" w:history="1">
        <w:r>
          <w:rPr>
            <w:rFonts w:ascii="arial" w:eastAsia="arial" w:hAnsi="arial" w:cs="arial"/>
            <w:i/>
            <w:color w:val="0077CC"/>
            <w:sz w:val="20"/>
            <w:u w:val="single"/>
            <w:shd w:val="clear" w:color="auto" w:fill="FFFFFF"/>
            <w:lang w:val="en-US" w:eastAsia="en-US" w:bidi="ar-SA"/>
          </w:rPr>
          <w:t>2012 BCCA 296</w:t>
        </w:r>
      </w:hyperlink>
      <w:r>
        <w:rPr>
          <w:rFonts w:ascii="arial" w:eastAsia="arial" w:hAnsi="arial" w:cs="arial"/>
          <w:color w:val="000000"/>
          <w:sz w:val="20"/>
          <w:lang w:val="en-US" w:eastAsia="en-US" w:bidi="ar-SA"/>
        </w:rPr>
        <w:t>, leave to appeal to S.C.C refused, 25006 (1 October 2012), including:</w:t>
      </w:r>
      <w:r>
        <w:rPr>
          <w:rFonts w:ascii="arial" w:eastAsia="arial" w:hAnsi="arial" w:cs="arial"/>
          <w:sz w:val="20"/>
          <w:lang w:val="en-US" w:eastAsia="en-US" w:bidi="ar-SA"/>
        </w:rPr>
        <w:cr/>
      </w:r>
    </w:p>
    <w:p>
      <w:pPr>
        <w:numPr>
          <w:numId w:val="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capacity and opportunity of the witness to observe the events at issue;</w:t>
      </w:r>
    </w:p>
    <w:p>
      <w:pPr>
        <w:numPr>
          <w:numId w:val="1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his or her ability to remember those events;</w:t>
      </w:r>
    </w:p>
    <w:p>
      <w:pPr>
        <w:numPr>
          <w:numId w:val="1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ability of the witness to resist being influenced by his or her interest in recalling those events;</w:t>
      </w:r>
    </w:p>
    <w:p>
      <w:pPr>
        <w:numPr>
          <w:numId w:val="1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internal and external consistency of the witness's evidence;</w:t>
      </w:r>
    </w:p>
    <w:p>
      <w:pPr>
        <w:numPr>
          <w:numId w:val="1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whether the witness's evidence harmonizes with or is contradicted by other evidence, particularly independent or undisputed evidence;</w:t>
      </w:r>
    </w:p>
    <w:p>
      <w:pPr>
        <w:numPr>
          <w:numId w:val="1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whether his or her evidence seems unreasonable, improbable or unlikely, bearing in mind the probabilities affecting the case; and</w:t>
      </w:r>
    </w:p>
    <w:p>
      <w:pPr>
        <w:numPr>
          <w:numId w:val="1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witness's demeanour, meaning the way he or she presents while testifying.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w:t>
      </w:r>
      <w:r>
        <w:rPr>
          <w:rFonts w:ascii="arial" w:eastAsia="arial" w:hAnsi="arial" w:cs="arial"/>
          <w:color w:val="000000"/>
          <w:sz w:val="20"/>
          <w:lang w:val="en-US" w:eastAsia="en-US" w:bidi="ar-SA"/>
        </w:rPr>
        <w:t xml:space="preserve">  Regarding the last factor, </w:t>
      </w:r>
      <w:r>
        <w:rPr>
          <w:rFonts w:ascii="arial" w:eastAsia="arial" w:hAnsi="arial" w:cs="arial"/>
          <w:i/>
          <w:color w:val="000000"/>
          <w:sz w:val="20"/>
          <w:lang w:val="en-US" w:eastAsia="en-US" w:bidi="ar-SA"/>
        </w:rPr>
        <w:t>Chorny</w:t>
      </w:r>
      <w:r>
        <w:rPr>
          <w:rFonts w:ascii="arial" w:eastAsia="arial" w:hAnsi="arial" w:cs="arial"/>
          <w:color w:val="000000"/>
          <w:sz w:val="20"/>
          <w:lang w:val="en-US" w:eastAsia="en-US" w:bidi="ar-SA"/>
        </w:rPr>
        <w:t xml:space="preserve"> and other authorities have discussed the dangers of relying </w:t>
      </w:r>
      <w:r>
        <w:rPr>
          <w:rFonts w:ascii="arial" w:eastAsia="arial" w:hAnsi="arial" w:cs="arial"/>
          <w:i/>
          <w:color w:val="000000"/>
          <w:sz w:val="20"/>
          <w:lang w:val="en-US" w:eastAsia="en-US" w:bidi="ar-SA"/>
        </w:rPr>
        <w:t>wholly</w:t>
      </w:r>
      <w:r>
        <w:rPr>
          <w:rFonts w:ascii="arial" w:eastAsia="arial" w:hAnsi="arial" w:cs="arial"/>
          <w:color w:val="000000"/>
          <w:sz w:val="20"/>
          <w:lang w:val="en-US" w:eastAsia="en-US" w:bidi="ar-SA"/>
        </w:rPr>
        <w:t xml:space="preserve"> upon demeanour to determine credibility, recognizing the risk of preferring the testimony of the better actor, and conversely, misinterpreting an honest witness's poor presentation as deceptive: </w:t>
      </w:r>
      <w:r>
        <w:rPr>
          <w:rFonts w:ascii="arial" w:eastAsia="arial" w:hAnsi="arial" w:cs="arial"/>
          <w:i/>
          <w:color w:val="000000"/>
          <w:sz w:val="20"/>
          <w:lang w:val="en-US" w:eastAsia="en-US" w:bidi="ar-SA"/>
        </w:rPr>
        <w:t>R. v. Jeng</w:t>
      </w:r>
      <w:r>
        <w:rPr>
          <w:rFonts w:ascii="arial" w:eastAsia="arial" w:hAnsi="arial" w:cs="arial"/>
          <w:color w:val="000000"/>
          <w:sz w:val="20"/>
          <w:lang w:val="en-US" w:eastAsia="en-US" w:bidi="ar-SA"/>
        </w:rPr>
        <w:t xml:space="preserve">, </w:t>
      </w:r>
      <w:hyperlink r:id="rId208" w:history="1">
        <w:r>
          <w:rPr>
            <w:rFonts w:ascii="arial" w:eastAsia="arial" w:hAnsi="arial" w:cs="arial"/>
            <w:i/>
            <w:color w:val="0077CC"/>
            <w:sz w:val="20"/>
            <w:u w:val="single"/>
            <w:shd w:val="clear" w:color="auto" w:fill="FFFFFF"/>
            <w:lang w:val="en-US" w:eastAsia="en-US" w:bidi="ar-SA"/>
          </w:rPr>
          <w:t>2004 BCCA 464</w:t>
        </w:r>
      </w:hyperlink>
      <w:r>
        <w:rPr>
          <w:rFonts w:ascii="arial" w:eastAsia="arial" w:hAnsi="arial" w:cs="arial"/>
          <w:color w:val="000000"/>
          <w:sz w:val="20"/>
          <w:lang w:val="en-US" w:eastAsia="en-US" w:bidi="ar-SA"/>
        </w:rPr>
        <w:t xml:space="preserve"> at para. 54.</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34</w:t>
      </w:r>
      <w:r>
        <w:rPr>
          <w:rFonts w:ascii="arial" w:eastAsia="arial" w:hAnsi="arial" w:cs="arial"/>
          <w:color w:val="000000"/>
          <w:sz w:val="20"/>
          <w:lang w:val="en-US" w:eastAsia="en-US" w:bidi="ar-SA"/>
        </w:rPr>
        <w:t xml:space="preserve">  Applying the test in </w:t>
      </w:r>
      <w:r>
        <w:rPr>
          <w:rFonts w:ascii="arial" w:eastAsia="arial" w:hAnsi="arial" w:cs="arial"/>
          <w:i/>
          <w:color w:val="000000"/>
          <w:sz w:val="20"/>
          <w:lang w:val="en-US" w:eastAsia="en-US" w:bidi="ar-SA"/>
        </w:rPr>
        <w:t>Chorny</w:t>
      </w:r>
      <w:r>
        <w:rPr>
          <w:rFonts w:ascii="arial" w:eastAsia="arial" w:hAnsi="arial" w:cs="arial"/>
          <w:color w:val="000000"/>
          <w:sz w:val="20"/>
          <w:lang w:val="en-US" w:eastAsia="en-US" w:bidi="ar-SA"/>
        </w:rPr>
        <w:t xml:space="preserve"> and considering the </w:t>
      </w:r>
      <w:r>
        <w:rPr>
          <w:rFonts w:ascii="arial" w:eastAsia="arial" w:hAnsi="arial" w:cs="arial"/>
          <w:i/>
          <w:color w:val="000000"/>
          <w:sz w:val="20"/>
          <w:lang w:val="en-US" w:eastAsia="en-US" w:bidi="ar-SA"/>
        </w:rPr>
        <w:t>Bradshaw</w:t>
      </w:r>
      <w:r>
        <w:rPr>
          <w:rFonts w:ascii="arial" w:eastAsia="arial" w:hAnsi="arial" w:cs="arial"/>
          <w:color w:val="000000"/>
          <w:sz w:val="20"/>
          <w:lang w:val="en-US" w:eastAsia="en-US" w:bidi="ar-SA"/>
        </w:rPr>
        <w:t xml:space="preserve"> factors, I have some concerns about the credibility of the evidence of Mr. and Mrs. Schellenberg. Material aspects of Mr. Schellenberg's testimony changed between direct and cross-examination and during cross-examination. Significantly, much of both of their evidence regarding the issue of risk and the marijuana grow operation struck me as unreasonable, if not implausible. Mr. and Mrs. Schellenberg were also quite defensive and Mr. Schellenberg sarcastic and coy at times during cross examination. Bearing in mind the need for caution in relying upon demeanour, and the Schellenbergs' obvious anger over Wawanesa's denial of coverage, I have put some but limited weight on this factor. Although Ms. Koehn appeared somewhat tentative, her testimony was reasonably consistent. Overall, her account of the key conversation with Mr. Schellenberg better aligned with the content of the policy which she was able to refer to while they spoke.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Discussion of the Evidence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The Outbuilding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35</w:t>
      </w:r>
      <w:r>
        <w:rPr>
          <w:rFonts w:ascii="arial" w:eastAsia="arial" w:hAnsi="arial" w:cs="arial"/>
          <w:color w:val="000000"/>
          <w:sz w:val="20"/>
          <w:lang w:val="en-US" w:eastAsia="en-US" w:bidi="ar-SA"/>
        </w:rPr>
        <w:t>  Mr. Schellenberg provided detailed evidence about the outbuilding. It was built with permits and to code. Construction started in 2010. As I have said, Mr. Schellenberg stated the second storey was his car museum, but also that it was intended to be a home for Todd. The shop in the bunker was equipped with a hoist and a crane, along with other equipment and tools used to work on vehicles.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36</w:t>
      </w:r>
      <w:r>
        <w:rPr>
          <w:rFonts w:ascii="arial" w:eastAsia="arial" w:hAnsi="arial" w:cs="arial"/>
          <w:color w:val="000000"/>
          <w:sz w:val="20"/>
          <w:lang w:val="en-US" w:eastAsia="en-US" w:bidi="ar-SA"/>
        </w:rPr>
        <w:t>  He and Mrs. Schellenberg agreed the grow operation started around 2012, about 18 months before the fire, although they were uncertain about exactly when. Mr. Schellenberg denied the upgrade to 400 amps was made to accommodate the grow operation, although at his examination for discovery he gave evidence that the 200 amps that serviced the outbuilding was for both the shop and the grow operation.</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Correspondence and Awareness of the Risk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37</w:t>
      </w:r>
      <w:r>
        <w:rPr>
          <w:rFonts w:ascii="arial" w:eastAsia="arial" w:hAnsi="arial" w:cs="arial"/>
          <w:color w:val="000000"/>
          <w:sz w:val="20"/>
          <w:lang w:val="en-US" w:eastAsia="en-US" w:bidi="ar-SA"/>
        </w:rPr>
        <w:t>  When asked about receiving insurance annual renewal documents and a Reminder Letter before the fire, both of the Schellenbergs testified that Mrs. Schellenberg was in charge of their mail. She described opening it all, sorting the bills into a pile, prioritizing those that needed to be paid, and throwing almost everything else away. Mrs. Schellenberg acknowledged the insurance renewal documents and letters from Hub arrived each year. She "normally" kept them but never read them because Mr. Schellenberg was responsible for dealing with insurance and Hub. Before giving him Hub's last letter, Mrs. Schellenberg indicated someone from Hub called to tell them they had to go in immediately to renew their insurance.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38</w:t>
      </w:r>
      <w:r>
        <w:rPr>
          <w:rFonts w:ascii="arial" w:eastAsia="arial" w:hAnsi="arial" w:cs="arial"/>
          <w:color w:val="000000"/>
          <w:sz w:val="20"/>
          <w:lang w:val="en-US" w:eastAsia="en-US" w:bidi="ar-SA"/>
        </w:rPr>
        <w:t>  Mr. Schellenberg said he generally only read mail when he needed to attend to it. His evidence about receiving the Reminder Letter was inconsistent. While he acknowledged Hub sent letters reminding them to renew their insurance that included the attachment which he never read, he also said the copy of the letter shown to him in cross-examination did not prove the attachment was actually sent to their home. Mr. Schellenberg agreed, however, that he would not have read it anyway.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39</w:t>
      </w:r>
      <w:r>
        <w:rPr>
          <w:rFonts w:ascii="arial" w:eastAsia="arial" w:hAnsi="arial" w:cs="arial"/>
          <w:color w:val="000000"/>
          <w:sz w:val="20"/>
          <w:lang w:val="en-US" w:eastAsia="en-US" w:bidi="ar-SA"/>
        </w:rPr>
        <w:t>  He and Mrs. Schellenberg emphasized the content of the Reminder Letter was inadequate. Mr. Schellenberg stated none of the examples of material change in the attachment would have lead him to call Hub about the grow operation and he simply could not imagine "they" would care about it. He testified inconsistently about what would have led him to notify Hub or Wawanesa, stating on the one hand if Wawanesa had even hinted he needed different insurance to "grow his vegetables", he would have disclosed the grow operation, but on the other, it would have taken something explicit before he volunteered the information.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40</w:t>
      </w:r>
      <w:r>
        <w:rPr>
          <w:rFonts w:ascii="arial" w:eastAsia="arial" w:hAnsi="arial" w:cs="arial"/>
          <w:color w:val="000000"/>
          <w:sz w:val="20"/>
          <w:lang w:val="en-US" w:eastAsia="en-US" w:bidi="ar-SA"/>
        </w:rPr>
        <w:t>  The Schellenbergs also expressed the view that Hub should have asked about changes by phone or in person at their office, regardless of the Reminder Letter and the attachment. Mrs. Schellenberg testified they should have been told about anything that would disqualify them from being covered by insurance. She emphasized that as a realtor, she had been obligated to disclose everything about a home before a purchase and not to assume the purchasers had any knowledge. Mrs. Schellenberg also testified she would have expected Health Canada to advise them if there was a requirement to inform other agencies of the grow operation.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41</w:t>
      </w:r>
      <w:r>
        <w:rPr>
          <w:rFonts w:ascii="arial" w:eastAsia="arial" w:hAnsi="arial" w:cs="arial"/>
          <w:color w:val="000000"/>
          <w:sz w:val="20"/>
          <w:lang w:val="en-US" w:eastAsia="en-US" w:bidi="ar-SA"/>
        </w:rPr>
        <w:t>  Mr. Schellenberg gave similar evidence about Hub's role but he also indicated he understood that insurance premiums increase as risk increases and he would not have a problem paying higher premiums because of a marijuana grow operation on the property.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42</w:t>
      </w:r>
      <w:r>
        <w:rPr>
          <w:rFonts w:ascii="arial" w:eastAsia="arial" w:hAnsi="arial" w:cs="arial"/>
          <w:color w:val="000000"/>
          <w:sz w:val="20"/>
          <w:lang w:val="en-US" w:eastAsia="en-US" w:bidi="ar-SA"/>
        </w:rPr>
        <w:t>  Both Mr. and Mrs. Schellenberg testified they did not and would not willingly tell anyone about the grow operation, indicating the fewer people who knew the better. Each described feeling vulnerable and fearful of being robbed or held at gun point, based on stories they had heard. Mrs. Schellenberg spoke of them also being nervous when they saw an RCMP vehicle stopped at the property next door. When the police came to their home to discuss a complaint regarding the smell of marijuana, however, they made no attempt to hide the grow operation. Mr. Schellenberg showed the officer the licenses posted in the shop. Over time the police came several times about the smell. It was a police officer who suggested installing charcoal filters to reduce the odour, which they did.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43</w:t>
      </w:r>
      <w:r>
        <w:rPr>
          <w:rFonts w:ascii="arial" w:eastAsia="arial" w:hAnsi="arial" w:cs="arial"/>
          <w:color w:val="000000"/>
          <w:sz w:val="20"/>
          <w:lang w:val="en-US" w:eastAsia="en-US" w:bidi="ar-SA"/>
        </w:rPr>
        <w:t>  In cross-examination Mrs. Schellenberg agreed she was upset after the fire when the media reported on the grow operation because she was afraid they would be targeted.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44</w:t>
      </w:r>
      <w:r>
        <w:rPr>
          <w:rFonts w:ascii="arial" w:eastAsia="arial" w:hAnsi="arial" w:cs="arial"/>
          <w:color w:val="000000"/>
          <w:sz w:val="20"/>
          <w:lang w:val="en-US" w:eastAsia="en-US" w:bidi="ar-SA"/>
        </w:rPr>
        <w:t>  Despite these circumstances, neither of the Schellenbergs would acknowledge they should have known or actually did recognize the grow operation was an insurance risk. In cross-examination, Mrs. Schellenberg minimized the fear she had previously acknowledged: "even if I had a fear, I shouldn't have because it was legal" and "anyone can break into anyone's house". I found this part of her testimony disingenuous. My impression of Mr. Schellenberg was the same when he maintained that despite his concern about the risk of theft and harm to them, there was no increased risk for Wawanesa, commenting they had not asked for crop insurance and Wawanesa was not insuring his life. He said rather sarcastically at one point, "would it matter if I grew tomatoes and cucumbers?"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Discussion with Hub</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45</w:t>
      </w:r>
      <w:r>
        <w:rPr>
          <w:rFonts w:ascii="arial" w:eastAsia="arial" w:hAnsi="arial" w:cs="arial"/>
          <w:color w:val="000000"/>
          <w:sz w:val="20"/>
          <w:lang w:val="en-US" w:eastAsia="en-US" w:bidi="ar-SA"/>
        </w:rPr>
        <w:t>  Mr. Schellenberg said he normally arranged their insurance through Ms. Koehn at Hub, stating she would notify them if they needed to pay a premium "or whatever". He indicated he always asked for her because she was familiar with their needs and their file, although he sometimes dealt with other staff. Mr. Schellenberg said he spoke to Ms. Koehn when he first upgraded the electrical system to make sure they were covered, which she denied.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46</w:t>
      </w:r>
      <w:r>
        <w:rPr>
          <w:rFonts w:ascii="arial" w:eastAsia="arial" w:hAnsi="arial" w:cs="arial"/>
          <w:color w:val="000000"/>
          <w:sz w:val="20"/>
          <w:lang w:val="en-US" w:eastAsia="en-US" w:bidi="ar-SA"/>
        </w:rPr>
        <w:t>  Ms. Koehn gave evidence about Hub's involvement with the Schellenbergs, as well as her direct dealings with Mr. Schellenberg. An insurance broker for decades, she had been assisting clients with "personal lines policies" such as homeowner policies and some auto insurance since 2010. Indicating she had helped the Schellenbergs with both over the years, Ms. Koehn also said most of her contact had been with Mr. Schellenberg.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47</w:t>
      </w:r>
      <w:r>
        <w:rPr>
          <w:rFonts w:ascii="arial" w:eastAsia="arial" w:hAnsi="arial" w:cs="arial"/>
          <w:color w:val="000000"/>
          <w:sz w:val="20"/>
          <w:lang w:val="en-US" w:eastAsia="en-US" w:bidi="ar-SA"/>
        </w:rPr>
        <w:t>  Ms. Koehn explained it was Hub's standard practice to send every insured on every policy a Reminder Letter attaching the coverage notes and recommendations each year. The purpose was to remind clients to look at policy exclusions, whether the values were adequate, and to let Hub know about any changes. Relying on Hub's electronic records, Ms. Koehn testified that Hub had sent a Reminder Letter with the attachment to the Schellenbergs every year from 2005 to 2013. She explained the presence an unsigned copy in the document management system meant the letter has been are printed, signed and mailed out by "processing staff".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48</w:t>
      </w:r>
      <w:r>
        <w:rPr>
          <w:rFonts w:ascii="arial" w:eastAsia="arial" w:hAnsi="arial" w:cs="arial"/>
          <w:color w:val="000000"/>
          <w:sz w:val="20"/>
          <w:lang w:val="en-US" w:eastAsia="en-US" w:bidi="ar-SA"/>
        </w:rPr>
        <w:t>  Ms. Koehn also gave evidence based on electronic notes that she and other brokers had prepared. Those notes indicate Mr. Schellenberg had called Hub in the past to inquire about coverage. For example, in October 2006, he wanted to know if the homeowner policy would cover him if he did work for others. The broker followed up and then advised him to look for commercial insurance. Other notes show Hub received notices of cancellation from Wawanesa regarding the Schellenbergs' insurance and their policy actually lapsed due to non payment on five occasions from 2009 to November 7, 2013, which they did not dispute.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49</w:t>
      </w:r>
      <w:r>
        <w:rPr>
          <w:rFonts w:ascii="arial" w:eastAsia="arial" w:hAnsi="arial" w:cs="arial"/>
          <w:color w:val="000000"/>
          <w:sz w:val="20"/>
          <w:lang w:val="en-US" w:eastAsia="en-US" w:bidi="ar-SA"/>
        </w:rPr>
        <w:t>  Ms. Koehn and Mr. Schellenberg both testified that he called her after completing the outbuilding to discuss the home insurance. Neither of them could recall exactly when. Ms. Koehn was not sure if the conversation occurred in 2012 or 2013.</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50</w:t>
      </w:r>
      <w:r>
        <w:rPr>
          <w:rFonts w:ascii="arial" w:eastAsia="arial" w:hAnsi="arial" w:cs="arial"/>
          <w:color w:val="000000"/>
          <w:sz w:val="20"/>
          <w:lang w:val="en-US" w:eastAsia="en-US" w:bidi="ar-SA"/>
        </w:rPr>
        <w:t>  Mr. Schellenberg readily acknowledged he did not tell her about the grow operation. At first, he seemed fairly sure the grow operation was in place by then. Later on in his evidence he suggested he was less certain. Mr. Schellenberg said at the time of the call he was concerned about having adequate coverage because the house had gone up in value, he thought it was only insured for $400,000 and he had spent about $300,000 on the outbuilding. He recalled the vehicle hoist and the crane being in the shop by the time they spoke. In direct examination, Mr. Schellenberg said he told Ms. Koehn about all of this, along with how he wanted to be over-insured and the electrical system had been upgraded. She assured him, he testified, they had more than enough coverage, $600,000 for the house and $300,000 for the outbuilding, as long as the shop was not commercial. In cross-examination, Mr. Schellenberg agreed Ms. Koehn said something like inflation provided enough coverage for the house. Similarly, he acknowledged he could not recall if she told him the coverage for the outbuilding was $300,000, but it was "something like that". He also conceded he did not tell her about the upgrade to the electrical system but he would have if she had asked. He said the same thing about the grow operation, stating several times he was an honest person. Mr. Schellenberg emphasized that what he did disclose, having a shop equipped with a hoist where he worked on cars, should have prompted Ms. Koehn to ask about the electrical system. Agreeing he had an obligation to disclose changes to the property or its use, but he also agreed it was his view that if the broker did not ask, he did not have to tell.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51</w:t>
      </w:r>
      <w:r>
        <w:rPr>
          <w:rFonts w:ascii="arial" w:eastAsia="arial" w:hAnsi="arial" w:cs="arial"/>
          <w:color w:val="000000"/>
          <w:sz w:val="20"/>
          <w:lang w:val="en-US" w:eastAsia="en-US" w:bidi="ar-SA"/>
        </w:rPr>
        <w:t>  Unfortunately Ms. Koehn did not make notes of the conversation, stating she must have been busy at the time. She recalled Mr. Schellenberg telling her a bunker style outbuilding was complete, referring to the bunker and a second storey. He also told her he was working on cars in the bunker with his son, and mentioned it being a shop and having a hoist. She remembered asking him if the work on cars was personal and he said yes. Ms. Koehn confirmed that Mr. Schellenberg never told her about a change to the electrical system or a marijuana grow operation. She stated it was not her practice to ask clients about marijuana when they were renewing insurance. She was aware, however, that Wawanesa would not underwrite grow operations when she spoke with Mr. Schellenberg.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52</w:t>
      </w:r>
      <w:r>
        <w:rPr>
          <w:rFonts w:ascii="arial" w:eastAsia="arial" w:hAnsi="arial" w:cs="arial"/>
          <w:color w:val="000000"/>
          <w:sz w:val="20"/>
          <w:lang w:val="en-US" w:eastAsia="en-US" w:bidi="ar-SA"/>
        </w:rPr>
        <w:t xml:space="preserve">  In cross-examination, Ms. Koehn agreed she did not ask Mr. Schellenberg any further questions about the equipment or machinery in the shop, whether anyone else was using the bunker, or what else he might be doing there, stating those questions would not be standard and they had already discussed that he and his son were doing personal work on cars. She did not agree she </w:t>
      </w:r>
      <w:r>
        <w:rPr>
          <w:rFonts w:ascii="arial" w:eastAsia="arial" w:hAnsi="arial" w:cs="arial"/>
          <w:i/>
          <w:color w:val="000000"/>
          <w:sz w:val="20"/>
          <w:lang w:val="en-US" w:eastAsia="en-US" w:bidi="ar-SA"/>
        </w:rPr>
        <w:t>should</w:t>
      </w:r>
      <w:r>
        <w:rPr>
          <w:rFonts w:ascii="arial" w:eastAsia="arial" w:hAnsi="arial" w:cs="arial"/>
          <w:color w:val="000000"/>
          <w:sz w:val="20"/>
          <w:lang w:val="en-US" w:eastAsia="en-US" w:bidi="ar-SA"/>
        </w:rPr>
        <w:t xml:space="preserve"> have asked about the electrical system, given the presence of the shop, stating it is a question she </w:t>
      </w:r>
      <w:r>
        <w:rPr>
          <w:rFonts w:ascii="arial" w:eastAsia="arial" w:hAnsi="arial" w:cs="arial"/>
          <w:i/>
          <w:color w:val="000000"/>
          <w:sz w:val="20"/>
          <w:lang w:val="en-US" w:eastAsia="en-US" w:bidi="ar-SA"/>
        </w:rPr>
        <w:t>could</w:t>
      </w:r>
      <w:r>
        <w:rPr>
          <w:rFonts w:ascii="arial" w:eastAsia="arial" w:hAnsi="arial" w:cs="arial"/>
          <w:color w:val="000000"/>
          <w:sz w:val="20"/>
          <w:lang w:val="en-US" w:eastAsia="en-US" w:bidi="ar-SA"/>
        </w:rPr>
        <w:t xml:space="preserve"> have asked.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53</w:t>
      </w:r>
      <w:r>
        <w:rPr>
          <w:rFonts w:ascii="arial" w:eastAsia="arial" w:hAnsi="arial" w:cs="arial"/>
          <w:color w:val="000000"/>
          <w:sz w:val="20"/>
          <w:lang w:val="en-US" w:eastAsia="en-US" w:bidi="ar-SA"/>
        </w:rPr>
        <w:t>  Ms. Koehn denied Mr. Schellenberg ever said he wanted to be over-insured, or asked to increase his coverage. She also denied telling Mr. Schellenberg the outbuilding was insured for $300,000, although they did discuss coverage for the house and the outbuilding under the policy, information she retrieved from Hub's computer system. Ms. Koehn said she would have confirmed the coverage, about $600,000 for the house, and that the outbuilding was insured for 15% of the value of the house, and discussed the yearly inflationary increases in values as well as the purpose of the single limit inclusive policy.</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Wawanesa and Risk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54</w:t>
      </w:r>
      <w:r>
        <w:rPr>
          <w:rFonts w:ascii="arial" w:eastAsia="arial" w:hAnsi="arial" w:cs="arial"/>
          <w:color w:val="000000"/>
          <w:sz w:val="20"/>
          <w:lang w:val="en-US" w:eastAsia="en-US" w:bidi="ar-SA"/>
        </w:rPr>
        <w:t>  Liz Strocel, Wawanesa's personal lines underwriting manager testified it did not and does not insure any property with a marijuana grow operation, whether or not it is legal, because of the inherent risk. She identified the risk as including drywall being susceptible to mould from the humidity, fire (for a number of reasons), the risk of robbery or a break in, and additional liability issues. She also testified that Wawanesa would void a homeowner policy if it learned the insured had a grow operation and refund the premiums, which is what happened here.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55</w:t>
      </w:r>
      <w:r>
        <w:rPr>
          <w:rFonts w:ascii="arial" w:eastAsia="arial" w:hAnsi="arial" w:cs="arial"/>
          <w:color w:val="000000"/>
          <w:sz w:val="20"/>
          <w:lang w:val="en-US" w:eastAsia="en-US" w:bidi="ar-SA"/>
        </w:rPr>
        <w:t>  Ms. Strocel suggested Wawanesa's Habitational Manual, provided to all insurance agents, advised them not to submit applications involving "any risk with a Government-approved legal marijuana grow operation" as of July 1, 2013, in response to the legalization of medical marijuana. Actually, the same direction was included in an earlier version of the manual with the date of change identified as April 1, 2012.</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56</w:t>
      </w:r>
      <w:r>
        <w:rPr>
          <w:rFonts w:ascii="arial" w:eastAsia="arial" w:hAnsi="arial" w:cs="arial"/>
          <w:color w:val="000000"/>
          <w:sz w:val="20"/>
          <w:lang w:val="en-US" w:eastAsia="en-US" w:bidi="ar-SA"/>
        </w:rPr>
        <w:t>  Regarding the upgrade to the Schellenbergs' electrical system, Ms. Strocel testified that typically Wawanesa is concerned about the risk of fire associated with less than 60 amps, because it's insufficient for most modern residential homes. Ms. Strocel said she had never heard of a residential property having 400 amps and would have wanted to know why the Schellenbergs required so much power. She was uncertain whether Wawanesa would have offered the same coverage at the same premium, although it was possible if their explanation has been satisfactory.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Issues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57</w:t>
      </w:r>
      <w:r>
        <w:rPr>
          <w:rFonts w:ascii="arial" w:eastAsia="arial" w:hAnsi="arial" w:cs="arial"/>
          <w:color w:val="000000"/>
          <w:sz w:val="20"/>
          <w:lang w:val="en-US" w:eastAsia="en-US" w:bidi="ar-SA"/>
        </w:rPr>
        <w:t>  Simply put the main issues in this case are:</w:t>
      </w:r>
      <w:r>
        <w:rPr>
          <w:rFonts w:ascii="arial" w:eastAsia="arial" w:hAnsi="arial" w:cs="arial"/>
          <w:sz w:val="20"/>
          <w:lang w:val="en-US" w:eastAsia="en-US" w:bidi="ar-SA"/>
        </w:rPr>
        <w:cr/>
      </w:r>
    </w:p>
    <w:p>
      <w:pPr>
        <w:numPr>
          <w:numId w:val="16"/>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Did Wawanesa validly void the insurance contract based on the Schellenbergs' breach of the obligation to notify it or Hub of a material change in risk under statutory condition 4?</w:t>
      </w:r>
    </w:p>
    <w:p>
      <w:pPr>
        <w:numPr>
          <w:numId w:val="16"/>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Is Hub liable for breaching an "implied" or oral contract with the Schellenbergs and or in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by failing to ensure they had adequate coverage or to advise them of gaps in coverage?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Material Change in Risk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58</w:t>
      </w:r>
      <w:r>
        <w:rPr>
          <w:rFonts w:ascii="arial" w:eastAsia="arial" w:hAnsi="arial" w:cs="arial"/>
          <w:color w:val="000000"/>
          <w:sz w:val="20"/>
          <w:lang w:val="en-US" w:eastAsia="en-US" w:bidi="ar-SA"/>
        </w:rPr>
        <w:t>  Wawanesa bears the burden of proving it validly voided the Schellenberg's insurance policy based upon statutory condition 4.</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59</w:t>
      </w:r>
      <w:r>
        <w:rPr>
          <w:rFonts w:ascii="arial" w:eastAsia="arial" w:hAnsi="arial" w:cs="arial"/>
          <w:color w:val="000000"/>
          <w:sz w:val="20"/>
          <w:lang w:val="en-US" w:eastAsia="en-US" w:bidi="ar-SA"/>
        </w:rPr>
        <w:t>  Wawanesa argues to succeed, it must prove:</w:t>
      </w:r>
      <w:r>
        <w:rPr>
          <w:rFonts w:ascii="arial" w:eastAsia="arial" w:hAnsi="arial" w:cs="arial"/>
          <w:sz w:val="20"/>
          <w:lang w:val="en-US" w:eastAsia="en-US" w:bidi="ar-SA"/>
        </w:rPr>
        <w:cr/>
      </w:r>
    </w:p>
    <w:p>
      <w:pPr>
        <w:numPr>
          <w:numId w:val="17"/>
        </w:numPr>
        <w:tabs>
          <w:tab w:val="num" w:pos="760"/>
          <w:tab w:val="clear" w:pos="1120"/>
        </w:tabs>
        <w:spacing w:before="120" w:line="260" w:lineRule="atLeast"/>
        <w:ind w:left="760"/>
        <w:jc w:val="both"/>
        <w:rPr>
          <w:rFonts w:ascii="arial" w:eastAsia="arial" w:hAnsi="arial" w:cs="arial"/>
          <w:sz w:val="20"/>
          <w:lang w:val="en-US" w:eastAsia="en-US" w:bidi="ar-SA"/>
        </w:rPr>
      </w:pPr>
      <w:r>
        <w:rPr>
          <w:rFonts w:ascii="arial" w:eastAsia="arial" w:hAnsi="arial" w:cs="arial"/>
          <w:color w:val="000000"/>
          <w:sz w:val="20"/>
          <w:lang w:val="en-US" w:eastAsia="en-US" w:bidi="ar-SA"/>
        </w:rPr>
        <w:t>there was a change material to the risk;</w:t>
      </w:r>
    </w:p>
    <w:p>
      <w:pPr>
        <w:numPr>
          <w:numId w:val="17"/>
        </w:numPr>
        <w:tabs>
          <w:tab w:val="num" w:pos="760"/>
          <w:tab w:val="clear" w:pos="1120"/>
        </w:tabs>
        <w:spacing w:before="120" w:line="260" w:lineRule="atLeast"/>
        <w:ind w:left="760"/>
        <w:jc w:val="both"/>
        <w:rPr>
          <w:rFonts w:ascii="arial" w:eastAsia="arial" w:hAnsi="arial" w:cs="arial"/>
          <w:sz w:val="20"/>
          <w:lang w:val="en-US" w:eastAsia="en-US" w:bidi="ar-SA"/>
        </w:rPr>
      </w:pPr>
      <w:r>
        <w:rPr>
          <w:rFonts w:ascii="arial" w:eastAsia="arial" w:hAnsi="arial" w:cs="arial"/>
          <w:color w:val="000000"/>
          <w:sz w:val="20"/>
          <w:lang w:val="en-US" w:eastAsia="en-US" w:bidi="ar-SA"/>
        </w:rPr>
        <w:t>the change was within the Schellenbergs' control;</w:t>
      </w:r>
    </w:p>
    <w:p>
      <w:pPr>
        <w:numPr>
          <w:numId w:val="17"/>
        </w:numPr>
        <w:tabs>
          <w:tab w:val="num" w:pos="760"/>
          <w:tab w:val="clear" w:pos="1120"/>
        </w:tabs>
        <w:spacing w:before="120" w:line="260" w:lineRule="atLeast"/>
        <w:ind w:left="760"/>
        <w:jc w:val="both"/>
        <w:rPr>
          <w:rFonts w:ascii="arial" w:eastAsia="arial" w:hAnsi="arial" w:cs="arial"/>
          <w:sz w:val="20"/>
          <w:lang w:val="en-US" w:eastAsia="en-US" w:bidi="ar-SA"/>
        </w:rPr>
      </w:pPr>
      <w:r>
        <w:rPr>
          <w:rFonts w:ascii="arial" w:eastAsia="arial" w:hAnsi="arial" w:cs="arial"/>
          <w:color w:val="000000"/>
          <w:sz w:val="20"/>
          <w:lang w:val="en-US" w:eastAsia="en-US" w:bidi="ar-SA"/>
        </w:rPr>
        <w:t>the Schellenbergs had knowledge of the change; and</w:t>
      </w:r>
    </w:p>
    <w:p>
      <w:pPr>
        <w:numPr>
          <w:numId w:val="17"/>
        </w:numPr>
        <w:tabs>
          <w:tab w:val="num" w:pos="760"/>
          <w:tab w:val="clear" w:pos="1120"/>
        </w:tabs>
        <w:spacing w:before="120" w:line="260" w:lineRule="atLeast"/>
        <w:ind w:left="760"/>
        <w:jc w:val="both"/>
        <w:rPr>
          <w:rFonts w:ascii="arial" w:eastAsia="arial" w:hAnsi="arial" w:cs="arial"/>
          <w:sz w:val="20"/>
          <w:lang w:val="en-US" w:eastAsia="en-US" w:bidi="ar-SA"/>
        </w:rPr>
      </w:pPr>
      <w:r>
        <w:rPr>
          <w:rFonts w:ascii="arial" w:eastAsia="arial" w:hAnsi="arial" w:cs="arial"/>
          <w:color w:val="000000"/>
          <w:sz w:val="20"/>
          <w:lang w:val="en-US" w:eastAsia="en-US" w:bidi="ar-SA"/>
        </w:rPr>
        <w:t>they did not notify Wawanesa or Hub (promptly and in writing) of the change.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60</w:t>
      </w:r>
      <w:r>
        <w:rPr>
          <w:rFonts w:ascii="arial" w:eastAsia="arial" w:hAnsi="arial" w:cs="arial"/>
          <w:color w:val="000000"/>
          <w:sz w:val="20"/>
          <w:lang w:val="en-US" w:eastAsia="en-US" w:bidi="ar-SA"/>
        </w:rPr>
        <w:t xml:space="preserve">  The Schellenbergs do not dispute the elements of the test or the meaning of a change material to the risk: a change to the risk that if disclosed would have caused a reasonable insurer to decline the risk or stipulate a higher premium: </w:t>
      </w:r>
      <w:r>
        <w:rPr>
          <w:rFonts w:ascii="arial" w:eastAsia="arial" w:hAnsi="arial" w:cs="arial"/>
          <w:i/>
          <w:color w:val="000000"/>
          <w:sz w:val="20"/>
          <w:lang w:val="en-US" w:eastAsia="en-US" w:bidi="ar-SA"/>
        </w:rPr>
        <w:t>Henwood v. Prudential</w:t>
      </w:r>
      <w:r>
        <w:rPr>
          <w:rFonts w:ascii="arial" w:eastAsia="arial" w:hAnsi="arial" w:cs="arial"/>
          <w:color w:val="000000"/>
          <w:sz w:val="20"/>
          <w:lang w:val="en-US" w:eastAsia="en-US" w:bidi="ar-SA"/>
        </w:rPr>
        <w:t xml:space="preserve">, </w:t>
      </w:r>
      <w:hyperlink r:id="rId209" w:history="1">
        <w:r>
          <w:rPr>
            <w:rFonts w:ascii="arial" w:eastAsia="arial" w:hAnsi="arial" w:cs="arial"/>
            <w:i/>
            <w:color w:val="0077CC"/>
            <w:sz w:val="20"/>
            <w:u w:val="single"/>
            <w:shd w:val="clear" w:color="auto" w:fill="FFFFFF"/>
            <w:lang w:val="en-US" w:eastAsia="en-US" w:bidi="ar-SA"/>
          </w:rPr>
          <w:t>[1967] S.C.R. 720</w:t>
        </w:r>
      </w:hyperlink>
      <w:r>
        <w:rPr>
          <w:rFonts w:ascii="arial" w:eastAsia="arial" w:hAnsi="arial" w:cs="arial"/>
          <w:color w:val="000000"/>
          <w:sz w:val="20"/>
          <w:lang w:val="en-US" w:eastAsia="en-US" w:bidi="ar-SA"/>
        </w:rPr>
        <w:t xml:space="preserve"> at 726-727. They take the position, however, the test should be interpreted to include a requirement that they knew the change in risk was material.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61</w:t>
      </w:r>
      <w:r>
        <w:rPr>
          <w:rFonts w:ascii="arial" w:eastAsia="arial" w:hAnsi="arial" w:cs="arial"/>
          <w:color w:val="000000"/>
          <w:sz w:val="20"/>
          <w:lang w:val="en-US" w:eastAsia="en-US" w:bidi="ar-SA"/>
        </w:rPr>
        <w:t>  Wawanesa asserts statutory condition 4 allows an insurer to terminate coverage where the insured has knowledge of the change alone, not its materiality.</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Materiality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62</w:t>
      </w:r>
      <w:r>
        <w:rPr>
          <w:rFonts w:ascii="arial" w:eastAsia="arial" w:hAnsi="arial" w:cs="arial"/>
          <w:color w:val="000000"/>
          <w:sz w:val="20"/>
          <w:lang w:val="en-US" w:eastAsia="en-US" w:bidi="ar-SA"/>
        </w:rPr>
        <w:t xml:space="preserve">  Before discussing whether the law requires an insured to know the change in risk was material, in determining whether there was a change material to the risk, meaning the insurer acted reasonably, the court can properly consider both the insurer's own practice and whether or not other insurers consider the question to be material: </w:t>
      </w:r>
      <w:r>
        <w:rPr>
          <w:rFonts w:ascii="arial" w:eastAsia="arial" w:hAnsi="arial" w:cs="arial"/>
          <w:i/>
          <w:color w:val="000000"/>
          <w:sz w:val="20"/>
          <w:lang w:val="en-US" w:eastAsia="en-US" w:bidi="ar-SA"/>
        </w:rPr>
        <w:t>Henwood</w:t>
      </w:r>
      <w:r>
        <w:rPr>
          <w:rFonts w:ascii="arial" w:eastAsia="arial" w:hAnsi="arial" w:cs="arial"/>
          <w:color w:val="000000"/>
          <w:sz w:val="20"/>
          <w:lang w:val="en-US" w:eastAsia="en-US" w:bidi="ar-SA"/>
        </w:rPr>
        <w:t xml:space="preserve"> at 726; and </w:t>
      </w:r>
      <w:r>
        <w:rPr>
          <w:rFonts w:ascii="arial" w:eastAsia="arial" w:hAnsi="arial" w:cs="arial"/>
          <w:i/>
          <w:color w:val="000000"/>
          <w:sz w:val="20"/>
          <w:lang w:val="en-US" w:eastAsia="en-US" w:bidi="ar-SA"/>
        </w:rPr>
        <w:t>Kehoe v. British Columbia Insurance Co</w:t>
      </w:r>
      <w:r>
        <w:rPr>
          <w:rFonts w:ascii="arial" w:eastAsia="arial" w:hAnsi="arial" w:cs="arial"/>
          <w:color w:val="000000"/>
          <w:sz w:val="20"/>
          <w:lang w:val="en-US" w:eastAsia="en-US" w:bidi="ar-SA"/>
        </w:rPr>
        <w:t xml:space="preserve">. </w:t>
      </w:r>
      <w:hyperlink r:id="rId210" w:history="1">
        <w:r>
          <w:rPr>
            <w:rFonts w:ascii="arial" w:eastAsia="arial" w:hAnsi="arial" w:cs="arial"/>
            <w:i/>
            <w:color w:val="0077CC"/>
            <w:sz w:val="20"/>
            <w:u w:val="single"/>
            <w:shd w:val="clear" w:color="auto" w:fill="FFFFFF"/>
            <w:lang w:val="en-US" w:eastAsia="en-US" w:bidi="ar-SA"/>
          </w:rPr>
          <w:t>(1993), 28 B.C.A.C. 68</w:t>
        </w:r>
      </w:hyperlink>
      <w:r>
        <w:rPr>
          <w:rFonts w:ascii="arial" w:eastAsia="arial" w:hAnsi="arial" w:cs="arial"/>
          <w:color w:val="000000"/>
          <w:sz w:val="20"/>
          <w:lang w:val="en-US" w:eastAsia="en-US" w:bidi="ar-SA"/>
        </w:rPr>
        <w:t xml:space="preserve"> (C.A.). Materiality is a question of fact: </w:t>
      </w:r>
      <w:r>
        <w:rPr>
          <w:rFonts w:ascii="arial" w:eastAsia="arial" w:hAnsi="arial" w:cs="arial"/>
          <w:i/>
          <w:color w:val="000000"/>
          <w:sz w:val="20"/>
          <w:lang w:val="en-US" w:eastAsia="en-US" w:bidi="ar-SA"/>
        </w:rPr>
        <w:t>Insurance Act</w:t>
      </w:r>
      <w:r>
        <w:rPr>
          <w:rFonts w:ascii="arial" w:eastAsia="arial" w:hAnsi="arial" w:cs="arial"/>
          <w:color w:val="000000"/>
          <w:sz w:val="20"/>
          <w:lang w:val="en-US" w:eastAsia="en-US" w:bidi="ar-SA"/>
        </w:rPr>
        <w:t xml:space="preserve">, </w:t>
      </w:r>
      <w:hyperlink r:id="rId211" w:history="1">
        <w:r>
          <w:rPr>
            <w:rFonts w:ascii="arial" w:eastAsia="arial" w:hAnsi="arial" w:cs="arial"/>
            <w:i/>
            <w:color w:val="0077CC"/>
            <w:sz w:val="20"/>
            <w:u w:val="single"/>
            <w:shd w:val="clear" w:color="auto" w:fill="FFFFFF"/>
            <w:lang w:val="en-US" w:eastAsia="en-US" w:bidi="ar-SA"/>
          </w:rPr>
          <w:t>R.S.B.C. 2012, c. 1, s. 17</w:t>
        </w:r>
      </w:hyperlink>
      <w:r>
        <w:rPr>
          <w:rFonts w:ascii="arial" w:eastAsia="arial" w:hAnsi="arial" w:cs="arial"/>
          <w:color w:val="000000"/>
          <w:sz w:val="20"/>
          <w:lang w:val="en-US" w:eastAsia="en-US" w:bidi="ar-SA"/>
        </w:rPr>
        <w:t>(2).</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63</w:t>
      </w:r>
      <w:r>
        <w:rPr>
          <w:rFonts w:ascii="arial" w:eastAsia="arial" w:hAnsi="arial" w:cs="arial"/>
          <w:color w:val="000000"/>
          <w:sz w:val="20"/>
          <w:lang w:val="en-US" w:eastAsia="en-US" w:bidi="ar-SA"/>
        </w:rPr>
        <w:t>  Wawanesa relies on the opinion evidence of Jonathan Willoughby, an underwriting expert, as well as the evidence of Ms. Strocel to prove materiality.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64</w:t>
      </w:r>
      <w:r>
        <w:rPr>
          <w:rFonts w:ascii="arial" w:eastAsia="arial" w:hAnsi="arial" w:cs="arial"/>
          <w:color w:val="000000"/>
          <w:sz w:val="20"/>
          <w:lang w:val="en-US" w:eastAsia="en-US" w:bidi="ar-SA"/>
        </w:rPr>
        <w:t>  In his report, Mr. Willoughby opined that the presence of a cannabis grow operation at a residential property, regardless of its legal status, would be considered material to an underwriter based on multiple increased risks, including:</w:t>
      </w:r>
      <w:r>
        <w:rPr>
          <w:rFonts w:ascii="arial" w:eastAsia="arial" w:hAnsi="arial" w:cs="arial"/>
          <w:sz w:val="20"/>
          <w:lang w:val="en-US" w:eastAsia="en-US" w:bidi="ar-SA"/>
        </w:rPr>
        <w:cr/>
      </w:r>
    </w:p>
    <w:p>
      <w:pPr>
        <w:numPr>
          <w:numId w:val="18"/>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an increase risk of fire damage from potential modifications to the electrical system, the use of heat-emitting grow lights and the presence of ventilation systems that could spread fire through a building;</w:t>
      </w:r>
    </w:p>
    <w:p>
      <w:pPr>
        <w:numPr>
          <w:numId w:val="1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an increased risk of water damages from the high volume of water needed for growing, the installation of potential irrigation systems and or the modification of existing plumbing systems;</w:t>
      </w:r>
    </w:p>
    <w:p>
      <w:pPr>
        <w:numPr>
          <w:numId w:val="2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an increased risk of mold damage from condensation emitted form the plants;</w:t>
      </w:r>
    </w:p>
    <w:p>
      <w:pPr>
        <w:numPr>
          <w:numId w:val="2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an increase risk of theft loss or damage due the valuable nature of the plants and product potentially stored at the property; and</w:t>
      </w:r>
    </w:p>
    <w:p>
      <w:pPr>
        <w:numPr>
          <w:numId w:val="2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an increase risk of from third party exposure to fumes, vapours or product, potential injuries inflicted by guard dogs, and from the possibilities of mold, water and fire.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65</w:t>
      </w:r>
      <w:r>
        <w:rPr>
          <w:rFonts w:ascii="arial" w:eastAsia="arial" w:hAnsi="arial" w:cs="arial"/>
          <w:color w:val="000000"/>
          <w:sz w:val="20"/>
          <w:lang w:val="en-US" w:eastAsia="en-US" w:bidi="ar-SA"/>
        </w:rPr>
        <w:t>  He also expressed the opinion "most insurers", would not agree to insure a property containing a grow operation with 310 cannabis plants, writing:</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risks explained previously would be considered too great and unpredictable to do so with any confidence around sustained insurance profitability. Such risks would be considered more suitable for placement with a speciality insurer with more experience in the unique area, and more volume of such business to support the risks involved.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66</w:t>
      </w:r>
      <w:r>
        <w:rPr>
          <w:rFonts w:ascii="arial" w:eastAsia="arial" w:hAnsi="arial" w:cs="arial"/>
          <w:color w:val="000000"/>
          <w:sz w:val="20"/>
          <w:lang w:val="en-US" w:eastAsia="en-US" w:bidi="ar-SA"/>
        </w:rPr>
        <w:t xml:space="preserve">  During his testimony, he clarified that by "most insurers" he meant general property and casualty insurers, such as Wawanesa. He also testified he was not aware of any general insurer in Canada that would take on the risk of any cannabis grow operation, or even the presence of a </w:t>
      </w:r>
      <w:r>
        <w:rPr>
          <w:rFonts w:ascii="arial" w:eastAsia="arial" w:hAnsi="arial" w:cs="arial"/>
          <w:i/>
          <w:color w:val="000000"/>
          <w:sz w:val="20"/>
          <w:lang w:val="en-US" w:eastAsia="en-US" w:bidi="ar-SA"/>
        </w:rPr>
        <w:t>single</w:t>
      </w:r>
      <w:r>
        <w:rPr>
          <w:rFonts w:ascii="arial" w:eastAsia="arial" w:hAnsi="arial" w:cs="arial"/>
          <w:color w:val="000000"/>
          <w:sz w:val="20"/>
          <w:lang w:val="en-US" w:eastAsia="en-US" w:bidi="ar-SA"/>
        </w:rPr>
        <w:t xml:space="preserve"> marijuana plant, despite all the "press" around the legalization of marijuana. He indicated there are speciality insurers "through the Lloyd's market" that may. His comments regarding a single plant raise an obvious concern now that the </w:t>
      </w:r>
      <w:r>
        <w:rPr>
          <w:rFonts w:ascii="arial" w:eastAsia="arial" w:hAnsi="arial" w:cs="arial"/>
          <w:i/>
          <w:color w:val="000000"/>
          <w:sz w:val="20"/>
          <w:lang w:val="en-US" w:eastAsia="en-US" w:bidi="ar-SA"/>
        </w:rPr>
        <w:t>Cannabis Act</w:t>
      </w:r>
      <w:r>
        <w:rPr>
          <w:rFonts w:ascii="arial" w:eastAsia="arial" w:hAnsi="arial" w:cs="arial"/>
          <w:color w:val="000000"/>
          <w:sz w:val="20"/>
          <w:lang w:val="en-US" w:eastAsia="en-US" w:bidi="ar-SA"/>
        </w:rPr>
        <w:t xml:space="preserve">, </w:t>
      </w:r>
      <w:hyperlink r:id="rId212" w:history="1">
        <w:r>
          <w:rPr>
            <w:rFonts w:ascii="arial" w:eastAsia="arial" w:hAnsi="arial" w:cs="arial"/>
            <w:i/>
            <w:color w:val="0077CC"/>
            <w:sz w:val="20"/>
            <w:u w:val="single"/>
            <w:shd w:val="clear" w:color="auto" w:fill="FFFFFF"/>
            <w:lang w:val="en-US" w:eastAsia="en-US" w:bidi="ar-SA"/>
          </w:rPr>
          <w:t>S.C. 2018, c. 16</w:t>
        </w:r>
      </w:hyperlink>
      <w:r>
        <w:rPr>
          <w:rFonts w:ascii="arial" w:eastAsia="arial" w:hAnsi="arial" w:cs="arial"/>
          <w:color w:val="000000"/>
          <w:sz w:val="20"/>
          <w:lang w:val="en-US" w:eastAsia="en-US" w:bidi="ar-SA"/>
        </w:rPr>
        <w:t>, permits anyone to grow up to four marijuana plants (s. 8(e)).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67</w:t>
      </w:r>
      <w:r>
        <w:rPr>
          <w:rFonts w:ascii="arial" w:eastAsia="arial" w:hAnsi="arial" w:cs="arial"/>
          <w:color w:val="000000"/>
          <w:sz w:val="20"/>
          <w:lang w:val="en-US" w:eastAsia="en-US" w:bidi="ar-SA"/>
        </w:rPr>
        <w:t>  Regarding changes to the electrical system, Mr. Willoughby's opinion was an increase from 125 to 400 amps would be considered material to an underwriter, stating much as Ms. Strocel did, that a 400 amp service would be viewed as substantially more than is usually needed to maintain a "normal family home", and therefore prompt further questions, if disclosed. Upon learning the amp system was needed to support a grow operation, coverage would not be offered.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68</w:t>
      </w:r>
      <w:r>
        <w:rPr>
          <w:rFonts w:ascii="arial" w:eastAsia="arial" w:hAnsi="arial" w:cs="arial"/>
          <w:color w:val="000000"/>
          <w:sz w:val="20"/>
          <w:lang w:val="en-US" w:eastAsia="en-US" w:bidi="ar-SA"/>
        </w:rPr>
        <w:t>  The Schellenbergs provided no evidence regarding materiality, nor did they argue Wawanesa's practice of refusing to insure federally licensed grow operations was unreasonable.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69</w:t>
      </w:r>
      <w:r>
        <w:rPr>
          <w:rFonts w:ascii="arial" w:eastAsia="arial" w:hAnsi="arial" w:cs="arial"/>
          <w:color w:val="000000"/>
          <w:sz w:val="20"/>
          <w:lang w:val="en-US" w:eastAsia="en-US" w:bidi="ar-SA"/>
        </w:rPr>
        <w:t>  Based on the evidence of Ms. Strocel, Mr. Willoughby and the evidence regarding the nature of the grow operation itself, I am entirely satisfied its presence in the outbuilding was a change that was material to the risk.</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Knowledge of the Insured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70</w:t>
      </w:r>
      <w:r>
        <w:rPr>
          <w:rFonts w:ascii="arial" w:eastAsia="arial" w:hAnsi="arial" w:cs="arial"/>
          <w:color w:val="000000"/>
          <w:sz w:val="20"/>
          <w:lang w:val="en-US" w:eastAsia="en-US" w:bidi="ar-SA"/>
        </w:rPr>
        <w:t>  This leaves the less straight forward issue of whether Wawanesa must also prove the Schellenbergs knew or ought to have know about the materiality of the change, based on the "knowledge of the insured" requirement in statutory condition 4(1)(b).</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71</w:t>
      </w:r>
      <w:r>
        <w:rPr>
          <w:rFonts w:ascii="arial" w:eastAsia="arial" w:hAnsi="arial" w:cs="arial"/>
          <w:color w:val="000000"/>
          <w:sz w:val="20"/>
          <w:lang w:val="en-US" w:eastAsia="en-US" w:bidi="ar-SA"/>
        </w:rPr>
        <w:t xml:space="preserve">  In support of their positions, both Wawanesa and the Schellenbergs initially relied upon the principle of </w:t>
      </w:r>
      <w:r>
        <w:rPr>
          <w:rFonts w:ascii="arial" w:eastAsia="arial" w:hAnsi="arial" w:cs="arial"/>
          <w:i/>
          <w:color w:val="000000"/>
          <w:sz w:val="20"/>
          <w:lang w:val="en-US" w:eastAsia="en-US" w:bidi="ar-SA"/>
        </w:rPr>
        <w:t>uberrima fides</w:t>
      </w:r>
      <w:r>
        <w:rPr>
          <w:rFonts w:ascii="arial" w:eastAsia="arial" w:hAnsi="arial" w:cs="arial"/>
          <w:color w:val="000000"/>
          <w:sz w:val="20"/>
          <w:lang w:val="en-US" w:eastAsia="en-US" w:bidi="ar-SA"/>
        </w:rPr>
        <w:t xml:space="preserve"> or utmost good faith as discussed by Lord Mansfield in </w:t>
      </w:r>
      <w:r>
        <w:rPr>
          <w:rFonts w:ascii="arial" w:eastAsia="arial" w:hAnsi="arial" w:cs="arial"/>
          <w:i/>
          <w:color w:val="000000"/>
          <w:sz w:val="20"/>
          <w:lang w:val="en-US" w:eastAsia="en-US" w:bidi="ar-SA"/>
        </w:rPr>
        <w:t>Carter v. Boehm</w:t>
      </w:r>
      <w:r>
        <w:rPr>
          <w:rFonts w:ascii="arial" w:eastAsia="arial" w:hAnsi="arial" w:cs="arial"/>
          <w:color w:val="000000"/>
          <w:sz w:val="20"/>
          <w:lang w:val="en-US" w:eastAsia="en-US" w:bidi="ar-SA"/>
        </w:rPr>
        <w:t xml:space="preserve"> (1766), 3 Burr. 1905 (U.K.K.B.):</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1909 ... Insurance is a contract upon speculation. The special facts upon which the contingent chance is to be computed, lie most commonly in the knowledge of the insured only: the under-writer trusts to his representation, and proceeds upon confidence and does not keep back any circumstance in his knowledge, to mislead the underwriter into a belief that the circumstance does not exist, and to induce him to estimate the risque, as if it did not exist. Good faith forbids either party by concealing what he privately knows, to draw the other into a bargain from his ignorance of that fact, and his believing to the contrary.</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keeping back such circumstance is a fraud, and therefore the policy is void. Although the suppression should happen through mistake, without any fraudulent intention; yet still the under-writer is deceived, and the policy is void; because the risque run is really different from the risque understood and intended to be run, at the time of the agreement.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policy would be equally be void against the under-writer, if he concealed ... .</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1910 The governing principle is applicable to all contracts and dealings.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Good faith forbids either party by concealing what he privately knows, to draw the other into the bargain, from his ignorance of that fact, and his believing the contrary.</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But either party may be innocently silent, as to grounds open to both, to exercise their judgment upon. ...</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This definition of concealment, restrained to the efficient motives and precise subject of any contract, will generally hold to make it void, in favour of the party misled by his ignorance of the thing concealed.</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There are many matters, as to which the insured may be innocently silent - he need not mention what the under-writer knows ...</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insured need not mention what the under-writer ought to know; what he takes upon himself the knowledge of; or what he waves being informed of.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72</w:t>
      </w:r>
      <w:r>
        <w:rPr>
          <w:rFonts w:ascii="arial" w:eastAsia="arial" w:hAnsi="arial" w:cs="arial"/>
          <w:color w:val="000000"/>
          <w:sz w:val="20"/>
          <w:lang w:val="en-US" w:eastAsia="en-US" w:bidi="ar-SA"/>
        </w:rPr>
        <w:t>  The Schellenbergs argued they did not breach the obligation to disclose in utmost good faith because they were "innocently silent" about the grow operation as well as the upgrade to the electrical system, not knowing either change would be material to Wawanesa.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73</w:t>
      </w:r>
      <w:r>
        <w:rPr>
          <w:rFonts w:ascii="arial" w:eastAsia="arial" w:hAnsi="arial" w:cs="arial"/>
          <w:color w:val="000000"/>
          <w:sz w:val="20"/>
          <w:lang w:val="en-US" w:eastAsia="en-US" w:bidi="ar-SA"/>
        </w:rPr>
        <w:t xml:space="preserve">  This is not how I understand the words of Lord Mansfield, nor is it how the principle of </w:t>
      </w:r>
      <w:r>
        <w:rPr>
          <w:rFonts w:ascii="arial" w:eastAsia="arial" w:hAnsi="arial" w:cs="arial"/>
          <w:i/>
          <w:color w:val="000000"/>
          <w:sz w:val="20"/>
          <w:lang w:val="en-US" w:eastAsia="en-US" w:bidi="ar-SA"/>
        </w:rPr>
        <w:t>uberrima fides</w:t>
      </w:r>
      <w:r>
        <w:rPr>
          <w:rFonts w:ascii="arial" w:eastAsia="arial" w:hAnsi="arial" w:cs="arial"/>
          <w:color w:val="000000"/>
          <w:sz w:val="20"/>
          <w:lang w:val="en-US" w:eastAsia="en-US" w:bidi="ar-SA"/>
        </w:rPr>
        <w:t xml:space="preserve"> has been interpreted and applied. In </w:t>
      </w:r>
      <w:r>
        <w:rPr>
          <w:rFonts w:ascii="arial" w:eastAsia="arial" w:hAnsi="arial" w:cs="arial"/>
          <w:i/>
          <w:color w:val="000000"/>
          <w:sz w:val="20"/>
          <w:lang w:val="en-US" w:eastAsia="en-US" w:bidi="ar-SA"/>
        </w:rPr>
        <w:t>Lafarge Canada Inc. v. Little Mountain Excavating Ltd.</w:t>
      </w:r>
      <w:r>
        <w:rPr>
          <w:rFonts w:ascii="arial" w:eastAsia="arial" w:hAnsi="arial" w:cs="arial"/>
          <w:color w:val="000000"/>
          <w:sz w:val="20"/>
          <w:lang w:val="en-US" w:eastAsia="en-US" w:bidi="ar-SA"/>
        </w:rPr>
        <w:t xml:space="preserve">, </w:t>
      </w:r>
      <w:hyperlink r:id="rId213" w:history="1">
        <w:r>
          <w:rPr>
            <w:rFonts w:ascii="arial" w:eastAsia="arial" w:hAnsi="arial" w:cs="arial"/>
            <w:i/>
            <w:color w:val="0077CC"/>
            <w:sz w:val="20"/>
            <w:u w:val="single"/>
            <w:shd w:val="clear" w:color="auto" w:fill="FFFFFF"/>
            <w:lang w:val="en-US" w:eastAsia="en-US" w:bidi="ar-SA"/>
          </w:rPr>
          <w:t>2001 BCSC 218</w:t>
        </w:r>
      </w:hyperlink>
      <w:r>
        <w:rPr>
          <w:rFonts w:ascii="arial" w:eastAsia="arial" w:hAnsi="arial" w:cs="arial"/>
          <w:color w:val="000000"/>
          <w:sz w:val="20"/>
          <w:lang w:val="en-US" w:eastAsia="en-US" w:bidi="ar-SA"/>
        </w:rPr>
        <w:t xml:space="preserve"> at para. 25, for example, the principle provided the basis for quite the opposite conclusion, that is, the reason for the insured's failure to disclose material information, whether deliberate or inadvertent, was irrelevant, along with </w:t>
      </w:r>
      <w:r>
        <w:rPr>
          <w:rFonts w:ascii="arial" w:eastAsia="arial" w:hAnsi="arial" w:cs="arial"/>
          <w:i/>
          <w:color w:val="000000"/>
          <w:sz w:val="20"/>
          <w:lang w:val="en-US" w:eastAsia="en-US" w:bidi="ar-SA"/>
        </w:rPr>
        <w:t>Railway Passengers' Assurance Co. v. Standard Life Assurance Co</w:t>
      </w:r>
      <w:r>
        <w:rPr>
          <w:rFonts w:ascii="arial" w:eastAsia="arial" w:hAnsi="arial" w:cs="arial"/>
          <w:color w:val="000000"/>
          <w:sz w:val="20"/>
          <w:lang w:val="en-US" w:eastAsia="en-US" w:bidi="ar-SA"/>
        </w:rPr>
        <w:t xml:space="preserve">. </w:t>
      </w:r>
      <w:hyperlink r:id="rId214" w:history="1">
        <w:r>
          <w:rPr>
            <w:rFonts w:ascii="arial" w:eastAsia="arial" w:hAnsi="arial" w:cs="arial"/>
            <w:i/>
            <w:color w:val="0077CC"/>
            <w:sz w:val="20"/>
            <w:u w:val="single"/>
            <w:shd w:val="clear" w:color="auto" w:fill="FFFFFF"/>
            <w:lang w:val="en-US" w:eastAsia="en-US" w:bidi="ar-SA"/>
          </w:rPr>
          <w:t>(1921), 63 S.C.R. 79</w:t>
        </w:r>
      </w:hyperlink>
      <w:r>
        <w:rPr>
          <w:rFonts w:ascii="arial" w:eastAsia="arial" w:hAnsi="arial" w:cs="arial"/>
          <w:color w:val="000000"/>
          <w:sz w:val="20"/>
          <w:lang w:val="en-US" w:eastAsia="en-US" w:bidi="ar-SA"/>
        </w:rPr>
        <w:t xml:space="preserve"> at 97-98.</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74</w:t>
      </w:r>
      <w:r>
        <w:rPr>
          <w:rFonts w:ascii="arial" w:eastAsia="arial" w:hAnsi="arial" w:cs="arial"/>
          <w:color w:val="000000"/>
          <w:sz w:val="20"/>
          <w:lang w:val="en-US" w:eastAsia="en-US" w:bidi="ar-SA"/>
        </w:rPr>
        <w:t xml:space="preserve">  Although Wawanesa relies on </w:t>
      </w:r>
      <w:r>
        <w:rPr>
          <w:rFonts w:ascii="arial" w:eastAsia="arial" w:hAnsi="arial" w:cs="arial"/>
          <w:i/>
          <w:color w:val="000000"/>
          <w:sz w:val="20"/>
          <w:lang w:val="en-US" w:eastAsia="en-US" w:bidi="ar-SA"/>
        </w:rPr>
        <w:t>Lafarge</w:t>
      </w:r>
      <w:r>
        <w:rPr>
          <w:rFonts w:ascii="arial" w:eastAsia="arial" w:hAnsi="arial" w:cs="arial"/>
          <w:color w:val="000000"/>
          <w:sz w:val="20"/>
          <w:lang w:val="en-US" w:eastAsia="en-US" w:bidi="ar-SA"/>
        </w:rPr>
        <w:t xml:space="preserve"> for this very proposition, the decision is of limited assistance here. The case involved a commercial third party liability policy voided by the insurer due to a misrepresentation in the initial application, not a material change in risk. Significantly, the policy did not include the statutory conditions, which at the time were specific to fire insurance. Later, the </w:t>
      </w:r>
      <w:r>
        <w:rPr>
          <w:rFonts w:ascii="arial" w:eastAsia="arial" w:hAnsi="arial" w:cs="arial"/>
          <w:i/>
          <w:color w:val="000000"/>
          <w:sz w:val="20"/>
          <w:lang w:val="en-US" w:eastAsia="en-US" w:bidi="ar-SA"/>
        </w:rPr>
        <w:t>Insurance Amendment Act</w:t>
      </w:r>
      <w:r>
        <w:rPr>
          <w:rFonts w:ascii="arial" w:eastAsia="arial" w:hAnsi="arial" w:cs="arial"/>
          <w:color w:val="000000"/>
          <w:sz w:val="20"/>
          <w:lang w:val="en-US" w:eastAsia="en-US" w:bidi="ar-SA"/>
        </w:rPr>
        <w:t>, 2009 S.B.C. c. 16 made them applicable to a broad range of policies.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75</w:t>
      </w:r>
      <w:r>
        <w:rPr>
          <w:rFonts w:ascii="arial" w:eastAsia="arial" w:hAnsi="arial" w:cs="arial"/>
          <w:color w:val="000000"/>
          <w:sz w:val="20"/>
          <w:lang w:val="en-US" w:eastAsia="en-US" w:bidi="ar-SA"/>
        </w:rPr>
        <w:t xml:space="preserve">  Furthermore, </w:t>
      </w:r>
      <w:r>
        <w:rPr>
          <w:rFonts w:ascii="arial" w:eastAsia="arial" w:hAnsi="arial" w:cs="arial"/>
          <w:i/>
          <w:color w:val="000000"/>
          <w:sz w:val="20"/>
          <w:lang w:val="en-US" w:eastAsia="en-US" w:bidi="ar-SA"/>
        </w:rPr>
        <w:t>Watkins v. Portage La Prairie Mutual Insurance Co</w:t>
      </w:r>
      <w:r>
        <w:rPr>
          <w:rFonts w:ascii="arial" w:eastAsia="arial" w:hAnsi="arial" w:cs="arial"/>
          <w:color w:val="000000"/>
          <w:sz w:val="20"/>
          <w:lang w:val="en-US" w:eastAsia="en-US" w:bidi="ar-SA"/>
        </w:rPr>
        <w:t xml:space="preserve">. </w:t>
      </w:r>
      <w:hyperlink r:id="rId215" w:history="1">
        <w:r>
          <w:rPr>
            <w:rFonts w:ascii="arial" w:eastAsia="arial" w:hAnsi="arial" w:cs="arial"/>
            <w:i/>
            <w:color w:val="0077CC"/>
            <w:sz w:val="20"/>
            <w:u w:val="single"/>
            <w:shd w:val="clear" w:color="auto" w:fill="FFFFFF"/>
            <w:lang w:val="en-US" w:eastAsia="en-US" w:bidi="ar-SA"/>
          </w:rPr>
          <w:t>[1986] B.C.J. No. 598</w:t>
        </w:r>
      </w:hyperlink>
      <w:r>
        <w:rPr>
          <w:rFonts w:ascii="arial" w:eastAsia="arial" w:hAnsi="arial" w:cs="arial"/>
          <w:color w:val="000000"/>
          <w:sz w:val="20"/>
          <w:lang w:val="en-US" w:eastAsia="en-US" w:bidi="ar-SA"/>
        </w:rPr>
        <w:t xml:space="preserve"> (B.C.C.A.) indicates that statutory condition 4 ousted the common law duty to notify an insurer of a material change in risk (at para. 23, Hutcheon J.A.).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76</w:t>
      </w:r>
      <w:r>
        <w:rPr>
          <w:rFonts w:ascii="arial" w:eastAsia="arial" w:hAnsi="arial" w:cs="arial"/>
          <w:color w:val="000000"/>
          <w:sz w:val="20"/>
          <w:lang w:val="en-US" w:eastAsia="en-US" w:bidi="ar-SA"/>
        </w:rPr>
        <w:t xml:space="preserve">  Wawanesa also relies upon </w:t>
      </w:r>
      <w:r>
        <w:rPr>
          <w:rFonts w:ascii="arial" w:eastAsia="arial" w:hAnsi="arial" w:cs="arial"/>
          <w:i/>
          <w:color w:val="000000"/>
          <w:sz w:val="20"/>
          <w:lang w:val="en-US" w:eastAsia="en-US" w:bidi="ar-SA"/>
        </w:rPr>
        <w:t>Davidson v. Wawanesa Insurance Company</w:t>
      </w:r>
      <w:r>
        <w:rPr>
          <w:rFonts w:ascii="arial" w:eastAsia="arial" w:hAnsi="arial" w:cs="arial"/>
          <w:color w:val="000000"/>
          <w:sz w:val="20"/>
          <w:lang w:val="en-US" w:eastAsia="en-US" w:bidi="ar-SA"/>
        </w:rPr>
        <w:t xml:space="preserve">, </w:t>
      </w:r>
      <w:hyperlink r:id="rId216" w:history="1">
        <w:r>
          <w:rPr>
            <w:rFonts w:ascii="arial" w:eastAsia="arial" w:hAnsi="arial" w:cs="arial"/>
            <w:i/>
            <w:color w:val="0077CC"/>
            <w:sz w:val="20"/>
            <w:u w:val="single"/>
            <w:shd w:val="clear" w:color="auto" w:fill="FFFFFF"/>
            <w:lang w:val="en-US" w:eastAsia="en-US" w:bidi="ar-SA"/>
          </w:rPr>
          <w:t>2015 BCSC 1383</w:t>
        </w:r>
      </w:hyperlink>
      <w:r>
        <w:rPr>
          <w:rFonts w:ascii="arial" w:eastAsia="arial" w:hAnsi="arial" w:cs="arial"/>
          <w:color w:val="000000"/>
          <w:sz w:val="20"/>
          <w:lang w:val="en-US" w:eastAsia="en-US" w:bidi="ar-SA"/>
        </w:rPr>
        <w:t xml:space="preserve">, to argue statutory condition 4 does not require an insurer to establish the insured knew the change in risk was material. In </w:t>
      </w:r>
      <w:r>
        <w:rPr>
          <w:rFonts w:ascii="arial" w:eastAsia="arial" w:hAnsi="arial" w:cs="arial"/>
          <w:i/>
          <w:color w:val="000000"/>
          <w:sz w:val="20"/>
          <w:lang w:val="en-US" w:eastAsia="en-US" w:bidi="ar-SA"/>
        </w:rPr>
        <w:t>Davidson</w:t>
      </w:r>
      <w:r>
        <w:rPr>
          <w:rFonts w:ascii="arial" w:eastAsia="arial" w:hAnsi="arial" w:cs="arial"/>
          <w:color w:val="000000"/>
          <w:sz w:val="20"/>
          <w:lang w:val="en-US" w:eastAsia="en-US" w:bidi="ar-SA"/>
        </w:rPr>
        <w:t>, arson caused a fire that destroyed the plaintiff's house, the day after police "raided" it and found a marijuana grow operation, stolen property and illegal firearms. The plaintiff had obtained home insurance a few years earlier and then renewed the policy every year. He was not living there at the time of the fire and said he had no knowledge of the illegal activities.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77</w:t>
      </w:r>
      <w:r>
        <w:rPr>
          <w:rFonts w:ascii="arial" w:eastAsia="arial" w:hAnsi="arial" w:cs="arial"/>
          <w:color w:val="000000"/>
          <w:sz w:val="20"/>
          <w:lang w:val="en-US" w:eastAsia="en-US" w:bidi="ar-SA"/>
        </w:rPr>
        <w:t xml:space="preserve">  The issues in </w:t>
      </w:r>
      <w:r>
        <w:rPr>
          <w:rFonts w:ascii="arial" w:eastAsia="arial" w:hAnsi="arial" w:cs="arial"/>
          <w:i/>
          <w:color w:val="000000"/>
          <w:sz w:val="20"/>
          <w:lang w:val="en-US" w:eastAsia="en-US" w:bidi="ar-SA"/>
        </w:rPr>
        <w:t>Davidson</w:t>
      </w:r>
      <w:r>
        <w:rPr>
          <w:rFonts w:ascii="arial" w:eastAsia="arial" w:hAnsi="arial" w:cs="arial"/>
          <w:color w:val="000000"/>
          <w:sz w:val="20"/>
          <w:lang w:val="en-US" w:eastAsia="en-US" w:bidi="ar-SA"/>
        </w:rPr>
        <w:t xml:space="preserve"> were broader than they are here, including not only whether the plaintiff had breached the policy disentitling him to coverage, but also whether the loss was covered by the policy which had a principal residence provision and a grow operation exclusion. Regarding the first issue, the insurer alleged the plaintiff's failure to disclose the illegal activities or alternatively, notify it when they arose, constituted a material misrepresentation.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78</w:t>
      </w:r>
      <w:r>
        <w:rPr>
          <w:rFonts w:ascii="arial" w:eastAsia="arial" w:hAnsi="arial" w:cs="arial"/>
          <w:color w:val="000000"/>
          <w:sz w:val="20"/>
          <w:lang w:val="en-US" w:eastAsia="en-US" w:bidi="ar-SA"/>
        </w:rPr>
        <w:t xml:space="preserve">  The trial judge in </w:t>
      </w:r>
      <w:r>
        <w:rPr>
          <w:rFonts w:ascii="arial" w:eastAsia="arial" w:hAnsi="arial" w:cs="arial"/>
          <w:i/>
          <w:color w:val="000000"/>
          <w:sz w:val="20"/>
          <w:lang w:val="en-US" w:eastAsia="en-US" w:bidi="ar-SA"/>
        </w:rPr>
        <w:t>Davidson</w:t>
      </w:r>
      <w:r>
        <w:rPr>
          <w:rFonts w:ascii="arial" w:eastAsia="arial" w:hAnsi="arial" w:cs="arial"/>
          <w:color w:val="000000"/>
          <w:sz w:val="20"/>
          <w:lang w:val="en-US" w:eastAsia="en-US" w:bidi="ar-SA"/>
        </w:rPr>
        <w:t xml:space="preserve"> referred to but did not interpret or discuss statutory conditions 1 and 4, relying upon </w:t>
      </w:r>
      <w:r>
        <w:rPr>
          <w:rFonts w:ascii="arial" w:eastAsia="arial" w:hAnsi="arial" w:cs="arial"/>
          <w:i/>
          <w:color w:val="000000"/>
          <w:sz w:val="20"/>
          <w:lang w:val="en-US" w:eastAsia="en-US" w:bidi="ar-SA"/>
        </w:rPr>
        <w:t>Sayle v. Jevco Insurance Co</w:t>
      </w:r>
      <w:r>
        <w:rPr>
          <w:rFonts w:ascii="arial" w:eastAsia="arial" w:hAnsi="arial" w:cs="arial"/>
          <w:color w:val="000000"/>
          <w:sz w:val="20"/>
          <w:lang w:val="en-US" w:eastAsia="en-US" w:bidi="ar-SA"/>
        </w:rPr>
        <w:t xml:space="preserve">. </w:t>
      </w:r>
      <w:hyperlink r:id="rId217" w:history="1">
        <w:r>
          <w:rPr>
            <w:rFonts w:ascii="arial" w:eastAsia="arial" w:hAnsi="arial" w:cs="arial"/>
            <w:i/>
            <w:color w:val="0077CC"/>
            <w:sz w:val="20"/>
            <w:u w:val="single"/>
            <w:shd w:val="clear" w:color="auto" w:fill="FFFFFF"/>
            <w:lang w:val="en-US" w:eastAsia="en-US" w:bidi="ar-SA"/>
          </w:rPr>
          <w:t>(1985), 58 B.C.L.R. 122</w:t>
        </w:r>
      </w:hyperlink>
      <w:r>
        <w:rPr>
          <w:rFonts w:ascii="arial" w:eastAsia="arial" w:hAnsi="arial" w:cs="arial"/>
          <w:color w:val="000000"/>
          <w:sz w:val="20"/>
          <w:lang w:val="en-US" w:eastAsia="en-US" w:bidi="ar-SA"/>
        </w:rPr>
        <w:t xml:space="preserve"> at 126 (S.C.), aff'd </w:t>
      </w:r>
      <w:hyperlink r:id="rId218" w:history="1">
        <w:r>
          <w:rPr>
            <w:rFonts w:ascii="arial" w:eastAsia="arial" w:hAnsi="arial" w:cs="arial"/>
            <w:i/>
            <w:color w:val="0077CC"/>
            <w:sz w:val="20"/>
            <w:u w:val="single"/>
            <w:shd w:val="clear" w:color="auto" w:fill="FFFFFF"/>
            <w:lang w:val="en-US" w:eastAsia="en-US" w:bidi="ar-SA"/>
          </w:rPr>
          <w:t>(1985), 16 C.C.L.I. 309</w:t>
        </w:r>
      </w:hyperlink>
      <w:r>
        <w:rPr>
          <w:rFonts w:ascii="arial" w:eastAsia="arial" w:hAnsi="arial" w:cs="arial"/>
          <w:color w:val="000000"/>
          <w:sz w:val="20"/>
          <w:lang w:val="en-US" w:eastAsia="en-US" w:bidi="ar-SA"/>
        </w:rPr>
        <w:t xml:space="preserve"> (B.C.C.A.), as setting out the requirements for an insurer to prove a misrepresentation. Like </w:t>
      </w:r>
      <w:r>
        <w:rPr>
          <w:rFonts w:ascii="arial" w:eastAsia="arial" w:hAnsi="arial" w:cs="arial"/>
          <w:i/>
          <w:color w:val="000000"/>
          <w:sz w:val="20"/>
          <w:lang w:val="en-US" w:eastAsia="en-US" w:bidi="ar-SA"/>
        </w:rPr>
        <w:t>Lafarge, Sayle</w:t>
      </w:r>
      <w:r>
        <w:rPr>
          <w:rFonts w:ascii="arial" w:eastAsia="arial" w:hAnsi="arial" w:cs="arial"/>
          <w:color w:val="000000"/>
          <w:sz w:val="20"/>
          <w:lang w:val="en-US" w:eastAsia="en-US" w:bidi="ar-SA"/>
        </w:rPr>
        <w:t xml:space="preserve"> dealt with the principle of utmost good faith, rather than the statutory conditions.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79</w:t>
      </w:r>
      <w:r>
        <w:rPr>
          <w:rFonts w:ascii="arial" w:eastAsia="arial" w:hAnsi="arial" w:cs="arial"/>
          <w:color w:val="000000"/>
          <w:sz w:val="20"/>
          <w:lang w:val="en-US" w:eastAsia="en-US" w:bidi="ar-SA"/>
        </w:rPr>
        <w:t>  </w:t>
      </w:r>
      <w:r>
        <w:rPr>
          <w:rFonts w:ascii="arial" w:eastAsia="arial" w:hAnsi="arial" w:cs="arial"/>
          <w:i/>
          <w:color w:val="000000"/>
          <w:sz w:val="20"/>
          <w:lang w:val="en-US" w:eastAsia="en-US" w:bidi="ar-SA"/>
        </w:rPr>
        <w:t>Davidson</w:t>
      </w:r>
      <w:r>
        <w:rPr>
          <w:rFonts w:ascii="arial" w:eastAsia="arial" w:hAnsi="arial" w:cs="arial"/>
          <w:color w:val="000000"/>
          <w:sz w:val="20"/>
          <w:lang w:val="en-US" w:eastAsia="en-US" w:bidi="ar-SA"/>
        </w:rPr>
        <w:t xml:space="preserve"> identified the four part test that Wawanesa relies upon here to prove a change material to the risk (at para. 92). The only real dispute in the case, however, was a factual one, regarding the plaintiff's knowledge of the change. Not satisfied he did know, the court found Wawanesa was unable to meet its burden.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80</w:t>
      </w:r>
      <w:r>
        <w:rPr>
          <w:rFonts w:ascii="arial" w:eastAsia="arial" w:hAnsi="arial" w:cs="arial"/>
          <w:color w:val="000000"/>
          <w:sz w:val="20"/>
          <w:lang w:val="en-US" w:eastAsia="en-US" w:bidi="ar-SA"/>
        </w:rPr>
        <w:t xml:space="preserve">  Wawanesa also relies upon </w:t>
      </w:r>
      <w:r>
        <w:rPr>
          <w:rFonts w:ascii="arial" w:eastAsia="arial" w:hAnsi="arial" w:cs="arial"/>
          <w:i/>
          <w:color w:val="000000"/>
          <w:sz w:val="20"/>
          <w:lang w:val="en-US" w:eastAsia="en-US" w:bidi="ar-SA"/>
        </w:rPr>
        <w:t>Jackson v. Canadian Northern Shield Insurance Company</w:t>
      </w:r>
      <w:r>
        <w:rPr>
          <w:rFonts w:ascii="arial" w:eastAsia="arial" w:hAnsi="arial" w:cs="arial"/>
          <w:color w:val="000000"/>
          <w:sz w:val="20"/>
          <w:lang w:val="en-US" w:eastAsia="en-US" w:bidi="ar-SA"/>
        </w:rPr>
        <w:t xml:space="preserve">, </w:t>
      </w:r>
      <w:hyperlink r:id="rId219" w:history="1">
        <w:r>
          <w:rPr>
            <w:rFonts w:ascii="arial" w:eastAsia="arial" w:hAnsi="arial" w:cs="arial"/>
            <w:i/>
            <w:color w:val="0077CC"/>
            <w:sz w:val="20"/>
            <w:u w:val="single"/>
            <w:shd w:val="clear" w:color="auto" w:fill="FFFFFF"/>
            <w:lang w:val="en-US" w:eastAsia="en-US" w:bidi="ar-SA"/>
          </w:rPr>
          <w:t>2010 BCSC 1532</w:t>
        </w:r>
      </w:hyperlink>
      <w:r>
        <w:rPr>
          <w:rFonts w:ascii="arial" w:eastAsia="arial" w:hAnsi="arial" w:cs="arial"/>
          <w:color w:val="000000"/>
          <w:sz w:val="20"/>
          <w:lang w:val="en-US" w:eastAsia="en-US" w:bidi="ar-SA"/>
        </w:rPr>
        <w:t>, where the same approach was taken, but again there was no question about the meaning of "within the knowledge of an insured". In fact the plaintiffs acknowledged they had an obligation to advise the insurer about the existence of an auxiliary wood burning stove, which did not occur until after a fire.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i/>
          <w:color w:val="000000"/>
          <w:sz w:val="20"/>
          <w:lang w:val="en-US" w:eastAsia="en-US" w:bidi="ar-SA"/>
        </w:rPr>
        <w:t>Statutory Condition 4</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81</w:t>
      </w:r>
      <w:r>
        <w:rPr>
          <w:rFonts w:ascii="arial" w:eastAsia="arial" w:hAnsi="arial" w:cs="arial"/>
          <w:color w:val="000000"/>
          <w:sz w:val="20"/>
          <w:lang w:val="en-US" w:eastAsia="en-US" w:bidi="ar-SA"/>
        </w:rPr>
        <w:t>  There appear to be no cases in BC that have considered whether statutory condition 4 should be interpreted as requiring an insured to have knowledge the change in risk was material.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82</w:t>
      </w:r>
      <w:r>
        <w:rPr>
          <w:rFonts w:ascii="arial" w:eastAsia="arial" w:hAnsi="arial" w:cs="arial"/>
          <w:color w:val="000000"/>
          <w:sz w:val="20"/>
          <w:lang w:val="en-US" w:eastAsia="en-US" w:bidi="ar-SA"/>
        </w:rPr>
        <w:t>  Again, for ease of reference, statutory conditions 1 and 4 provide: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Misrepresentation</w:t>
      </w:r>
    </w:p>
    <w:p>
      <w:pPr>
        <w:numPr>
          <w:numId w:val="23"/>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If a person applying for insurance falsely describes the property to the prejudice of the insurer, or misrepresents or </w:t>
      </w:r>
      <w:r>
        <w:rPr>
          <w:rFonts w:ascii="arial" w:eastAsia="arial" w:hAnsi="arial" w:cs="arial"/>
          <w:color w:val="000000"/>
          <w:sz w:val="20"/>
          <w:u w:val="single"/>
          <w:lang w:val="en-US" w:eastAsia="en-US" w:bidi="ar-SA"/>
        </w:rPr>
        <w:t>fraudulently omits</w:t>
      </w:r>
      <w:r>
        <w:rPr>
          <w:rFonts w:ascii="arial" w:eastAsia="arial" w:hAnsi="arial" w:cs="arial"/>
          <w:color w:val="000000"/>
          <w:sz w:val="20"/>
          <w:lang w:val="en-US" w:eastAsia="en-US" w:bidi="ar-SA"/>
        </w:rPr>
        <w:t xml:space="preserve"> to communicate any circumstance that is material to be made known to the insurer in order to enable it to judge the risk to be undertaken, the contract is void as to any property in relation to which the misrepresentation or omission is material.</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Material change in risk</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4.(1) The insured must promptly give notice in writing to the insurer or its agent of a change that is</w:t>
      </w:r>
    </w:p>
    <w:p>
      <w:pPr>
        <w:numPr>
          <w:numId w:val="24"/>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material to the risk, and</w:t>
      </w:r>
    </w:p>
    <w:p>
      <w:pPr>
        <w:numPr>
          <w:numId w:val="24"/>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within the control and knowledge of the insured.</w:t>
      </w:r>
    </w:p>
    <w:p>
      <w:pPr>
        <w:numPr>
          <w:numId w:val="2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If an insurer or its agent is not promptly notified of a change under subparagraph (1) of this condition, the contract is void a to the part affected by the change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[Emphasis added.]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83</w:t>
      </w:r>
      <w:r>
        <w:rPr>
          <w:rFonts w:ascii="arial" w:eastAsia="arial" w:hAnsi="arial" w:cs="arial"/>
          <w:color w:val="000000"/>
          <w:sz w:val="20"/>
          <w:lang w:val="en-US" w:eastAsia="en-US" w:bidi="ar-SA"/>
        </w:rPr>
        <w:t xml:space="preserve">  The first iteration of the statutory conditions was contained in </w:t>
      </w:r>
      <w:r>
        <w:rPr>
          <w:rFonts w:ascii="arial" w:eastAsia="arial" w:hAnsi="arial" w:cs="arial"/>
          <w:i/>
          <w:color w:val="000000"/>
          <w:sz w:val="20"/>
          <w:lang w:val="en-US" w:eastAsia="en-US" w:bidi="ar-SA"/>
        </w:rPr>
        <w:t>An Act to secure Uniform Conditions in Policies of Fire</w:t>
      </w:r>
      <w:r>
        <w:rPr>
          <w:rFonts w:ascii="arial" w:eastAsia="arial" w:hAnsi="arial" w:cs="arial"/>
          <w:color w:val="000000"/>
          <w:sz w:val="20"/>
          <w:lang w:val="en-US" w:eastAsia="en-US" w:bidi="ar-SA"/>
        </w:rPr>
        <w:t>, S.B.C. 1893, c. 12. Initially, statutory condition 1 did not distinguish between misrepresentations and omissions: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If any person ... shall insure his ... building or goods, and shall cause the same to be described otherwise than they really are, to the prejudice of the Company, or </w:t>
      </w:r>
      <w:r>
        <w:rPr>
          <w:rFonts w:ascii="arial" w:eastAsia="arial" w:hAnsi="arial" w:cs="arial"/>
          <w:color w:val="000000"/>
          <w:sz w:val="20"/>
          <w:u w:val="single"/>
          <w:lang w:val="en-US" w:eastAsia="en-US" w:bidi="ar-SA"/>
        </w:rPr>
        <w:t>shall misrepresent or omit</w:t>
      </w:r>
      <w:r>
        <w:rPr>
          <w:rFonts w:ascii="arial" w:eastAsia="arial" w:hAnsi="arial" w:cs="arial"/>
          <w:color w:val="000000"/>
          <w:sz w:val="20"/>
          <w:lang w:val="en-US" w:eastAsia="en-US" w:bidi="ar-SA"/>
        </w:rPr>
        <w:t xml:space="preserve"> to communicate any circumstance which is material to be made known to the Company, in order to enable them to judge of the risk they undertake, such insurance shall be of no force in respect to the property in regard to which the misrepresentation or omission is made.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84</w:t>
      </w:r>
      <w:r>
        <w:rPr>
          <w:rFonts w:ascii="arial" w:eastAsia="arial" w:hAnsi="arial" w:cs="arial"/>
          <w:color w:val="000000"/>
          <w:sz w:val="20"/>
          <w:lang w:val="en-US" w:eastAsia="en-US" w:bidi="ar-SA"/>
        </w:rPr>
        <w:t>  Statutory condition 4, then 3, read: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When a change as to risk shall avoid a policy. Notice of change, &amp;c.</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3 Any change material to the risk, and within the control or knowledge of the assured, shall avoid the Policy as the part affected thereby, unless the change be promptly notified Notice in writing to the Company or its local agent ...</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85</w:t>
      </w:r>
      <w:r>
        <w:rPr>
          <w:rFonts w:ascii="arial" w:eastAsia="arial" w:hAnsi="arial" w:cs="arial"/>
          <w:color w:val="000000"/>
          <w:sz w:val="20"/>
          <w:lang w:val="en-US" w:eastAsia="en-US" w:bidi="ar-SA"/>
        </w:rPr>
        <w:t>  The change to "fraudulently" omits in statutory condition 1, was made in 1924 (</w:t>
      </w:r>
      <w:r>
        <w:rPr>
          <w:rFonts w:ascii="arial" w:eastAsia="arial" w:hAnsi="arial" w:cs="arial"/>
          <w:i/>
          <w:color w:val="000000"/>
          <w:sz w:val="20"/>
          <w:lang w:val="en-US" w:eastAsia="en-US" w:bidi="ar-SA"/>
        </w:rPr>
        <w:t>An Act to Secure Uniform Conditions in Policies of Fire Insurance</w:t>
      </w:r>
      <w:r>
        <w:rPr>
          <w:rFonts w:ascii="arial" w:eastAsia="arial" w:hAnsi="arial" w:cs="arial"/>
          <w:color w:val="000000"/>
          <w:sz w:val="20"/>
          <w:lang w:val="en-US" w:eastAsia="en-US" w:bidi="ar-SA"/>
        </w:rPr>
        <w:t xml:space="preserve">, S.B.C. 1924, c. 25). The effect of that change was considered in </w:t>
      </w:r>
      <w:r>
        <w:rPr>
          <w:rFonts w:ascii="arial" w:eastAsia="arial" w:hAnsi="arial" w:cs="arial"/>
          <w:i/>
          <w:color w:val="000000"/>
          <w:sz w:val="20"/>
          <w:lang w:val="en-US" w:eastAsia="en-US" w:bidi="ar-SA"/>
        </w:rPr>
        <w:t>Taylor v. London Assurance Corp.</w:t>
      </w:r>
      <w:r>
        <w:rPr>
          <w:rFonts w:ascii="arial" w:eastAsia="arial" w:hAnsi="arial" w:cs="arial"/>
          <w:color w:val="000000"/>
          <w:sz w:val="20"/>
          <w:lang w:val="en-US" w:eastAsia="en-US" w:bidi="ar-SA"/>
        </w:rPr>
        <w:t xml:space="preserve">, </w:t>
      </w:r>
      <w:hyperlink r:id="rId220" w:history="1">
        <w:r>
          <w:rPr>
            <w:rFonts w:ascii="arial" w:eastAsia="arial" w:hAnsi="arial" w:cs="arial"/>
            <w:i/>
            <w:color w:val="0077CC"/>
            <w:sz w:val="20"/>
            <w:u w:val="single"/>
            <w:shd w:val="clear" w:color="auto" w:fill="FFFFFF"/>
            <w:lang w:val="en-US" w:eastAsia="en-US" w:bidi="ar-SA"/>
          </w:rPr>
          <w:t>[1935] S.C.R. 422</w:t>
        </w:r>
      </w:hyperlink>
      <w:r>
        <w:rPr>
          <w:rFonts w:ascii="arial" w:eastAsia="arial" w:hAnsi="arial" w:cs="arial"/>
          <w:color w:val="000000"/>
          <w:sz w:val="20"/>
          <w:lang w:val="en-US" w:eastAsia="en-US" w:bidi="ar-SA"/>
        </w:rPr>
        <w:t xml:space="preserve">. The court concluded an omission will only void the insurance contract if it is fraudulent, meaning actual fraud. Chief Justice Duff rejected the trial judge's application of the </w:t>
      </w:r>
      <w:r>
        <w:rPr>
          <w:rFonts w:ascii="arial" w:eastAsia="arial" w:hAnsi="arial" w:cs="arial"/>
          <w:i/>
          <w:color w:val="000000"/>
          <w:sz w:val="20"/>
          <w:lang w:val="en-US" w:eastAsia="en-US" w:bidi="ar-SA"/>
        </w:rPr>
        <w:t>uberrima fides</w:t>
      </w:r>
      <w:r>
        <w:rPr>
          <w:rFonts w:ascii="arial" w:eastAsia="arial" w:hAnsi="arial" w:cs="arial"/>
          <w:color w:val="000000"/>
          <w:sz w:val="20"/>
          <w:lang w:val="en-US" w:eastAsia="en-US" w:bidi="ar-SA"/>
        </w:rPr>
        <w:t xml:space="preserve"> principle and endorsed the decision of the dissenting judges of the Ontario Court of Appeal, who interpreted the amendment to statutory condition 1 as taking away the defence of innocent non-disclosure.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86</w:t>
      </w:r>
      <w:r>
        <w:rPr>
          <w:rFonts w:ascii="arial" w:eastAsia="arial" w:hAnsi="arial" w:cs="arial"/>
          <w:color w:val="000000"/>
          <w:sz w:val="20"/>
          <w:lang w:val="en-US" w:eastAsia="en-US" w:bidi="ar-SA"/>
        </w:rPr>
        <w:t>  No similar changes were made to what is now statutory condition 4. In contrast to statutory condition 1, therefore, it has never expressly required an insured's failure to disclose a material change to be fraudulent. Interpreted literally, statutory condition 4 appears to create a higher standard of disclosure regarding a material change in risk during the insurance contract, than does statutory condition 1 regarding an omission, before its formation.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87</w:t>
      </w:r>
      <w:r>
        <w:rPr>
          <w:rFonts w:ascii="arial" w:eastAsia="arial" w:hAnsi="arial" w:cs="arial"/>
          <w:color w:val="000000"/>
          <w:sz w:val="20"/>
          <w:lang w:val="en-US" w:eastAsia="en-US" w:bidi="ar-SA"/>
        </w:rPr>
        <w:t xml:space="preserve">  Significantly, the statutory conditions have been found to have a remedial purpose, designed to protect the insured against unfair avoidance of liability on the part of the insurer, affecting their interpretation: </w:t>
      </w:r>
      <w:r>
        <w:rPr>
          <w:rFonts w:ascii="arial" w:eastAsia="arial" w:hAnsi="arial" w:cs="arial"/>
          <w:i/>
          <w:color w:val="000000"/>
          <w:sz w:val="20"/>
          <w:lang w:val="en-US" w:eastAsia="en-US" w:bidi="ar-SA"/>
        </w:rPr>
        <w:t>Curtis's and Harvey (Canada) Ltd. v. North British &amp; Mercantile Insurance.</w:t>
      </w:r>
      <w:r>
        <w:rPr>
          <w:rFonts w:ascii="arial" w:eastAsia="arial" w:hAnsi="arial" w:cs="arial"/>
          <w:color w:val="000000"/>
          <w:sz w:val="20"/>
          <w:lang w:val="en-US" w:eastAsia="en-US" w:bidi="ar-SA"/>
        </w:rPr>
        <w:t>, [1921] 1 A.C. 303 at 310 (P.C.) [</w:t>
      </w:r>
      <w:r>
        <w:rPr>
          <w:rFonts w:ascii="arial" w:eastAsia="arial" w:hAnsi="arial" w:cs="arial"/>
          <w:i/>
          <w:color w:val="000000"/>
          <w:sz w:val="20"/>
          <w:lang w:val="en-US" w:eastAsia="en-US" w:bidi="ar-SA"/>
        </w:rPr>
        <w:t>Curtis's and Harvey</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Curtis's and Harvey</w:t>
      </w:r>
      <w:r>
        <w:rPr>
          <w:rFonts w:ascii="arial" w:eastAsia="arial" w:hAnsi="arial" w:cs="arial"/>
          <w:color w:val="000000"/>
          <w:sz w:val="20"/>
          <w:lang w:val="en-US" w:eastAsia="en-US" w:bidi="ar-SA"/>
        </w:rPr>
        <w:t xml:space="preserve"> held that any reasonable doubt regarding the meaning of a particular statutory condition should be resolved in favour of "amplifying rather than cutting down the insurer's liability". In </w:t>
      </w:r>
      <w:r>
        <w:rPr>
          <w:rFonts w:ascii="arial" w:eastAsia="arial" w:hAnsi="arial" w:cs="arial"/>
          <w:i/>
          <w:color w:val="000000"/>
          <w:sz w:val="20"/>
          <w:lang w:val="en-US" w:eastAsia="en-US" w:bidi="ar-SA"/>
        </w:rPr>
        <w:t>March v. Halifax Insurance Co.</w:t>
      </w:r>
      <w:r>
        <w:rPr>
          <w:rFonts w:ascii="arial" w:eastAsia="arial" w:hAnsi="arial" w:cs="arial"/>
          <w:color w:val="000000"/>
          <w:sz w:val="20"/>
          <w:lang w:val="en-US" w:eastAsia="en-US" w:bidi="ar-SA"/>
        </w:rPr>
        <w:t xml:space="preserve">, </w:t>
      </w:r>
      <w:hyperlink r:id="rId221" w:history="1">
        <w:r>
          <w:rPr>
            <w:rFonts w:ascii="arial" w:eastAsia="arial" w:hAnsi="arial" w:cs="arial"/>
            <w:i/>
            <w:color w:val="0077CC"/>
            <w:sz w:val="20"/>
            <w:u w:val="single"/>
            <w:shd w:val="clear" w:color="auto" w:fill="FFFFFF"/>
            <w:lang w:val="en-US" w:eastAsia="en-US" w:bidi="ar-SA"/>
          </w:rPr>
          <w:t>2005 SCC 6</w:t>
        </w:r>
      </w:hyperlink>
      <w:r>
        <w:rPr>
          <w:rFonts w:ascii="arial" w:eastAsia="arial" w:hAnsi="arial" w:cs="arial"/>
          <w:color w:val="000000"/>
          <w:sz w:val="20"/>
          <w:lang w:val="en-US" w:eastAsia="en-US" w:bidi="ar-SA"/>
        </w:rPr>
        <w:t xml:space="preserve">, Chief Justice McLachlin observed that statutory condition 4 was "not a model of clarity". Of course, the "modern principle" of statutory interpretation also requires the words of a statute to be read in their entire context, in their grammatical and ordinary sense harmoniously with the scheme and object of the Act, and the intention of legislature: </w:t>
      </w:r>
      <w:r>
        <w:rPr>
          <w:rFonts w:ascii="arial" w:eastAsia="arial" w:hAnsi="arial" w:cs="arial"/>
          <w:i/>
          <w:color w:val="000000"/>
          <w:sz w:val="20"/>
          <w:lang w:val="en-US" w:eastAsia="en-US" w:bidi="ar-SA"/>
        </w:rPr>
        <w:t>Rizzo &amp; Rizzo Shoes Ltd. (Re)</w:t>
      </w:r>
      <w:r>
        <w:rPr>
          <w:rFonts w:ascii="arial" w:eastAsia="arial" w:hAnsi="arial" w:cs="arial"/>
          <w:color w:val="000000"/>
          <w:sz w:val="20"/>
          <w:lang w:val="en-US" w:eastAsia="en-US" w:bidi="ar-SA"/>
        </w:rPr>
        <w:t>, [1981] 1 S.C.R. 27 at para. 21.</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88</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Thomas v. Aviva Insurance Co.</w:t>
      </w:r>
      <w:r>
        <w:rPr>
          <w:rFonts w:ascii="arial" w:eastAsia="arial" w:hAnsi="arial" w:cs="arial"/>
          <w:color w:val="000000"/>
          <w:sz w:val="20"/>
          <w:lang w:val="en-US" w:eastAsia="en-US" w:bidi="ar-SA"/>
        </w:rPr>
        <w:t xml:space="preserve">, </w:t>
      </w:r>
      <w:hyperlink r:id="rId222" w:history="1">
        <w:r>
          <w:rPr>
            <w:rFonts w:ascii="arial" w:eastAsia="arial" w:hAnsi="arial" w:cs="arial"/>
            <w:i/>
            <w:color w:val="0077CC"/>
            <w:sz w:val="20"/>
            <w:u w:val="single"/>
            <w:shd w:val="clear" w:color="auto" w:fill="FFFFFF"/>
            <w:lang w:val="en-US" w:eastAsia="en-US" w:bidi="ar-SA"/>
          </w:rPr>
          <w:t>2011 NBCA 96</w:t>
        </w:r>
      </w:hyperlink>
      <w:r>
        <w:rPr>
          <w:rFonts w:ascii="arial" w:eastAsia="arial" w:hAnsi="arial" w:cs="arial"/>
          <w:color w:val="000000"/>
          <w:sz w:val="20"/>
          <w:lang w:val="en-US" w:eastAsia="en-US" w:bidi="ar-SA"/>
        </w:rPr>
        <w:t xml:space="preserve">, the New Brunswick Court of Appeal considered but did not decide, in </w:t>
      </w:r>
      <w:r>
        <w:rPr>
          <w:rFonts w:ascii="arial" w:eastAsia="arial" w:hAnsi="arial" w:cs="arial"/>
          <w:i/>
          <w:color w:val="000000"/>
          <w:sz w:val="20"/>
          <w:lang w:val="en-US" w:eastAsia="en-US" w:bidi="ar-SA"/>
        </w:rPr>
        <w:t>obiter</w:t>
      </w:r>
      <w:r>
        <w:rPr>
          <w:rFonts w:ascii="arial" w:eastAsia="arial" w:hAnsi="arial" w:cs="arial"/>
          <w:color w:val="000000"/>
          <w:sz w:val="20"/>
          <w:lang w:val="en-US" w:eastAsia="en-US" w:bidi="ar-SA"/>
        </w:rPr>
        <w:t>, whether the knowledge requirement in statutory condition 4 extended to materiality. The facts involved the insurer voiding the plaintiff's policy after a fire, because he had not disclosed the installation of a wood stove as a secondary heating source. The trial judge found the insured did not know the change was material to the risk and concluded his "lack of guilty knowledge" meant there was no material change in risk.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89</w:t>
      </w:r>
      <w:r>
        <w:rPr>
          <w:rFonts w:ascii="arial" w:eastAsia="arial" w:hAnsi="arial" w:cs="arial"/>
          <w:color w:val="000000"/>
          <w:sz w:val="20"/>
          <w:lang w:val="en-US" w:eastAsia="en-US" w:bidi="ar-SA"/>
        </w:rPr>
        <w:t>  The result was upheld by the Court of Appeal but for different reasons. Chief Justice Drapeau determined the insurer was not entitled to cancel the policy under statutory condition 4 because the non-disclosure resulted from the cumulative effect of its own acts and omissions.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90</w:t>
      </w:r>
      <w:r>
        <w:rPr>
          <w:rFonts w:ascii="arial" w:eastAsia="arial" w:hAnsi="arial" w:cs="arial"/>
          <w:color w:val="000000"/>
          <w:sz w:val="20"/>
          <w:lang w:val="en-US" w:eastAsia="en-US" w:bidi="ar-SA"/>
        </w:rPr>
        <w:t xml:space="preserve">  In discussing the interpretation of statutory condition 4, he described the case law as unsettled regarding the relevance of an insured's knowledge of materiality. Noting </w:t>
      </w:r>
      <w:r>
        <w:rPr>
          <w:rFonts w:ascii="arial" w:eastAsia="arial" w:hAnsi="arial" w:cs="arial"/>
          <w:i/>
          <w:color w:val="000000"/>
          <w:sz w:val="20"/>
          <w:lang w:val="en-US" w:eastAsia="en-US" w:bidi="ar-SA"/>
        </w:rPr>
        <w:t>Curtis's and Harvey</w:t>
      </w:r>
      <w:r>
        <w:rPr>
          <w:rFonts w:ascii="arial" w:eastAsia="arial" w:hAnsi="arial" w:cs="arial"/>
          <w:color w:val="000000"/>
          <w:sz w:val="20"/>
          <w:lang w:val="en-US" w:eastAsia="en-US" w:bidi="ar-SA"/>
        </w:rPr>
        <w:t xml:space="preserve"> and identifying the modern principle as the correct approach, he commented: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56 It is widely accepted that the use of the word "fraudulently" in Statutory Condition 1 brought about the abolition of the doctrine of </w:t>
      </w:r>
      <w:r>
        <w:rPr>
          <w:rFonts w:ascii="arial" w:eastAsia="arial" w:hAnsi="arial" w:cs="arial"/>
          <w:i/>
          <w:color w:val="000000"/>
          <w:sz w:val="20"/>
          <w:lang w:val="en-US" w:eastAsia="en-US" w:bidi="ar-SA"/>
        </w:rPr>
        <w:t>uberrimae fidei</w:t>
      </w:r>
      <w:r>
        <w:rPr>
          <w:rFonts w:ascii="arial" w:eastAsia="arial" w:hAnsi="arial" w:cs="arial"/>
          <w:color w:val="000000"/>
          <w:sz w:val="20"/>
          <w:lang w:val="en-US" w:eastAsia="en-US" w:bidi="ar-SA"/>
        </w:rPr>
        <w:t xml:space="preserve"> as it developed at common law with respect to nondisclosure of a material circumstance in relation to fire insurance (see </w:t>
      </w:r>
      <w:r>
        <w:rPr>
          <w:rFonts w:ascii="arial" w:eastAsia="arial" w:hAnsi="arial" w:cs="arial"/>
          <w:i/>
          <w:color w:val="000000"/>
          <w:sz w:val="20"/>
          <w:lang w:val="en-US" w:eastAsia="en-US" w:bidi="ar-SA"/>
        </w:rPr>
        <w:t>Kadishewitz v. Laurentian Insurance Co</w:t>
      </w:r>
      <w:r>
        <w:rPr>
          <w:rFonts w:ascii="arial" w:eastAsia="arial" w:hAnsi="arial" w:cs="arial"/>
          <w:color w:val="000000"/>
          <w:sz w:val="20"/>
          <w:lang w:val="en-US" w:eastAsia="en-US" w:bidi="ar-SA"/>
        </w:rPr>
        <w:t xml:space="preserve">. (1930), </w:t>
      </w:r>
      <w:hyperlink r:id="rId223" w:history="1">
        <w:r>
          <w:rPr>
            <w:rFonts w:ascii="arial" w:eastAsia="arial" w:hAnsi="arial" w:cs="arial"/>
            <w:i/>
            <w:color w:val="0077CC"/>
            <w:sz w:val="20"/>
            <w:u w:val="single"/>
            <w:shd w:val="clear" w:color="auto" w:fill="FFFFFF"/>
            <w:lang w:val="en-US" w:eastAsia="en-US" w:bidi="ar-SA"/>
          </w:rPr>
          <w:t>[1931] O.R. 529</w:t>
        </w:r>
      </w:hyperlink>
      <w:r>
        <w:rPr>
          <w:rFonts w:ascii="arial" w:eastAsia="arial" w:hAnsi="arial" w:cs="arial"/>
          <w:color w:val="000000"/>
          <w:sz w:val="20"/>
          <w:lang w:val="en-US" w:eastAsia="en-US" w:bidi="ar-SA"/>
        </w:rPr>
        <w:t xml:space="preserve"> (Ont. C.A.)). More pertinently, it has been asserted that Statutory Condition 4 has overtaken whatever risk-related notification was required at common law (see </w:t>
      </w:r>
      <w:r>
        <w:rPr>
          <w:rFonts w:ascii="arial" w:eastAsia="arial" w:hAnsi="arial" w:cs="arial"/>
          <w:i/>
          <w:color w:val="000000"/>
          <w:sz w:val="20"/>
          <w:lang w:val="en-US" w:eastAsia="en-US" w:bidi="ar-SA"/>
        </w:rPr>
        <w:t>Watkins v. Portage la Prairie Mutual Insurance Co.</w:t>
      </w:r>
      <w:r>
        <w:rPr>
          <w:rFonts w:ascii="arial" w:eastAsia="arial" w:hAnsi="arial" w:cs="arial"/>
          <w:color w:val="000000"/>
          <w:sz w:val="20"/>
          <w:lang w:val="en-US" w:eastAsia="en-US" w:bidi="ar-SA"/>
        </w:rPr>
        <w:t xml:space="preserve">, </w:t>
      </w:r>
      <w:hyperlink r:id="rId215" w:history="1">
        <w:r>
          <w:rPr>
            <w:rFonts w:ascii="arial" w:eastAsia="arial" w:hAnsi="arial" w:cs="arial"/>
            <w:i/>
            <w:color w:val="0077CC"/>
            <w:sz w:val="20"/>
            <w:u w:val="single"/>
            <w:shd w:val="clear" w:color="auto" w:fill="FFFFFF"/>
            <w:lang w:val="en-US" w:eastAsia="en-US" w:bidi="ar-SA"/>
          </w:rPr>
          <w:t>[1986] B.C.J. No. 598</w:t>
        </w:r>
      </w:hyperlink>
      <w:r>
        <w:rPr>
          <w:rFonts w:ascii="arial" w:eastAsia="arial" w:hAnsi="arial" w:cs="arial"/>
          <w:color w:val="000000"/>
          <w:sz w:val="20"/>
          <w:lang w:val="en-US" w:eastAsia="en-US" w:bidi="ar-SA"/>
        </w:rPr>
        <w:t xml:space="preserve"> (B.C.C.A.) at para. 23, per Hutcheon J.A.). The key question would then seem to be what Statutory Condition 4's wording, viewed contextually, tells us about the insured's disclosure obligations, and not so much what the common law previously taught us on point. That is not to say that the common law is wholly irrelevant. Indeed, it may help contextualize the wording of Statutory Condition 4, but the focus should ultimately be on what the provision says.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57 Statutory Condition 4 does not refer to "knowledge" the insured could or should have had. Rather, it refers to "the knowledge of the insured" (emphasis added), which arguably excludes the knowledge of some hypothetical "reasonable" insured enlightened by hindsight. ... Of course, what a reasonable person would have known or realized is hardly inconsequential: it plays an important role in assessing the credibility of an insured's claimed ignorance of a change material to the risk.</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60 Another aspect of the condition's wording bears consideration. Both "control" and "knowledge" by the insured are required. Logically, "control" relates only to the occurrence of the change. However "control" necessarily implies "knowledge". For one to "control" a change, one must be aware of the change. Thus, it could be argued that to interpret "knowledge" as relating solely to the occurrence of the change creates a redundancy. It is axiomatic that each word in an enactment or a contractual clause is generally presumed to have been employed for a purpose. Thus, it might be contended that, for the "knowledge" component of Statutory Condition 4 to serve a purpose, it must target something other than the occurrence of the change, and that might well be the change's materiality for risk purposes.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91</w:t>
      </w:r>
      <w:r>
        <w:rPr>
          <w:rFonts w:ascii="arial" w:eastAsia="arial" w:hAnsi="arial" w:cs="arial"/>
          <w:color w:val="000000"/>
          <w:sz w:val="20"/>
          <w:lang w:val="en-US" w:eastAsia="en-US" w:bidi="ar-SA"/>
        </w:rPr>
        <w:t>  Chief Justice Drapeau then engaged in a contextual analysis of statutory condition 4, focusing on the distinction between the effect of non disclosure under statutory conditions 1 and 4:</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Furthermore, to better understand Statutory Condition 4, it must be read contextually. One would think that Statutory Condition 1 might play a key role in that exercise. After all, both conditions deal with "risk" and the effects of nondisclosure of material information. Statutory Condition 1 reads:</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If any person applying for insurance falsely describes the property to the prejudice of the insurer, or misrepresents or fraudulently omits to communicate any circumstance which is material to be made known to the insurer in order to enable it to judge of the risk to be undertaken, the contract shall be void as to any property in relation to which the misrepresentation or omission is material.</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An initial omission to mention a circumstance material to the risk will only void the insurance contract if it was fraudulent. Thus, a distinction is created between misrepresentations and omissions, as fraudulent intention is required for the latter but irrelevant for the former. In Brown and Menezes, </w:t>
      </w:r>
      <w:r>
        <w:rPr>
          <w:rFonts w:ascii="arial" w:eastAsia="arial" w:hAnsi="arial" w:cs="arial"/>
          <w:i/>
          <w:color w:val="000000"/>
          <w:sz w:val="20"/>
          <w:lang w:val="en-US" w:eastAsia="en-US" w:bidi="ar-SA"/>
        </w:rPr>
        <w:t>Insurance Law in Canada</w:t>
      </w:r>
      <w:r>
        <w:rPr>
          <w:rFonts w:ascii="arial" w:eastAsia="arial" w:hAnsi="arial" w:cs="arial"/>
          <w:color w:val="000000"/>
          <w:sz w:val="20"/>
          <w:lang w:val="en-US" w:eastAsia="en-US" w:bidi="ar-SA"/>
        </w:rPr>
        <w:t xml:space="preserve">, vol. 1, it is noted that "for an omission to be regarded as fraudulent the insurer must prove that the customer knew the facts that ought to have been disclosed and knew, subjectively, that those facts were relevant to the insurance" (see p. 5-10; emphasis added). If that is so, one is left to wonder whether it is reasonable, as a matter of law, logic or practicality, to hold an insured to a higher standard once the contract is formed. On that score, the observations in "The Supreme Court in Flames: Fire Insurance Decisions After Kosmopolous" ( </w:t>
      </w:r>
      <w:hyperlink r:id="rId224" w:history="1">
        <w:r>
          <w:rPr>
            <w:rFonts w:ascii="arial" w:eastAsia="arial" w:hAnsi="arial" w:cs="arial"/>
            <w:i/>
            <w:color w:val="0077CC"/>
            <w:sz w:val="20"/>
            <w:u w:val="single"/>
            <w:shd w:val="clear" w:color="auto" w:fill="FFFFFF"/>
            <w:lang w:val="en-US" w:eastAsia="en-US" w:bidi="ar-SA"/>
          </w:rPr>
          <w:t>(1995) 33 Osgoode Hall L.J. 679</w:t>
        </w:r>
      </w:hyperlink>
      <w:r>
        <w:rPr>
          <w:rFonts w:ascii="arial" w:eastAsia="arial" w:hAnsi="arial" w:cs="arial"/>
          <w:color w:val="000000"/>
          <w:sz w:val="20"/>
          <w:lang w:val="en-US" w:eastAsia="en-US" w:bidi="ar-SA"/>
        </w:rPr>
        <w:t>) bear consideration:</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There is even less justification for imposing a duty of disclosure on the insured during the currency of the policy than there is at the formation stage. At the formation stage the applicant may be alerted by the agent or by a statement in the proposal form that there might be something that he or she should reveal. Once the policy has been issued, however, there is nothing to alert the insured that she will have to disclose, for example, that she has started to smoke, had a child with her partner, or had taken in an elderly relative. Indeed, were insurance companies to insist on getting this information, they would find themselves swamped by it. [para. 32 (QL)]</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That said, neither the word "fraud" nor the word "fraudulently" appears in Statutory Condition 4.</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92</w:t>
      </w:r>
      <w:r>
        <w:rPr>
          <w:rFonts w:ascii="arial" w:eastAsia="arial" w:hAnsi="arial" w:cs="arial"/>
          <w:color w:val="000000"/>
          <w:sz w:val="20"/>
          <w:lang w:val="en-US" w:eastAsia="en-US" w:bidi="ar-SA"/>
        </w:rPr>
        <w:t xml:space="preserve">  The Schellenbergs suggest inaccurately that </w:t>
      </w:r>
      <w:r>
        <w:rPr>
          <w:rFonts w:ascii="arial" w:eastAsia="arial" w:hAnsi="arial" w:cs="arial"/>
          <w:i/>
          <w:color w:val="000000"/>
          <w:sz w:val="20"/>
          <w:lang w:val="en-US" w:eastAsia="en-US" w:bidi="ar-SA"/>
        </w:rPr>
        <w:t>Aviva</w:t>
      </w:r>
      <w:r>
        <w:rPr>
          <w:rFonts w:ascii="arial" w:eastAsia="arial" w:hAnsi="arial" w:cs="arial"/>
          <w:color w:val="000000"/>
          <w:sz w:val="20"/>
          <w:lang w:val="en-US" w:eastAsia="en-US" w:bidi="ar-SA"/>
        </w:rPr>
        <w:t xml:space="preserve"> held that statutory condition 4 only applies when an insured knows that the insurer considers a particular change in circumstances to be material to the risk. Clearly, the issue was left undecided. At paragraph nine, Drapeau C.J. described himself as "non-committal" on the correctness of the trial judge's ruling. His commentary ends with: "I will say no more, at this time, on this most interesting interpretative question" (at para. 62).</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93</w:t>
      </w:r>
      <w:r>
        <w:rPr>
          <w:rFonts w:ascii="arial" w:eastAsia="arial" w:hAnsi="arial" w:cs="arial"/>
          <w:color w:val="000000"/>
          <w:sz w:val="20"/>
          <w:lang w:val="en-US" w:eastAsia="en-US" w:bidi="ar-SA"/>
        </w:rPr>
        <w:t>  </w:t>
      </w:r>
      <w:r>
        <w:rPr>
          <w:rFonts w:ascii="arial" w:eastAsia="arial" w:hAnsi="arial" w:cs="arial"/>
          <w:i/>
          <w:color w:val="000000"/>
          <w:sz w:val="20"/>
          <w:lang w:val="en-US" w:eastAsia="en-US" w:bidi="ar-SA"/>
        </w:rPr>
        <w:t>Violette v. Wawanesa Mutual Insurance Co.</w:t>
      </w:r>
      <w:r>
        <w:rPr>
          <w:rFonts w:ascii="arial" w:eastAsia="arial" w:hAnsi="arial" w:cs="arial"/>
          <w:color w:val="000000"/>
          <w:sz w:val="20"/>
          <w:lang w:val="en-US" w:eastAsia="en-US" w:bidi="ar-SA"/>
        </w:rPr>
        <w:t xml:space="preserve">, </w:t>
      </w:r>
      <w:hyperlink r:id="rId225" w:history="1">
        <w:r>
          <w:rPr>
            <w:rFonts w:ascii="arial" w:eastAsia="arial" w:hAnsi="arial" w:cs="arial"/>
            <w:i/>
            <w:color w:val="0077CC"/>
            <w:sz w:val="20"/>
            <w:u w:val="single"/>
            <w:shd w:val="clear" w:color="auto" w:fill="FFFFFF"/>
            <w:lang w:val="en-US" w:eastAsia="en-US" w:bidi="ar-SA"/>
          </w:rPr>
          <w:t>2012 NBQB 47</w:t>
        </w:r>
      </w:hyperlink>
      <w:r>
        <w:rPr>
          <w:rFonts w:ascii="arial" w:eastAsia="arial" w:hAnsi="arial" w:cs="arial"/>
          <w:color w:val="000000"/>
          <w:sz w:val="20"/>
          <w:lang w:val="en-US" w:eastAsia="en-US" w:bidi="ar-SA"/>
        </w:rPr>
        <w:t xml:space="preserve">, considered </w:t>
      </w:r>
      <w:r>
        <w:rPr>
          <w:rFonts w:ascii="arial" w:eastAsia="arial" w:hAnsi="arial" w:cs="arial"/>
          <w:i/>
          <w:color w:val="000000"/>
          <w:sz w:val="20"/>
          <w:lang w:val="en-US" w:eastAsia="en-US" w:bidi="ar-SA"/>
        </w:rPr>
        <w:t>Aviva</w:t>
      </w:r>
      <w:r>
        <w:rPr>
          <w:rFonts w:ascii="arial" w:eastAsia="arial" w:hAnsi="arial" w:cs="arial"/>
          <w:color w:val="000000"/>
          <w:sz w:val="20"/>
          <w:lang w:val="en-US" w:eastAsia="en-US" w:bidi="ar-SA"/>
        </w:rPr>
        <w:t>. Based on the reasoning of the trial judge, Justice LaVigne found the insured's subjective knowledge regarding the materiality of a change in risk, to be relevant: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104 Our Court of Appeal did not decide the issue of whether it was the subjective or the objective knowledge that was applicable, but the observations made by McLachlin, C.J. in </w:t>
      </w:r>
      <w:r>
        <w:rPr>
          <w:rFonts w:ascii="arial" w:eastAsia="arial" w:hAnsi="arial" w:cs="arial"/>
          <w:i/>
          <w:color w:val="000000"/>
          <w:sz w:val="20"/>
          <w:lang w:val="en-US" w:eastAsia="en-US" w:bidi="ar-SA"/>
        </w:rPr>
        <w:t>Marche</w:t>
      </w:r>
      <w:r>
        <w:rPr>
          <w:rFonts w:ascii="arial" w:eastAsia="arial" w:hAnsi="arial" w:cs="arial"/>
          <w:color w:val="000000"/>
          <w:sz w:val="20"/>
          <w:lang w:val="en-US" w:eastAsia="en-US" w:bidi="ar-SA"/>
        </w:rPr>
        <w:t xml:space="preserve"> and those of Drapeau, C.J.N.B. in Aviva, as well as my review of Statutory Condition [4], in accordance with the principles of interpretation, lead me to conclude that the wording ... is neither clear nor unequivocal...</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106 In my opinion, Statutory Condition [4] is ambiguous and confusing; in the circumstances we must give the insured the benefit of the doubt and interpret it such as to amplify rather than cut down the insurer's liability. I therefore adopt the interpretation that is most favourable to the insured.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94</w:t>
      </w:r>
      <w:r>
        <w:rPr>
          <w:rFonts w:ascii="arial" w:eastAsia="arial" w:hAnsi="arial" w:cs="arial"/>
          <w:color w:val="000000"/>
          <w:sz w:val="20"/>
          <w:lang w:val="en-US" w:eastAsia="en-US" w:bidi="ar-SA"/>
        </w:rPr>
        <w:t xml:space="preserve">  Wawanesa urges me to prefer </w:t>
      </w:r>
      <w:r>
        <w:rPr>
          <w:rFonts w:ascii="arial" w:eastAsia="arial" w:hAnsi="arial" w:cs="arial"/>
          <w:i/>
          <w:color w:val="000000"/>
          <w:sz w:val="20"/>
          <w:lang w:val="en-US" w:eastAsia="en-US" w:bidi="ar-SA"/>
        </w:rPr>
        <w:t>Wolfe v. Western General Mutual Insurance</w:t>
      </w:r>
      <w:r>
        <w:rPr>
          <w:rFonts w:ascii="arial" w:eastAsia="arial" w:hAnsi="arial" w:cs="arial"/>
          <w:color w:val="000000"/>
          <w:sz w:val="20"/>
          <w:lang w:val="en-US" w:eastAsia="en-US" w:bidi="ar-SA"/>
        </w:rPr>
        <w:t xml:space="preserve">, </w:t>
      </w:r>
      <w:hyperlink r:id="rId226" w:history="1">
        <w:r>
          <w:rPr>
            <w:rFonts w:ascii="arial" w:eastAsia="arial" w:hAnsi="arial" w:cs="arial"/>
            <w:i/>
            <w:color w:val="0077CC"/>
            <w:sz w:val="20"/>
            <w:u w:val="single"/>
            <w:shd w:val="clear" w:color="auto" w:fill="FFFFFF"/>
            <w:lang w:val="en-US" w:eastAsia="en-US" w:bidi="ar-SA"/>
          </w:rPr>
          <w:t>[2000] O.J. No. 2673</w:t>
        </w:r>
      </w:hyperlink>
      <w:r>
        <w:rPr>
          <w:rFonts w:ascii="arial" w:eastAsia="arial" w:hAnsi="arial" w:cs="arial"/>
          <w:color w:val="000000"/>
          <w:sz w:val="20"/>
          <w:lang w:val="en-US" w:eastAsia="en-US" w:bidi="ar-SA"/>
        </w:rPr>
        <w:t xml:space="preserve"> (Sup. Ct. J.) to </w:t>
      </w:r>
      <w:r>
        <w:rPr>
          <w:rFonts w:ascii="arial" w:eastAsia="arial" w:hAnsi="arial" w:cs="arial"/>
          <w:i/>
          <w:color w:val="000000"/>
          <w:sz w:val="20"/>
          <w:lang w:val="en-US" w:eastAsia="en-US" w:bidi="ar-SA"/>
        </w:rPr>
        <w:t>Violette</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Wolfe</w:t>
      </w:r>
      <w:r>
        <w:rPr>
          <w:rFonts w:ascii="arial" w:eastAsia="arial" w:hAnsi="arial" w:cs="arial"/>
          <w:color w:val="000000"/>
          <w:sz w:val="20"/>
          <w:lang w:val="en-US" w:eastAsia="en-US" w:bidi="ar-SA"/>
        </w:rPr>
        <w:t>, the insurer voided the plaintiffs' homeowner policy on the basis of material change relying on statutory conditions 1 and 4. The allegation was they had failed to notify the insurer that portable electric heaters had been installed as the primary heating source. The court rejected the plaintiff's argument the test required the insurer to prove they knew subjectively the change in risk was material to the insurer, concluding the insurer was only required to prove the insured was aware of the change and the change was within his control, not that it was material (at para. 21).</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95</w:t>
      </w:r>
      <w:r>
        <w:rPr>
          <w:rFonts w:ascii="arial" w:eastAsia="arial" w:hAnsi="arial" w:cs="arial"/>
          <w:color w:val="000000"/>
          <w:sz w:val="20"/>
          <w:lang w:val="en-US" w:eastAsia="en-US" w:bidi="ar-SA"/>
        </w:rPr>
        <w:t>  </w:t>
      </w:r>
      <w:r>
        <w:rPr>
          <w:rFonts w:ascii="arial" w:eastAsia="arial" w:hAnsi="arial" w:cs="arial"/>
          <w:i/>
          <w:color w:val="000000"/>
          <w:sz w:val="20"/>
          <w:lang w:val="en-US" w:eastAsia="en-US" w:bidi="ar-SA"/>
        </w:rPr>
        <w:t>Wolfe, Violette</w:t>
      </w:r>
      <w:r>
        <w:rPr>
          <w:rFonts w:ascii="arial" w:eastAsia="arial" w:hAnsi="arial" w:cs="arial"/>
          <w:color w:val="000000"/>
          <w:sz w:val="20"/>
          <w:lang w:val="en-US" w:eastAsia="en-US" w:bidi="ar-SA"/>
        </w:rPr>
        <w:t xml:space="preserve"> and </w:t>
      </w:r>
      <w:r>
        <w:rPr>
          <w:rFonts w:ascii="arial" w:eastAsia="arial" w:hAnsi="arial" w:cs="arial"/>
          <w:i/>
          <w:color w:val="000000"/>
          <w:sz w:val="20"/>
          <w:lang w:val="en-US" w:eastAsia="en-US" w:bidi="ar-SA"/>
        </w:rPr>
        <w:t>Aviva</w:t>
      </w:r>
      <w:r>
        <w:rPr>
          <w:rFonts w:ascii="arial" w:eastAsia="arial" w:hAnsi="arial" w:cs="arial"/>
          <w:color w:val="000000"/>
          <w:sz w:val="20"/>
          <w:lang w:val="en-US" w:eastAsia="en-US" w:bidi="ar-SA"/>
        </w:rPr>
        <w:t xml:space="preserve"> are persuasive but not binding authorities in BC. </w:t>
      </w:r>
      <w:r>
        <w:rPr>
          <w:rFonts w:ascii="arial" w:eastAsia="arial" w:hAnsi="arial" w:cs="arial"/>
          <w:i/>
          <w:color w:val="000000"/>
          <w:sz w:val="20"/>
          <w:lang w:val="en-US" w:eastAsia="en-US" w:bidi="ar-SA"/>
        </w:rPr>
        <w:t>Wolfe</w:t>
      </w:r>
      <w:r>
        <w:rPr>
          <w:rFonts w:ascii="arial" w:eastAsia="arial" w:hAnsi="arial" w:cs="arial"/>
          <w:color w:val="000000"/>
          <w:sz w:val="20"/>
          <w:lang w:val="en-US" w:eastAsia="en-US" w:bidi="ar-SA"/>
        </w:rPr>
        <w:t xml:space="preserve">, unlike </w:t>
      </w:r>
      <w:r>
        <w:rPr>
          <w:rFonts w:ascii="arial" w:eastAsia="arial" w:hAnsi="arial" w:cs="arial"/>
          <w:i/>
          <w:color w:val="000000"/>
          <w:sz w:val="20"/>
          <w:lang w:val="en-US" w:eastAsia="en-US" w:bidi="ar-SA"/>
        </w:rPr>
        <w:t>Violette</w:t>
      </w:r>
      <w:r>
        <w:rPr>
          <w:rFonts w:ascii="arial" w:eastAsia="arial" w:hAnsi="arial" w:cs="arial"/>
          <w:color w:val="000000"/>
          <w:sz w:val="20"/>
          <w:lang w:val="en-US" w:eastAsia="en-US" w:bidi="ar-SA"/>
        </w:rPr>
        <w:t xml:space="preserve"> and </w:t>
      </w:r>
      <w:r>
        <w:rPr>
          <w:rFonts w:ascii="arial" w:eastAsia="arial" w:hAnsi="arial" w:cs="arial"/>
          <w:i/>
          <w:color w:val="000000"/>
          <w:sz w:val="20"/>
          <w:lang w:val="en-US" w:eastAsia="en-US" w:bidi="ar-SA"/>
        </w:rPr>
        <w:t>Aviva</w:t>
      </w:r>
      <w:r>
        <w:rPr>
          <w:rFonts w:ascii="arial" w:eastAsia="arial" w:hAnsi="arial" w:cs="arial"/>
          <w:color w:val="000000"/>
          <w:sz w:val="20"/>
          <w:lang w:val="en-US" w:eastAsia="en-US" w:bidi="ar-SA"/>
        </w:rPr>
        <w:t>, did not include any analysis of statutory condition 4. Unfortunately the same is largely true of the parties' submissions.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i/>
          <w:color w:val="000000"/>
          <w:sz w:val="20"/>
          <w:lang w:val="en-US" w:eastAsia="en-US" w:bidi="ar-SA"/>
        </w:rPr>
        <w:t>Discussion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96</w:t>
      </w:r>
      <w:r>
        <w:rPr>
          <w:rFonts w:ascii="arial" w:eastAsia="arial" w:hAnsi="arial" w:cs="arial"/>
          <w:color w:val="000000"/>
          <w:sz w:val="20"/>
          <w:lang w:val="en-US" w:eastAsia="en-US" w:bidi="ar-SA"/>
        </w:rPr>
        <w:t xml:space="preserve">  The interpretative issue is a challenging and important one, in terms of its broad implications. I agree with aspects of the decision in </w:t>
      </w:r>
      <w:r>
        <w:rPr>
          <w:rFonts w:ascii="arial" w:eastAsia="arial" w:hAnsi="arial" w:cs="arial"/>
          <w:i/>
          <w:color w:val="000000"/>
          <w:sz w:val="20"/>
          <w:lang w:val="en-US" w:eastAsia="en-US" w:bidi="ar-SA"/>
        </w:rPr>
        <w:t>Violette</w:t>
      </w:r>
      <w:r>
        <w:rPr>
          <w:rFonts w:ascii="arial" w:eastAsia="arial" w:hAnsi="arial" w:cs="arial"/>
          <w:color w:val="000000"/>
          <w:sz w:val="20"/>
          <w:lang w:val="en-US" w:eastAsia="en-US" w:bidi="ar-SA"/>
        </w:rPr>
        <w:t>. Most significantly, I agree statutory condition 4 is ambiguous with respect to what it is meant by within the knowledge of an insured. Without discerning the legislature's intention, I also accept, that on its face, the apparently sharp normative distinction between initial omissions under statutory condition 1 and the obligation to notify of discerning changes in risk under statutory condition 4 is difficult to reconcile.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97</w:t>
      </w:r>
      <w:r>
        <w:rPr>
          <w:rFonts w:ascii="arial" w:eastAsia="arial" w:hAnsi="arial" w:cs="arial"/>
          <w:color w:val="000000"/>
          <w:sz w:val="20"/>
          <w:lang w:val="en-US" w:eastAsia="en-US" w:bidi="ar-SA"/>
        </w:rPr>
        <w:t xml:space="preserve">  Reading "within the knowledge (and control) of the insured" contextually and harmoniously with statutory condition one in particular, and recognizing their remedial purpose arguably weighs in favour of concluding at least objective knowledge of materiality is required. Objective knowledge would be consistent with the reasonable insurer standard for materiality. Chief Justice Drapeau suggested however subjective knowledge aligns better with "knowledge (and control) of the insured", given that the statutory condition 4 does not refer to what an insured could or should have known. Equally persuasive is his interpretation of the dual knowledge and control requirements at para. 60 of his reasons set out above. Yet, I have some concern about the impact of requiring an insurer to prove subjective knowledge of materiality, depending on the meaning and application of such a standard. An approach that recognizes knowledge for an insured means knowledge the change is significant or relevant to his or her insurance, an insurance risk in other words, and wilful blindness to prevent the mischief of asserting a lack of knowledge when an insured has ignored relevant advice and information would mitigate my concern. The other reality however is that statutory condition 4 did serve a remedial purpose when it was first enacted. It modified the common law to better protect insureds by adding the requirement that the change had to be within the knowledge and control and of the insured: </w:t>
      </w:r>
      <w:r>
        <w:rPr>
          <w:rFonts w:ascii="arial" w:eastAsia="arial" w:hAnsi="arial" w:cs="arial"/>
          <w:i/>
          <w:color w:val="000000"/>
          <w:sz w:val="20"/>
          <w:lang w:val="en-US" w:eastAsia="en-US" w:bidi="ar-SA"/>
        </w:rPr>
        <w:t>Watkins</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98</w:t>
      </w:r>
      <w:r>
        <w:rPr>
          <w:rFonts w:ascii="arial" w:eastAsia="arial" w:hAnsi="arial" w:cs="arial"/>
          <w:color w:val="000000"/>
          <w:sz w:val="20"/>
          <w:lang w:val="en-US" w:eastAsia="en-US" w:bidi="ar-SA"/>
        </w:rPr>
        <w:t>  Ultimately, I have determined it is unnecessary to resolve whether statutory condition 4 requires the insurer to prove the insured knew, either objectively or subjectively, the change in risk was material to the insurer. Based on my assessment of the evidence, I am satisfied not only that the Schellenbergs ought to have known the presence of the grow operation in the outbuilding was material to the risk but that Mr. Schellenberg actually did know. Before discussing the basis for this finding, in addition to the findings I have already made, and my commentary on particular aspects of the evidence, I make the following findings:</w:t>
      </w:r>
      <w:r>
        <w:rPr>
          <w:rFonts w:ascii="arial" w:eastAsia="arial" w:hAnsi="arial" w:cs="arial"/>
          <w:sz w:val="20"/>
          <w:lang w:val="en-US" w:eastAsia="en-US" w:bidi="ar-SA"/>
        </w:rPr>
        <w:cr/>
      </w:r>
    </w:p>
    <w:p>
      <w:pPr>
        <w:numPr>
          <w:numId w:val="2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Based on the whole of the evidence, I am satisfied the Schellenbergs received the Renewal Letter along with the attachment each year from Hub, and policy renewal documents from Wawanesa which neither of them read. Even without reading the Reminder Letter, the attachment or the Wawanesa documents, Mr. Schellenberg knew he had an obligation to notify Hub or Wawanesa of significant changes to the property or its use because changes in risk could effect both their premiums and their coverage. This awareness led to his previous inquiry about whether there would be coverage if he worked for others on the property, and his disputed evidence about speaking with Ms. Koehn when the electrical system was first upgraded. Whether he made the call or not, his testimony shows he thought he should contact Hub to ensure adequate coverage. The same is true of his call to Ms. Koehn after the outbuilding was complete.</w:t>
      </w:r>
    </w:p>
    <w:p>
      <w:pPr>
        <w:numPr>
          <w:numId w:val="2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Preferring the evidence of Ms. Koehn to Mr. Schellenberg where it conflicts based on my credibility assessment, and in particular, the material changes in his evidence regarding their telephone discussion and because her version of events better accords with the probabilities affecting the case, including the details of the insurance policy she accessed at the time of their phone call, along with her many years of experience as an insurance broker, I accept Mr. Schellenberg did not tell her he wanted to be over insured. Nor did she tell him the coverage on the outbuilding was $300,000. Instead she explained the details of the policy as suggested in her evidence. Given his concession during cross examination is goes without saying that Mr. Schellenberg did not tell Ms. Koehn about the upgrade to the electrical system from 200 to 400 amps.</w:t>
      </w:r>
    </w:p>
    <w:p>
      <w:pPr>
        <w:numPr>
          <w:numId w:val="2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At the same time I do accept Mr. Schellenberg made the call because he was concerned about the existing coverage due to an increase in the value of their home and the cost of completing the outbuilding.</w:t>
      </w:r>
    </w:p>
    <w:p>
      <w:pPr>
        <w:numPr>
          <w:numId w:val="32"/>
        </w:numPr>
        <w:tabs>
          <w:tab w:val="num" w:pos="760"/>
          <w:tab w:val="clear" w:pos="1120"/>
        </w:tabs>
        <w:spacing w:before="120" w:line="260" w:lineRule="atLeast"/>
        <w:ind w:left="760"/>
        <w:jc w:val="both"/>
        <w:rPr>
          <w:rFonts w:ascii="arial" w:eastAsia="arial" w:hAnsi="arial" w:cs="arial"/>
          <w:sz w:val="20"/>
          <w:lang w:val="en-US" w:eastAsia="en-US" w:bidi="ar-SA"/>
        </w:rPr>
      </w:pPr>
      <w:r>
        <w:rPr>
          <w:rFonts w:ascii="arial" w:eastAsia="arial" w:hAnsi="arial" w:cs="arial"/>
          <w:color w:val="000000"/>
          <w:sz w:val="20"/>
          <w:lang w:val="en-US" w:eastAsia="en-US" w:bidi="ar-SA"/>
        </w:rPr>
        <w:t>Although it is possible the grow operation was not in place when Mr. Schellenberg spoke to Ms. Koehn, I am satisfied it likely was. Again he changed his evidence to suggest tentatively it may not have been. There is no evidence the shop was completed and equipped with the hoist at a different time from the grow operation. Further, the Schellenbergs agreed the grow operation started 18 months before the fire, or about half way through 2012. I accept Ms. Koehn's evidence the phone call occurred in 2012 or 2013. In any event, I have no doubt that by the time Mr. Schellenberg spoke to Ms. Koehn, the grow operation had been planned for some time and steps had been taken to obtain licenses from Health Canada. The Schellenbergs gave no evidence that would indicate they ever had a different plan for the various rooms in the bunker occupied by marijuana plants at various stages of growth, drying after being harvested, or already dried and being stored.</w:t>
      </w:r>
    </w:p>
    <w:p>
      <w:pPr>
        <w:numPr>
          <w:numId w:val="33"/>
        </w:numPr>
        <w:tabs>
          <w:tab w:val="num" w:pos="760"/>
          <w:tab w:val="clear" w:pos="1120"/>
        </w:tabs>
        <w:spacing w:before="120" w:line="260" w:lineRule="atLeast"/>
        <w:ind w:left="760"/>
        <w:jc w:val="both"/>
        <w:rPr>
          <w:rFonts w:ascii="arial" w:eastAsia="arial" w:hAnsi="arial" w:cs="arial"/>
          <w:sz w:val="20"/>
          <w:lang w:val="en-US" w:eastAsia="en-US" w:bidi="ar-SA"/>
        </w:rPr>
      </w:pPr>
      <w:r>
        <w:rPr>
          <w:rFonts w:ascii="arial" w:eastAsia="arial" w:hAnsi="arial" w:cs="arial"/>
          <w:color w:val="000000"/>
          <w:sz w:val="20"/>
          <w:lang w:val="en-US" w:eastAsia="en-US" w:bidi="ar-SA"/>
        </w:rPr>
        <w:t>There is no question that after the phone call, neither Mr. nor Mrs. Schellenberg notified Hub or Wawanesa of the grow operation or the upgrade to the electrical system. During that time, the Schellenbergs received insurance renewal documents, the Renewal Letter and the attachment, and renewed their insurance at least once, if not twice.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99</w:t>
      </w:r>
      <w:r>
        <w:rPr>
          <w:rFonts w:ascii="arial" w:eastAsia="arial" w:hAnsi="arial" w:cs="arial"/>
          <w:color w:val="000000"/>
          <w:sz w:val="20"/>
          <w:lang w:val="en-US" w:eastAsia="en-US" w:bidi="ar-SA"/>
        </w:rPr>
        <w:t xml:space="preserve">  I have already rejected some of the Schellenbergs' evidence in support of the assertion that they did not know the presence of the grow operation was a </w:t>
      </w:r>
      <w:r>
        <w:rPr>
          <w:rFonts w:ascii="arial" w:eastAsia="arial" w:hAnsi="arial" w:cs="arial"/>
          <w:i/>
          <w:color w:val="000000"/>
          <w:sz w:val="20"/>
          <w:lang w:val="en-US" w:eastAsia="en-US" w:bidi="ar-SA"/>
        </w:rPr>
        <w:t>materia</w:t>
      </w:r>
      <w:r>
        <w:rPr>
          <w:rFonts w:ascii="arial" w:eastAsia="arial" w:hAnsi="arial" w:cs="arial"/>
          <w:color w:val="000000"/>
          <w:sz w:val="20"/>
          <w:lang w:val="en-US" w:eastAsia="en-US" w:bidi="ar-SA"/>
        </w:rPr>
        <w:t>l change in risk, meaning an insurance risk, finding it disingenuous. Similarly, I reject their evidence that the Renewal Letter and the examples of material change listed in the attachment they received each year, if read, would not have alerted them to the need to notify Hub or Wawanesa of the grow operation. Clearly the magnitude and complexity of the grow operation installed in their outbuilding was a significant change, very far from an ordinary use of the property, and certainly more unusual than the presence of the shop which Mr. Schellenberg did disclose. Given its elaborate infrastructure, the number of marijuana plants being grown, the amount of space they and the drying/dried marijuana occupied, and the Schellenberg's fear of being targeted, the suggestion Mr. Schellenberg never considered the grow operation relevant to their insurance is simply not believable. The suggestion becomes implausible when one considers that he was aware of the obligation to notify Hub or Wawanesa of changes in risk that could affect their premiums or coverage.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100</w:t>
      </w:r>
      <w:r>
        <w:rPr>
          <w:rFonts w:ascii="arial" w:eastAsia="arial" w:hAnsi="arial" w:cs="arial"/>
          <w:color w:val="000000"/>
          <w:sz w:val="20"/>
          <w:lang w:val="en-US" w:eastAsia="en-US" w:bidi="ar-SA"/>
        </w:rPr>
        <w:t>  In all of these circumstances, it seems clear to me Mr. Schellenberg mislead Ms. Koehn by disclosing the shop but not the grow operation or the upgrade to the electrical system during their phone call. Although he may well have disclosed the grow operation or the upgrade to the electrical system if asked directly about either one, I do not accept that if he had been asked only about the upgrade and then for an explanation, his answer would have included the presence of the grow operation, based on his evidence denying any awareness of risk and his evidence denying the upgrade was due to the grow operation. The other explanation for never later telling Hub or Wawanesa about its presence- the Schellenbergs' practice of not telling anyone willingly - was also unpersuasive. The evidence of both established this practice was rooted in a fear of being the target of crime or perhaps unwanted attention. Neither explained how notifying Hub or Wawanesa could possibly lead to either consequence.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101</w:t>
      </w:r>
      <w:r>
        <w:rPr>
          <w:rFonts w:ascii="arial" w:eastAsia="arial" w:hAnsi="arial" w:cs="arial"/>
          <w:color w:val="000000"/>
          <w:sz w:val="20"/>
          <w:lang w:val="en-US" w:eastAsia="en-US" w:bidi="ar-SA"/>
        </w:rPr>
        <w:t>  To reiterate, I find that Mr. Schellenberg knew the presence of the grow operation and the upgrade to the electrical system were changes in risk relevant, if not significant, to their insurance coverage or premiums which he failed to disclose, first to Ms. Koehn in 2012 or 2013 and then Hub or Wawanesa afterwards.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Other Elements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102</w:t>
      </w:r>
      <w:r>
        <w:rPr>
          <w:rFonts w:ascii="arial" w:eastAsia="arial" w:hAnsi="arial" w:cs="arial"/>
          <w:color w:val="000000"/>
          <w:sz w:val="20"/>
          <w:lang w:val="en-US" w:eastAsia="en-US" w:bidi="ar-SA"/>
        </w:rPr>
        <w:t>  The Schellenbergs did not dispute that Wawanesa has established the other elements of the test under statutory condition 4.</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103</w:t>
      </w:r>
      <w:r>
        <w:rPr>
          <w:rFonts w:ascii="arial" w:eastAsia="arial" w:hAnsi="arial" w:cs="arial"/>
          <w:color w:val="000000"/>
          <w:sz w:val="20"/>
          <w:lang w:val="en-US" w:eastAsia="en-US" w:bidi="ar-SA"/>
        </w:rPr>
        <w:t>  Both readily admitted to facts establishing they had knowledge and control of the changes in risk, the presence of the grow operation in the outbuilding and the upgrade to the electrical system. Both are registered owners of the property where they live in their home full-time. It was Mrs. Schellenberg who first learned about growing marijuana and then facilitated the applications for the Health Canada licenses. Their written consent was a necessary part of that process. Mr. Schellenberg arranged for the upgrade to the electrical system that provided 200 amps to the outbuilding and was involved in constructing and/or installing the grow operation's infrastructure in the bunker. Further, he indicated he sometimes helped out with the grow operation itself and responded to police, showing them the licenses posted inside. Again, the Schellenbergs acknowledge they did not notify Wawanesa or Hub of the presence of the grow operation or the upgrade to the electrical system before the fire.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Other Issues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104</w:t>
      </w:r>
      <w:r>
        <w:rPr>
          <w:rFonts w:ascii="arial" w:eastAsia="arial" w:hAnsi="arial" w:cs="arial"/>
          <w:color w:val="000000"/>
          <w:sz w:val="20"/>
          <w:lang w:val="en-US" w:eastAsia="en-US" w:bidi="ar-SA"/>
        </w:rPr>
        <w:t xml:space="preserve">  The Schellenbergs have not pleaded or submitted they should be relieved of the consequences of their breach of statutory condition 4, pursuant to s. 32 of the </w:t>
      </w:r>
      <w:r>
        <w:rPr>
          <w:rFonts w:ascii="arial" w:eastAsia="arial" w:hAnsi="arial" w:cs="arial"/>
          <w:i/>
          <w:color w:val="000000"/>
          <w:sz w:val="20"/>
          <w:lang w:val="en-US" w:eastAsia="en-US" w:bidi="ar-SA"/>
        </w:rPr>
        <w:t>Insurance Act</w:t>
      </w:r>
      <w:r>
        <w:rPr>
          <w:rFonts w:ascii="arial" w:eastAsia="arial" w:hAnsi="arial" w:cs="arial"/>
          <w:color w:val="000000"/>
          <w:sz w:val="20"/>
          <w:lang w:val="en-US" w:eastAsia="en-US" w:bidi="ar-SA"/>
        </w:rPr>
        <w:t>, which allows the court to find a condition not binding if held to be unjust or unreasonable. I will therefore say no more about this.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105</w:t>
      </w:r>
      <w:r>
        <w:rPr>
          <w:rFonts w:ascii="arial" w:eastAsia="arial" w:hAnsi="arial" w:cs="arial"/>
          <w:color w:val="000000"/>
          <w:sz w:val="20"/>
          <w:lang w:val="en-US" w:eastAsia="en-US" w:bidi="ar-SA"/>
        </w:rPr>
        <w:t xml:space="preserve">  Similarly, the Schellenbergs did not plead or make express submissions seeking relief from forfeiture and termination of their coverage under s. 13 of the </w:t>
      </w:r>
      <w:r>
        <w:rPr>
          <w:rFonts w:ascii="arial" w:eastAsia="arial" w:hAnsi="arial" w:cs="arial"/>
          <w:i/>
          <w:color w:val="000000"/>
          <w:sz w:val="20"/>
          <w:lang w:val="en-US" w:eastAsia="en-US" w:bidi="ar-SA"/>
        </w:rPr>
        <w:t>Insurance Act</w:t>
      </w:r>
      <w:r>
        <w:rPr>
          <w:rFonts w:ascii="arial" w:eastAsia="arial" w:hAnsi="arial" w:cs="arial"/>
          <w:color w:val="000000"/>
          <w:sz w:val="20"/>
          <w:lang w:val="en-US" w:eastAsia="en-US" w:bidi="ar-SA"/>
        </w:rPr>
        <w:t>, although the provision is set out in additional written submissions I requested after reserving my decision. In any event, I am satisfied there is no basis for providing any such relief here for the reasons stated by Wawanesa in its reply submissions to their additional submissions.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106</w:t>
      </w:r>
      <w:r>
        <w:rPr>
          <w:rFonts w:ascii="arial" w:eastAsia="arial" w:hAnsi="arial" w:cs="arial"/>
          <w:color w:val="000000"/>
          <w:sz w:val="20"/>
          <w:lang w:val="en-US" w:eastAsia="en-US" w:bidi="ar-SA"/>
        </w:rPr>
        <w:t>  Accordingly, I find that Wawanesa validly voided the policy based on the Schellenberg's breach of statutory condition 4, and I therefore dismiss their claim for indemnity.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Hub's Liability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107</w:t>
      </w:r>
      <w:r>
        <w:rPr>
          <w:rFonts w:ascii="arial" w:eastAsia="arial" w:hAnsi="arial" w:cs="arial"/>
          <w:color w:val="000000"/>
          <w:sz w:val="20"/>
          <w:lang w:val="en-US" w:eastAsia="en-US" w:bidi="ar-SA"/>
        </w:rPr>
        <w:t xml:space="preserve">  Again, the Schellenberg seek damages from Hub based on claims of breach of contract and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i/>
          <w:color w:val="000000"/>
          <w:sz w:val="20"/>
          <w:u w:val="single"/>
          <w:lang w:val="en-US" w:eastAsia="en-US" w:bidi="ar-SA"/>
        </w:rPr>
        <w:t>Negligence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108</w:t>
      </w:r>
      <w:r>
        <w:rPr>
          <w:rFonts w:ascii="arial" w:eastAsia="arial" w:hAnsi="arial" w:cs="arial"/>
          <w:color w:val="000000"/>
          <w:sz w:val="20"/>
          <w:lang w:val="en-US" w:eastAsia="en-US" w:bidi="ar-SA"/>
        </w:rPr>
        <w:t xml:space="preserve">  There is no dispute about what the Schellenbergs must prove to establish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w:t>
      </w:r>
      <w:r>
        <w:rPr>
          <w:rFonts w:ascii="arial" w:eastAsia="arial" w:hAnsi="arial" w:cs="arial"/>
          <w:sz w:val="20"/>
          <w:lang w:val="en-US" w:eastAsia="en-US" w:bidi="ar-SA"/>
        </w:rPr>
        <w:cr/>
      </w:r>
    </w:p>
    <w:p>
      <w:pPr>
        <w:numPr>
          <w:numId w:val="34"/>
        </w:numPr>
        <w:tabs>
          <w:tab w:val="num" w:pos="760"/>
          <w:tab w:val="clear" w:pos="1120"/>
        </w:tabs>
        <w:spacing w:before="120" w:line="260" w:lineRule="atLeast"/>
        <w:ind w:left="760"/>
        <w:jc w:val="both"/>
        <w:rPr>
          <w:rFonts w:ascii="arial" w:eastAsia="arial" w:hAnsi="arial" w:cs="arial"/>
          <w:sz w:val="20"/>
          <w:lang w:val="en-US" w:eastAsia="en-US" w:bidi="ar-SA"/>
        </w:rPr>
      </w:pPr>
      <w:r>
        <w:rPr>
          <w:rFonts w:ascii="arial" w:eastAsia="arial" w:hAnsi="arial" w:cs="arial"/>
          <w:color w:val="000000"/>
          <w:sz w:val="20"/>
          <w:lang w:val="en-US" w:eastAsia="en-US" w:bidi="ar-SA"/>
        </w:rPr>
        <w:t>Hub owed them a duty of care;</w:t>
      </w:r>
    </w:p>
    <w:p>
      <w:pPr>
        <w:numPr>
          <w:numId w:val="34"/>
        </w:numPr>
        <w:tabs>
          <w:tab w:val="num" w:pos="760"/>
          <w:tab w:val="clear" w:pos="1120"/>
        </w:tabs>
        <w:spacing w:before="120" w:line="260" w:lineRule="atLeast"/>
        <w:ind w:left="760"/>
        <w:jc w:val="both"/>
        <w:rPr>
          <w:rFonts w:ascii="arial" w:eastAsia="arial" w:hAnsi="arial" w:cs="arial"/>
          <w:sz w:val="20"/>
          <w:lang w:val="en-US" w:eastAsia="en-US" w:bidi="ar-SA"/>
        </w:rPr>
      </w:pPr>
      <w:r>
        <w:rPr>
          <w:rFonts w:ascii="arial" w:eastAsia="arial" w:hAnsi="arial" w:cs="arial"/>
          <w:color w:val="000000"/>
          <w:sz w:val="20"/>
          <w:lang w:val="en-US" w:eastAsia="en-US" w:bidi="ar-SA"/>
        </w:rPr>
        <w:t>It breached the standard of care;</w:t>
      </w:r>
    </w:p>
    <w:p>
      <w:pPr>
        <w:numPr>
          <w:numId w:val="34"/>
        </w:numPr>
        <w:tabs>
          <w:tab w:val="num" w:pos="760"/>
          <w:tab w:val="clear" w:pos="1120"/>
        </w:tabs>
        <w:spacing w:before="120" w:line="260" w:lineRule="atLeast"/>
        <w:ind w:left="760"/>
        <w:jc w:val="both"/>
        <w:rPr>
          <w:rFonts w:ascii="arial" w:eastAsia="arial" w:hAnsi="arial" w:cs="arial"/>
          <w:sz w:val="20"/>
          <w:lang w:val="en-US" w:eastAsia="en-US" w:bidi="ar-SA"/>
        </w:rPr>
      </w:pPr>
      <w:r>
        <w:rPr>
          <w:rFonts w:ascii="arial" w:eastAsia="arial" w:hAnsi="arial" w:cs="arial"/>
          <w:color w:val="000000"/>
          <w:sz w:val="20"/>
          <w:lang w:val="en-US" w:eastAsia="en-US" w:bidi="ar-SA"/>
        </w:rPr>
        <w:t>They sustained damage; and</w:t>
      </w:r>
    </w:p>
    <w:p>
      <w:pPr>
        <w:numPr>
          <w:numId w:val="34"/>
        </w:numPr>
        <w:tabs>
          <w:tab w:val="num" w:pos="760"/>
          <w:tab w:val="clear" w:pos="1120"/>
        </w:tabs>
        <w:spacing w:before="120" w:line="260" w:lineRule="atLeast"/>
        <w:ind w:left="760"/>
        <w:jc w:val="both"/>
        <w:rPr>
          <w:rFonts w:ascii="arial" w:eastAsia="arial" w:hAnsi="arial" w:cs="arial"/>
          <w:sz w:val="20"/>
          <w:lang w:val="en-US" w:eastAsia="en-US" w:bidi="ar-SA"/>
        </w:rPr>
      </w:pPr>
      <w:r>
        <w:rPr>
          <w:rFonts w:ascii="arial" w:eastAsia="arial" w:hAnsi="arial" w:cs="arial"/>
          <w:color w:val="000000"/>
          <w:sz w:val="20"/>
          <w:lang w:val="en-US" w:eastAsia="en-US" w:bidi="ar-SA"/>
        </w:rPr>
        <w:t>That damage was caused, in fact and in law, by Hub's breach (</w:t>
      </w:r>
      <w:r>
        <w:rPr>
          <w:rFonts w:ascii="arial" w:eastAsia="arial" w:hAnsi="arial" w:cs="arial"/>
          <w:i/>
          <w:color w:val="000000"/>
          <w:sz w:val="20"/>
          <w:lang w:val="en-US" w:eastAsia="en-US" w:bidi="ar-SA"/>
        </w:rPr>
        <w:t>Mustapha v. Culligan of Canada Ltd.</w:t>
      </w:r>
      <w:r>
        <w:rPr>
          <w:rFonts w:ascii="arial" w:eastAsia="arial" w:hAnsi="arial" w:cs="arial"/>
          <w:color w:val="000000"/>
          <w:sz w:val="20"/>
          <w:lang w:val="en-US" w:eastAsia="en-US" w:bidi="ar-SA"/>
        </w:rPr>
        <w:t xml:space="preserve">, </w:t>
      </w:r>
      <w:hyperlink r:id="rId40" w:history="1">
        <w:r>
          <w:rPr>
            <w:rFonts w:ascii="arial" w:eastAsia="arial" w:hAnsi="arial" w:cs="arial"/>
            <w:i/>
            <w:color w:val="0077CC"/>
            <w:sz w:val="20"/>
            <w:u w:val="single"/>
            <w:shd w:val="clear" w:color="auto" w:fill="FFFFFF"/>
            <w:lang w:val="en-US" w:eastAsia="en-US" w:bidi="ar-SA"/>
          </w:rPr>
          <w:t>2008 SCC 27</w:t>
        </w:r>
      </w:hyperlink>
      <w:r>
        <w:rPr>
          <w:rFonts w:ascii="arial" w:eastAsia="arial" w:hAnsi="arial" w:cs="arial"/>
          <w:color w:val="000000"/>
          <w:sz w:val="20"/>
          <w:lang w:val="en-US" w:eastAsia="en-US" w:bidi="ar-SA"/>
        </w:rPr>
        <w:t xml:space="preserve"> at para. 3.</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109</w:t>
      </w:r>
      <w:r>
        <w:rPr>
          <w:rFonts w:ascii="arial" w:eastAsia="arial" w:hAnsi="arial" w:cs="arial"/>
          <w:color w:val="000000"/>
          <w:sz w:val="20"/>
          <w:lang w:val="en-US" w:eastAsia="en-US" w:bidi="ar-SA"/>
        </w:rPr>
        <w:t>  Hub concedes that it owed the Schellenbergs a duty of care but denies any breach of that duty.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110</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Beck Estates v. Johnston, Meier Insurance Agencies Ltd.</w:t>
      </w:r>
      <w:r>
        <w:rPr>
          <w:rFonts w:ascii="arial" w:eastAsia="arial" w:hAnsi="arial" w:cs="arial"/>
          <w:color w:val="000000"/>
          <w:sz w:val="20"/>
          <w:lang w:val="en-US" w:eastAsia="en-US" w:bidi="ar-SA"/>
        </w:rPr>
        <w:t xml:space="preserve">, </w:t>
      </w:r>
      <w:hyperlink r:id="rId227" w:history="1">
        <w:r>
          <w:rPr>
            <w:rFonts w:ascii="arial" w:eastAsia="arial" w:hAnsi="arial" w:cs="arial"/>
            <w:i/>
            <w:color w:val="0077CC"/>
            <w:sz w:val="20"/>
            <w:u w:val="single"/>
            <w:shd w:val="clear" w:color="auto" w:fill="FFFFFF"/>
            <w:lang w:val="en-US" w:eastAsia="en-US" w:bidi="ar-SA"/>
          </w:rPr>
          <w:t>2010 BCSC 719</w:t>
        </w:r>
      </w:hyperlink>
      <w:r>
        <w:rPr>
          <w:rFonts w:ascii="arial" w:eastAsia="arial" w:hAnsi="arial" w:cs="arial"/>
          <w:color w:val="000000"/>
          <w:sz w:val="20"/>
          <w:lang w:val="en-US" w:eastAsia="en-US" w:bidi="ar-SA"/>
        </w:rPr>
        <w:t xml:space="preserve">, aff'd </w:t>
      </w:r>
      <w:hyperlink r:id="rId228" w:history="1">
        <w:r>
          <w:rPr>
            <w:rFonts w:ascii="arial" w:eastAsia="arial" w:hAnsi="arial" w:cs="arial"/>
            <w:i/>
            <w:color w:val="0077CC"/>
            <w:sz w:val="20"/>
            <w:u w:val="single"/>
            <w:shd w:val="clear" w:color="auto" w:fill="FFFFFF"/>
            <w:lang w:val="en-US" w:eastAsia="en-US" w:bidi="ar-SA"/>
          </w:rPr>
          <w:t>2011 BCCA 250</w:t>
        </w:r>
      </w:hyperlink>
      <w:r>
        <w:rPr>
          <w:rFonts w:ascii="arial" w:eastAsia="arial" w:hAnsi="arial" w:cs="arial"/>
          <w:color w:val="000000"/>
          <w:sz w:val="20"/>
          <w:lang w:val="en-US" w:eastAsia="en-US" w:bidi="ar-SA"/>
        </w:rPr>
        <w:t xml:space="preserve">, Justice Griffin, as she then was, identified the nature of an insurance broker's duty of care as providing advice to a customer about the coverage available to meet the customer's needs, including gaps in coverage and how to protect against those gaps, with reference to </w:t>
      </w:r>
      <w:r>
        <w:rPr>
          <w:rFonts w:ascii="arial" w:eastAsia="arial" w:hAnsi="arial" w:cs="arial"/>
          <w:i/>
          <w:color w:val="000000"/>
          <w:sz w:val="20"/>
          <w:lang w:val="en-US" w:eastAsia="en-US" w:bidi="ar-SA"/>
        </w:rPr>
        <w:t>Fine's Flowers Ltd. v. General Accident Assurance Co</w:t>
      </w:r>
      <w:r>
        <w:rPr>
          <w:rFonts w:ascii="arial" w:eastAsia="arial" w:hAnsi="arial" w:cs="arial"/>
          <w:color w:val="000000"/>
          <w:sz w:val="20"/>
          <w:lang w:val="en-US" w:eastAsia="en-US" w:bidi="ar-SA"/>
        </w:rPr>
        <w:t xml:space="preserve">. </w:t>
      </w:r>
      <w:hyperlink r:id="rId229" w:history="1">
        <w:r>
          <w:rPr>
            <w:rFonts w:ascii="arial" w:eastAsia="arial" w:hAnsi="arial" w:cs="arial"/>
            <w:i/>
            <w:color w:val="0077CC"/>
            <w:sz w:val="20"/>
            <w:u w:val="single"/>
            <w:shd w:val="clear" w:color="auto" w:fill="FFFFFF"/>
            <w:lang w:val="en-US" w:eastAsia="en-US" w:bidi="ar-SA"/>
          </w:rPr>
          <w:t>(1977), 17 O.R. (2d) 529</w:t>
        </w:r>
      </w:hyperlink>
      <w:r>
        <w:rPr>
          <w:rFonts w:ascii="arial" w:eastAsia="arial" w:hAnsi="arial" w:cs="arial"/>
          <w:color w:val="000000"/>
          <w:sz w:val="20"/>
          <w:lang w:val="en-US" w:eastAsia="en-US" w:bidi="ar-SA"/>
        </w:rPr>
        <w:t xml:space="preserve"> (C.A.), and </w:t>
      </w:r>
      <w:r>
        <w:rPr>
          <w:rFonts w:ascii="arial" w:eastAsia="arial" w:hAnsi="arial" w:cs="arial"/>
          <w:i/>
          <w:color w:val="000000"/>
          <w:sz w:val="20"/>
          <w:lang w:val="en-US" w:eastAsia="en-US" w:bidi="ar-SA"/>
        </w:rPr>
        <w:t>Fletcher v. MPIC</w:t>
      </w:r>
      <w:r>
        <w:rPr>
          <w:rFonts w:ascii="arial" w:eastAsia="arial" w:hAnsi="arial" w:cs="arial"/>
          <w:color w:val="000000"/>
          <w:sz w:val="20"/>
          <w:lang w:val="en-US" w:eastAsia="en-US" w:bidi="ar-SA"/>
        </w:rPr>
        <w:t xml:space="preserve">, </w:t>
      </w:r>
      <w:hyperlink r:id="rId230" w:history="1">
        <w:r>
          <w:rPr>
            <w:rFonts w:ascii="arial" w:eastAsia="arial" w:hAnsi="arial" w:cs="arial"/>
            <w:i/>
            <w:color w:val="0077CC"/>
            <w:sz w:val="20"/>
            <w:u w:val="single"/>
            <w:shd w:val="clear" w:color="auto" w:fill="FFFFFF"/>
            <w:lang w:val="en-US" w:eastAsia="en-US" w:bidi="ar-SA"/>
          </w:rPr>
          <w:t>[1990] 3 S.C.R. 191</w:t>
        </w:r>
      </w:hyperlink>
      <w:r>
        <w:rPr>
          <w:rFonts w:ascii="arial" w:eastAsia="arial" w:hAnsi="arial" w:cs="arial"/>
          <w:color w:val="000000"/>
          <w:sz w:val="20"/>
          <w:lang w:val="en-US" w:eastAsia="en-US" w:bidi="ar-SA"/>
        </w:rPr>
        <w:t xml:space="preserve"> (S.C.C.), which cited it with approval. In </w:t>
      </w:r>
      <w:r>
        <w:rPr>
          <w:rFonts w:ascii="arial" w:eastAsia="arial" w:hAnsi="arial" w:cs="arial"/>
          <w:i/>
          <w:color w:val="000000"/>
          <w:sz w:val="20"/>
          <w:lang w:val="en-US" w:eastAsia="en-US" w:bidi="ar-SA"/>
        </w:rPr>
        <w:t>Fletcher</w:t>
      </w:r>
      <w:r>
        <w:rPr>
          <w:rFonts w:ascii="arial" w:eastAsia="arial" w:hAnsi="arial" w:cs="arial"/>
          <w:color w:val="000000"/>
          <w:sz w:val="20"/>
          <w:lang w:val="en-US" w:eastAsia="en-US" w:bidi="ar-SA"/>
        </w:rPr>
        <w:t>, Wilson J., said at para. 54:</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In my view, </w:t>
      </w:r>
      <w:r>
        <w:rPr>
          <w:rFonts w:ascii="arial" w:eastAsia="arial" w:hAnsi="arial" w:cs="arial"/>
          <w:i/>
          <w:color w:val="000000"/>
          <w:sz w:val="20"/>
          <w:lang w:val="en-US" w:eastAsia="en-US" w:bidi="ar-SA"/>
        </w:rPr>
        <w:t>Fine's Flowers</w:t>
      </w:r>
      <w:r>
        <w:rPr>
          <w:rFonts w:ascii="arial" w:eastAsia="arial" w:hAnsi="arial" w:cs="arial"/>
          <w:color w:val="000000"/>
          <w:sz w:val="20"/>
          <w:lang w:val="en-US" w:eastAsia="en-US" w:bidi="ar-SA"/>
        </w:rPr>
        <w:t xml:space="preserve"> stands for the proposition that private insurance agents owe a duty to their customers to provide not only information about available coverage, but also advice about which forms of coverage they require in order to meet their needs. I note that Professor Snow has summarized the effect of Fine's Flowers in "Liability of Insurance Agents for Failure to Obtain Effective Coverage: .. (1979), 9 Man. L.J. 165, in the following terms, at p. 169:</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implication of this case and many others like it in recent years seems clear. Consumers who place their faith in insurance agents holding themselves out as competent and find their faith misplaced, will frequently be able to find recourse against the agent ... </w:t>
      </w:r>
      <w:r>
        <w:rPr>
          <w:rFonts w:ascii="arial" w:eastAsia="arial" w:hAnsi="arial" w:cs="arial"/>
          <w:color w:val="000000"/>
          <w:sz w:val="20"/>
          <w:u w:val="single"/>
          <w:lang w:val="en-US" w:eastAsia="en-US" w:bidi="ar-SA"/>
        </w:rPr>
        <w:t>[T]he extent of the duty owed by an insurance agent, both in placing insurance and in indicating to the insured which risks are covered and which are not, as set out in this case, is a fairly stringent one for the agent</w:t>
      </w:r>
      <w:r>
        <w:rPr>
          <w:rFonts w:ascii="arial" w:eastAsia="arial" w:hAnsi="arial" w:cs="arial"/>
          <w:color w:val="000000"/>
          <w:sz w:val="20"/>
          <w:lang w:val="en-US" w:eastAsia="en-US" w:bidi="ar-SA"/>
        </w:rPr>
        <w:t>. Moreover, given the general situation of the principal relying very heavily on the expertise of the agent, it does not seem to be an unreasonable burden for an insurance agent to bear. [Emphasis in the original.]</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duty of care owed by an insurance agent was further elaborated in </w:t>
      </w:r>
      <w:r>
        <w:rPr>
          <w:rFonts w:ascii="arial" w:eastAsia="arial" w:hAnsi="arial" w:cs="arial"/>
          <w:i/>
          <w:color w:val="000000"/>
          <w:sz w:val="20"/>
          <w:lang w:val="en-US" w:eastAsia="en-US" w:bidi="ar-SA"/>
        </w:rPr>
        <w:t>G.K.N. Keller Canada Ltd. v. Hartford Fire Insurance Co</w:t>
      </w:r>
      <w:r>
        <w:rPr>
          <w:rFonts w:ascii="arial" w:eastAsia="arial" w:hAnsi="arial" w:cs="arial"/>
          <w:color w:val="000000"/>
          <w:sz w:val="20"/>
          <w:lang w:val="en-US" w:eastAsia="en-US" w:bidi="ar-SA"/>
        </w:rPr>
        <w:t xml:space="preserve">. </w:t>
      </w:r>
      <w:hyperlink r:id="rId231" w:history="1">
        <w:r>
          <w:rPr>
            <w:rFonts w:ascii="arial" w:eastAsia="arial" w:hAnsi="arial" w:cs="arial"/>
            <w:i/>
            <w:color w:val="0077CC"/>
            <w:sz w:val="20"/>
            <w:u w:val="single"/>
            <w:shd w:val="clear" w:color="auto" w:fill="FFFFFF"/>
            <w:lang w:val="en-US" w:eastAsia="en-US" w:bidi="ar-SA"/>
          </w:rPr>
          <w:t>(1983), 1 C.C.L.I. 34</w:t>
        </w:r>
      </w:hyperlink>
      <w:r>
        <w:rPr>
          <w:rFonts w:ascii="arial" w:eastAsia="arial" w:hAnsi="arial" w:cs="arial"/>
          <w:color w:val="000000"/>
          <w:sz w:val="20"/>
          <w:lang w:val="en-US" w:eastAsia="en-US" w:bidi="ar-SA"/>
        </w:rPr>
        <w:t xml:space="preserve"> (Ont. H.C.) (conf. on appeal (1984), </w:t>
      </w:r>
      <w:hyperlink r:id="rId232" w:history="1">
        <w:r>
          <w:rPr>
            <w:rFonts w:ascii="arial" w:eastAsia="arial" w:hAnsi="arial" w:cs="arial"/>
            <w:i/>
            <w:color w:val="0077CC"/>
            <w:sz w:val="20"/>
            <w:u w:val="single"/>
            <w:shd w:val="clear" w:color="auto" w:fill="FFFFFF"/>
            <w:lang w:val="en-US" w:eastAsia="en-US" w:bidi="ar-SA"/>
          </w:rPr>
          <w:t>[1984] O.J. No. 53</w:t>
        </w:r>
      </w:hyperlink>
      <w:r>
        <w:rPr>
          <w:rFonts w:ascii="arial" w:eastAsia="arial" w:hAnsi="arial" w:cs="arial"/>
          <w:color w:val="000000"/>
          <w:sz w:val="20"/>
          <w:lang w:val="en-US" w:eastAsia="en-US" w:bidi="ar-SA"/>
        </w:rPr>
        <w:t xml:space="preserve">, </w:t>
      </w:r>
      <w:hyperlink r:id="rId232" w:history="1">
        <w:r>
          <w:rPr>
            <w:rFonts w:ascii="arial" w:eastAsia="arial" w:hAnsi="arial" w:cs="arial"/>
            <w:i/>
            <w:color w:val="0077CC"/>
            <w:sz w:val="20"/>
            <w:u w:val="single"/>
            <w:shd w:val="clear" w:color="auto" w:fill="FFFFFF"/>
            <w:lang w:val="en-US" w:eastAsia="en-US" w:bidi="ar-SA"/>
          </w:rPr>
          <w:t>4 C.C.L.I. xxxvii</w:t>
        </w:r>
      </w:hyperlink>
      <w:r>
        <w:rPr>
          <w:rFonts w:ascii="arial" w:eastAsia="arial" w:hAnsi="arial" w:cs="arial"/>
          <w:color w:val="000000"/>
          <w:sz w:val="20"/>
          <w:lang w:val="en-US" w:eastAsia="en-US" w:bidi="ar-SA"/>
        </w:rPr>
        <w:t xml:space="preserve"> (Ont. C.A.)). It was held in that case that where the customer adequately describes the nature of his or her business to the agent, the onus is then on the agent to review the insurance needs of the customer and provide the full coverage requested. </w:t>
      </w:r>
      <w:r>
        <w:rPr>
          <w:rFonts w:ascii="arial" w:eastAsia="arial" w:hAnsi="arial" w:cs="arial"/>
          <w:color w:val="000000"/>
          <w:sz w:val="20"/>
          <w:u w:val="single"/>
          <w:lang w:val="en-US" w:eastAsia="en-US" w:bidi="ar-SA"/>
        </w:rPr>
        <w:t>Should an uninsured loss occur, the agent will be liable unless he or she has pointed out the gaps in coverage to the customer and advised him or her how to protect against those gaps</w:t>
      </w:r>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[Emphasis added in </w:t>
      </w:r>
      <w:r>
        <w:rPr>
          <w:rFonts w:ascii="arial" w:eastAsia="arial" w:hAnsi="arial" w:cs="arial"/>
          <w:i/>
          <w:color w:val="000000"/>
          <w:sz w:val="20"/>
          <w:lang w:val="en-US" w:eastAsia="en-US" w:bidi="ar-SA"/>
        </w:rPr>
        <w:t>Beck</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111</w:t>
      </w:r>
      <w:r>
        <w:rPr>
          <w:rFonts w:ascii="arial" w:eastAsia="arial" w:hAnsi="arial" w:cs="arial"/>
          <w:color w:val="000000"/>
          <w:sz w:val="20"/>
          <w:lang w:val="en-US" w:eastAsia="en-US" w:bidi="ar-SA"/>
        </w:rPr>
        <w:t xml:space="preserve">  The critical issue here is the standard of care because it defines the content of the duty of care and guides the court in determining whether a defendant's act or omission breached the duty: </w:t>
      </w:r>
      <w:r>
        <w:rPr>
          <w:rFonts w:ascii="arial" w:eastAsia="arial" w:hAnsi="arial" w:cs="arial"/>
          <w:i/>
          <w:color w:val="000000"/>
          <w:sz w:val="20"/>
          <w:lang w:val="en-US" w:eastAsia="en-US" w:bidi="ar-SA"/>
        </w:rPr>
        <w:t>Ryan v. Victoria (City)</w:t>
      </w:r>
      <w:r>
        <w:rPr>
          <w:rFonts w:ascii="arial" w:eastAsia="arial" w:hAnsi="arial" w:cs="arial"/>
          <w:color w:val="000000"/>
          <w:sz w:val="20"/>
          <w:lang w:val="en-US" w:eastAsia="en-US" w:bidi="ar-SA"/>
        </w:rPr>
        <w:t xml:space="preserve">, </w:t>
      </w:r>
      <w:hyperlink r:id="rId36" w:history="1">
        <w:r>
          <w:rPr>
            <w:rFonts w:ascii="arial" w:eastAsia="arial" w:hAnsi="arial" w:cs="arial"/>
            <w:i/>
            <w:color w:val="0077CC"/>
            <w:sz w:val="20"/>
            <w:u w:val="single"/>
            <w:shd w:val="clear" w:color="auto" w:fill="FFFFFF"/>
            <w:lang w:val="en-US" w:eastAsia="en-US" w:bidi="ar-SA"/>
          </w:rPr>
          <w:t>[1999] 1 S.C.R. 201</w:t>
        </w:r>
      </w:hyperlink>
      <w:r>
        <w:rPr>
          <w:rFonts w:ascii="arial" w:eastAsia="arial" w:hAnsi="arial" w:cs="arial"/>
          <w:color w:val="000000"/>
          <w:sz w:val="20"/>
          <w:lang w:val="en-US" w:eastAsia="en-US" w:bidi="ar-SA"/>
        </w:rPr>
        <w:t xml:space="preserve"> at para. 25. There is no dispute Hub was required to exercise the standard of care expected of an ordinary, reasonable and prudent insurance broker </w:t>
      </w:r>
      <w:r>
        <w:rPr>
          <w:rFonts w:ascii="arial" w:eastAsia="arial" w:hAnsi="arial" w:cs="arial"/>
          <w:i/>
          <w:color w:val="000000"/>
          <w:sz w:val="20"/>
          <w:lang w:val="en-US" w:eastAsia="en-US" w:bidi="ar-SA"/>
        </w:rPr>
        <w:t>in the circumstances</w:t>
      </w:r>
      <w:r>
        <w:rPr>
          <w:rFonts w:ascii="arial" w:eastAsia="arial" w:hAnsi="arial" w:cs="arial"/>
          <w:color w:val="000000"/>
          <w:sz w:val="20"/>
          <w:lang w:val="en-US" w:eastAsia="en-US" w:bidi="ar-SA"/>
        </w:rPr>
        <w:t>. The question is what does that mean here.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112</w:t>
      </w:r>
      <w:r>
        <w:rPr>
          <w:rFonts w:ascii="arial" w:eastAsia="arial" w:hAnsi="arial" w:cs="arial"/>
          <w:color w:val="000000"/>
          <w:sz w:val="20"/>
          <w:lang w:val="en-US" w:eastAsia="en-US" w:bidi="ar-SA"/>
        </w:rPr>
        <w:t xml:space="preserve">  In professional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cases, expert evidence is generally considered necessary to establish the standard of care subject to two exceptions: where the alleged breach is egregious and therefore obvious, and when the standard of care relates to non-technical matters within the knowledge and experience of the ordinary person: </w:t>
      </w:r>
      <w:r>
        <w:rPr>
          <w:rFonts w:ascii="arial" w:eastAsia="arial" w:hAnsi="arial" w:cs="arial"/>
          <w:i/>
          <w:color w:val="000000"/>
          <w:sz w:val="20"/>
          <w:lang w:val="en-US" w:eastAsia="en-US" w:bidi="ar-SA"/>
        </w:rPr>
        <w:t>495793 Ontario Ltd. (Central Auto Parts) v. Barclay</w:t>
      </w:r>
      <w:r>
        <w:rPr>
          <w:rFonts w:ascii="arial" w:eastAsia="arial" w:hAnsi="arial" w:cs="arial"/>
          <w:color w:val="000000"/>
          <w:sz w:val="20"/>
          <w:lang w:val="en-US" w:eastAsia="en-US" w:bidi="ar-SA"/>
        </w:rPr>
        <w:t xml:space="preserve">, </w:t>
      </w:r>
      <w:hyperlink r:id="rId233" w:history="1">
        <w:r>
          <w:rPr>
            <w:rFonts w:ascii="arial" w:eastAsia="arial" w:hAnsi="arial" w:cs="arial"/>
            <w:i/>
            <w:color w:val="0077CC"/>
            <w:sz w:val="20"/>
            <w:u w:val="single"/>
            <w:shd w:val="clear" w:color="auto" w:fill="FFFFFF"/>
            <w:lang w:val="en-US" w:eastAsia="en-US" w:bidi="ar-SA"/>
          </w:rPr>
          <w:t>2016 ONCA 656</w:t>
        </w:r>
      </w:hyperlink>
      <w:r>
        <w:rPr>
          <w:rFonts w:ascii="arial" w:eastAsia="arial" w:hAnsi="arial" w:cs="arial"/>
          <w:color w:val="000000"/>
          <w:sz w:val="20"/>
          <w:lang w:val="en-US" w:eastAsia="en-US" w:bidi="ar-SA"/>
        </w:rPr>
        <w:t xml:space="preserve"> at para. 57.</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113</w:t>
      </w:r>
      <w:r>
        <w:rPr>
          <w:rFonts w:ascii="arial" w:eastAsia="arial" w:hAnsi="arial" w:cs="arial"/>
          <w:color w:val="000000"/>
          <w:sz w:val="20"/>
          <w:lang w:val="en-US" w:eastAsia="en-US" w:bidi="ar-SA"/>
        </w:rPr>
        <w:t xml:space="preserve">  The Schellenbergs have not adduced any expert evidence, the absence of which Hub says is fatal to their claims in both tort and contract. They argue conversely expert evidence is not necessary with respect to insurance brokers, suggesting the standard of care can be ascertained through the jurisprudence and other evidence, citing </w:t>
      </w:r>
      <w:r>
        <w:rPr>
          <w:rFonts w:ascii="arial" w:eastAsia="arial" w:hAnsi="arial" w:cs="arial"/>
          <w:i/>
          <w:color w:val="000000"/>
          <w:sz w:val="20"/>
          <w:lang w:val="en-US" w:eastAsia="en-US" w:bidi="ar-SA"/>
        </w:rPr>
        <w:t>Grafton Connor Property Inc. v. Murphy</w:t>
      </w:r>
      <w:r>
        <w:rPr>
          <w:rFonts w:ascii="arial" w:eastAsia="arial" w:hAnsi="arial" w:cs="arial"/>
          <w:color w:val="000000"/>
          <w:sz w:val="20"/>
          <w:lang w:val="en-US" w:eastAsia="en-US" w:bidi="ar-SA"/>
        </w:rPr>
        <w:t xml:space="preserve">, </w:t>
      </w:r>
      <w:hyperlink r:id="rId234" w:history="1">
        <w:r>
          <w:rPr>
            <w:rFonts w:ascii="arial" w:eastAsia="arial" w:hAnsi="arial" w:cs="arial"/>
            <w:i/>
            <w:color w:val="0077CC"/>
            <w:sz w:val="20"/>
            <w:u w:val="single"/>
            <w:shd w:val="clear" w:color="auto" w:fill="FFFFFF"/>
            <w:lang w:val="en-US" w:eastAsia="en-US" w:bidi="ar-SA"/>
          </w:rPr>
          <w:t>2015 NSSC 195</w:t>
        </w:r>
      </w:hyperlink>
      <w:r>
        <w:rPr>
          <w:rFonts w:ascii="arial" w:eastAsia="arial" w:hAnsi="arial" w:cs="arial"/>
          <w:color w:val="000000"/>
          <w:sz w:val="20"/>
          <w:lang w:val="en-US" w:eastAsia="en-US" w:bidi="ar-SA"/>
        </w:rPr>
        <w:t xml:space="preserve">, without reference to the appeal decision: </w:t>
      </w:r>
      <w:hyperlink r:id="rId235" w:history="1">
        <w:r>
          <w:rPr>
            <w:rFonts w:ascii="arial" w:eastAsia="arial" w:hAnsi="arial" w:cs="arial"/>
            <w:i/>
            <w:color w:val="0077CC"/>
            <w:sz w:val="20"/>
            <w:u w:val="single"/>
            <w:shd w:val="clear" w:color="auto" w:fill="FFFFFF"/>
            <w:lang w:val="en-US" w:eastAsia="en-US" w:bidi="ar-SA"/>
          </w:rPr>
          <w:t>2017 NSCA 54</w:t>
        </w:r>
      </w:hyperlink>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114</w:t>
      </w:r>
      <w:r>
        <w:rPr>
          <w:rFonts w:ascii="arial" w:eastAsia="arial" w:hAnsi="arial" w:cs="arial"/>
          <w:color w:val="000000"/>
          <w:sz w:val="20"/>
          <w:lang w:val="en-US" w:eastAsia="en-US" w:bidi="ar-SA"/>
        </w:rPr>
        <w:t xml:space="preserve">  The facts in </w:t>
      </w:r>
      <w:r>
        <w:rPr>
          <w:rFonts w:ascii="arial" w:eastAsia="arial" w:hAnsi="arial" w:cs="arial"/>
          <w:i/>
          <w:color w:val="000000"/>
          <w:sz w:val="20"/>
          <w:lang w:val="en-US" w:eastAsia="en-US" w:bidi="ar-SA"/>
        </w:rPr>
        <w:t>Grafton</w:t>
      </w:r>
      <w:r>
        <w:rPr>
          <w:rFonts w:ascii="arial" w:eastAsia="arial" w:hAnsi="arial" w:cs="arial"/>
          <w:color w:val="000000"/>
          <w:sz w:val="20"/>
          <w:lang w:val="en-US" w:eastAsia="en-US" w:bidi="ar-SA"/>
        </w:rPr>
        <w:t xml:space="preserve"> involved a pub that was consumed by fire. The building was owned by a group of companies. At the time of the fire, the pub was insured through a policy that applied to all of the owners' locations, purchased through the broker. During the fire investigation it was discovered the pub did not have sprinklers and there were other features of its construction contrary to the information provided to the insurer. The insurer denied the claim on the basis of a material misrepresentation.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115</w:t>
      </w:r>
      <w:r>
        <w:rPr>
          <w:rFonts w:ascii="arial" w:eastAsia="arial" w:hAnsi="arial" w:cs="arial"/>
          <w:color w:val="000000"/>
          <w:sz w:val="20"/>
          <w:lang w:val="en-US" w:eastAsia="en-US" w:bidi="ar-SA"/>
        </w:rPr>
        <w:t>  Both the insured and the broker provided expert opinion evidence regarding the standard of care that applied to the broker all of which the trial judge rejected. Instead, he formulated the standard of care based on case law and other evidence concerning the complexity of the risk, the sophistication of the insured and other circumstances. Applying the standard of care he found the broker breached its duty to provide appropriate counsel and advice.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116</w:t>
      </w:r>
      <w:r>
        <w:rPr>
          <w:rFonts w:ascii="arial" w:eastAsia="arial" w:hAnsi="arial" w:cs="arial"/>
          <w:color w:val="000000"/>
          <w:sz w:val="20"/>
          <w:lang w:val="en-US" w:eastAsia="en-US" w:bidi="ar-SA"/>
        </w:rPr>
        <w:t>  The Nova Scotia Court of Appeal found the trial judge had erred in formulating the standard of care to be met by the broker, although the question of necessity regarding expert evidence was not addressed. Describing the formulation as legally and factually flawed, one of the errors discussed was the trial judge's failure to apply or explain why he was deviating from well settled law regarding the duty of an insured to provide correct information regarding the risk to its agent. At para. 126, Farrar J.A. concluded with:</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to the extent that the trial judge's decision may be interpreted as saying that at some point in time the insured's responsibility to provide all facts material to an insurer's appraisal of the risks ceases or is exhausted by the initial provision of information, it is incorrect. An insured's duty to disclose material facts is an ongoing obligation.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117</w:t>
      </w:r>
      <w:r>
        <w:rPr>
          <w:rFonts w:ascii="arial" w:eastAsia="arial" w:hAnsi="arial" w:cs="arial"/>
          <w:color w:val="000000"/>
          <w:sz w:val="20"/>
          <w:lang w:val="en-US" w:eastAsia="en-US" w:bidi="ar-SA"/>
        </w:rPr>
        <w:t xml:space="preserve">  I note that one of the cases considered in </w:t>
      </w:r>
      <w:r>
        <w:rPr>
          <w:rFonts w:ascii="arial" w:eastAsia="arial" w:hAnsi="arial" w:cs="arial"/>
          <w:i/>
          <w:color w:val="000000"/>
          <w:sz w:val="20"/>
          <w:lang w:val="en-US" w:eastAsia="en-US" w:bidi="ar-SA"/>
        </w:rPr>
        <w:t>Grafton</w:t>
      </w:r>
      <w:r>
        <w:rPr>
          <w:rFonts w:ascii="arial" w:eastAsia="arial" w:hAnsi="arial" w:cs="arial"/>
          <w:color w:val="000000"/>
          <w:sz w:val="20"/>
          <w:lang w:val="en-US" w:eastAsia="en-US" w:bidi="ar-SA"/>
        </w:rPr>
        <w:t xml:space="preserve"> was </w:t>
      </w:r>
      <w:r>
        <w:rPr>
          <w:rFonts w:ascii="arial" w:eastAsia="arial" w:hAnsi="arial" w:cs="arial"/>
          <w:i/>
          <w:color w:val="000000"/>
          <w:sz w:val="20"/>
          <w:lang w:val="en-US" w:eastAsia="en-US" w:bidi="ar-SA"/>
        </w:rPr>
        <w:t>Strougal v. Coast Capital Insurance Services Ltd.</w:t>
      </w:r>
      <w:r>
        <w:rPr>
          <w:rFonts w:ascii="arial" w:eastAsia="arial" w:hAnsi="arial" w:cs="arial"/>
          <w:color w:val="000000"/>
          <w:sz w:val="20"/>
          <w:lang w:val="en-US" w:eastAsia="en-US" w:bidi="ar-SA"/>
        </w:rPr>
        <w:t xml:space="preserve">, </w:t>
      </w:r>
      <w:hyperlink r:id="rId236" w:history="1">
        <w:r>
          <w:rPr>
            <w:rFonts w:ascii="arial" w:eastAsia="arial" w:hAnsi="arial" w:cs="arial"/>
            <w:i/>
            <w:color w:val="0077CC"/>
            <w:sz w:val="20"/>
            <w:u w:val="single"/>
            <w:shd w:val="clear" w:color="auto" w:fill="FFFFFF"/>
            <w:lang w:val="en-US" w:eastAsia="en-US" w:bidi="ar-SA"/>
          </w:rPr>
          <w:t>2008 BCSC 17</w:t>
        </w:r>
      </w:hyperlink>
      <w:r>
        <w:rPr>
          <w:rFonts w:ascii="arial" w:eastAsia="arial" w:hAnsi="arial" w:cs="arial"/>
          <w:color w:val="000000"/>
          <w:sz w:val="20"/>
          <w:lang w:val="en-US" w:eastAsia="en-US" w:bidi="ar-SA"/>
        </w:rPr>
        <w:t>. The issue was inadequate coverage for the value of the personal property in the home that was destroyed by fire. Justice Halfyard found the broker owed a duty to the insured to exercise reasonable skill and care in estimating the replacement cost and failed to make adequate inquiries of her to ensure they had correct information before issuing the renewal policy. Ultimately, he was not satisfied the breach caused the loss and noted he would have found the insured fifty percent at fault. In determining the standard of care, however, Halfyard J. relied in part on expert evidence.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118</w:t>
      </w:r>
      <w:r>
        <w:rPr>
          <w:rFonts w:ascii="arial" w:eastAsia="arial" w:hAnsi="arial" w:cs="arial"/>
          <w:color w:val="000000"/>
          <w:sz w:val="20"/>
          <w:lang w:val="en-US" w:eastAsia="en-US" w:bidi="ar-SA"/>
        </w:rPr>
        <w:t>  I entirely agree with Hub's assertion that the content of the standard of care for an ordinary reasonable and prudent insurance broker cannot simply be imported from other decisions. The requisite standard of care or the measure of what is reasonable will always depends on the particular facts.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119</w:t>
      </w:r>
      <w:r>
        <w:rPr>
          <w:rFonts w:ascii="arial" w:eastAsia="arial" w:hAnsi="arial" w:cs="arial"/>
          <w:color w:val="000000"/>
          <w:sz w:val="20"/>
          <w:lang w:val="en-US" w:eastAsia="en-US" w:bidi="ar-SA"/>
        </w:rPr>
        <w:t>  Here, I am also satisfied that expert evidence is necessary. Neither of the two exceptions apply. The Schellenbergs have not suggested Hub's alleged breach or breaches were egregious and therefore obvious. What inquiries a reasonable and prudent broker would have made and what information if any he or she would have provided about coverage and potential gaps in coverage, at the time, in this context, is far from straightforward. In other words, the standard of care is not within the every day knowledge of the average person.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120</w:t>
      </w:r>
      <w:r>
        <w:rPr>
          <w:rFonts w:ascii="arial" w:eastAsia="arial" w:hAnsi="arial" w:cs="arial"/>
          <w:color w:val="000000"/>
          <w:sz w:val="20"/>
          <w:lang w:val="en-US" w:eastAsia="en-US" w:bidi="ar-SA"/>
        </w:rPr>
        <w:t>  At issue is whether Hub failed to exercise reasonable care and skill during the discussion between Ms. Koehn and Mr. Schellenberg in 2012 or 2013 and when the Schellenbergs' insurance was renewed after the undisclosed material changes in risk occurred including the presence of the grow operation and the upgrade to the electrical system. In addition to being critical of Hub's failure to include a grow operation as an example of material change in the attachment to the Renewal Letter, the Schellenbergs argued that upon being told about the shop in the bunker and a change in the electrical system, Ms. Koehn should have asked about a marijuana grow operation. But Mr. Schellenberg did not tell Ms. Koehn about the change to the electrical system. That leaves the Schellenbergs' further argument that Ms. Koehn should have asked about the electrical system and what else might be going on in the shop, bunker and or outbuilding. Upon being asked about the electrical system, as I mentioned, they suggest Mr. Schellenberg would have told her about the upgrade. If asked to explain it, he would have disclosed the grow operation. I have already declined to draw this last inference for the reasons stated. Aside from the facts he did and did not disclose to Ms. Koehn during their conversation and then to Hub or Wawanesa later, a range of other circumstances may well be relevant to determining the requisite standard of care such as the Schellenberg's annual receipt of the Renewal Letter and its attachment.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121</w:t>
      </w:r>
      <w:r>
        <w:rPr>
          <w:rFonts w:ascii="arial" w:eastAsia="arial" w:hAnsi="arial" w:cs="arial"/>
          <w:color w:val="000000"/>
          <w:sz w:val="20"/>
          <w:lang w:val="en-US" w:eastAsia="en-US" w:bidi="ar-SA"/>
        </w:rPr>
        <w:t>  On the assumption the Schellenbergs should have at the very least adduced evidence of the industry standard or customary practice of brokers regarding their approach to making inquiries and providing advice about material changes in risk to prove the standard of care, they did not. Ms. Koehn's testimony indicating that it was not her standard practice to ask a client about marijuana during the renewal process, although she was aware that Wawanesa would not underwrite grow operations, and she could have, not should have asked about the electrical system is the only indication.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122</w:t>
      </w:r>
      <w:r>
        <w:rPr>
          <w:rFonts w:ascii="arial" w:eastAsia="arial" w:hAnsi="arial" w:cs="arial"/>
          <w:color w:val="000000"/>
          <w:sz w:val="20"/>
          <w:lang w:val="en-US" w:eastAsia="en-US" w:bidi="ar-SA"/>
        </w:rPr>
        <w:t xml:space="preserve">  I conclude that having failed to prove the standard of care, the Schellenbergs' claim in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cannot be established.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123</w:t>
      </w:r>
      <w:r>
        <w:rPr>
          <w:rFonts w:ascii="arial" w:eastAsia="arial" w:hAnsi="arial" w:cs="arial"/>
          <w:color w:val="000000"/>
          <w:sz w:val="20"/>
          <w:lang w:val="en-US" w:eastAsia="en-US" w:bidi="ar-SA"/>
        </w:rPr>
        <w:t>  In the event this conclusion is wrong, in my view the installation of a grow operation whether licensed or not was not reasonably foreseeable, meaning a "real risk", or "one which would occur to the mind of a reasonable insurance broker in Hub's position at the time (</w:t>
      </w:r>
      <w:r>
        <w:rPr>
          <w:rFonts w:ascii="arial" w:eastAsia="arial" w:hAnsi="arial" w:cs="arial"/>
          <w:i/>
          <w:color w:val="000000"/>
          <w:sz w:val="20"/>
          <w:lang w:val="en-US" w:eastAsia="en-US" w:bidi="ar-SA"/>
        </w:rPr>
        <w:t>Mustapha</w:t>
      </w:r>
      <w:r>
        <w:rPr>
          <w:rFonts w:ascii="arial" w:eastAsia="arial" w:hAnsi="arial" w:cs="arial"/>
          <w:color w:val="000000"/>
          <w:sz w:val="20"/>
          <w:lang w:val="en-US" w:eastAsia="en-US" w:bidi="ar-SA"/>
        </w:rPr>
        <w:t xml:space="preserve"> at para. 13). I agree with Hub it would not be reasonable to impose an obligation on Ms. Koehn to ask Mr. Schellenberg about changes to the electrical system or the presence of a grow operation, in light of the information he did provide and the surrounding circumstances. I bear in mind Ms. Stocel's evidence that she had never heard of another residential property being powered by a 400 amp electrical service, and Hub's prior interactions with the Schellenbergs over the years before the fire. Furthermore as I have said, I am not satisfied that Mr. Schellenberg would have disclosed the grow operation, if Ms. Koehn had asked him directly about changes in the electrical system.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124</w:t>
      </w:r>
      <w:r>
        <w:rPr>
          <w:rFonts w:ascii="arial" w:eastAsia="arial" w:hAnsi="arial" w:cs="arial"/>
          <w:color w:val="000000"/>
          <w:sz w:val="20"/>
          <w:lang w:val="en-US" w:eastAsia="en-US" w:bidi="ar-SA"/>
        </w:rPr>
        <w:t xml:space="preserve">  Accordingly the Schellenbergs' claim in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is dismissed.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Breach of Contract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125</w:t>
      </w:r>
      <w:r>
        <w:rPr>
          <w:rFonts w:ascii="arial" w:eastAsia="arial" w:hAnsi="arial" w:cs="arial"/>
          <w:color w:val="000000"/>
          <w:sz w:val="20"/>
          <w:lang w:val="en-US" w:eastAsia="en-US" w:bidi="ar-SA"/>
        </w:rPr>
        <w:t xml:space="preserve">  The Schellenbergs also claim Hub is liable for breach of contract based on an oral or "implied" contract that arises from general directions Mr. Schellenberg gave Hub to seek adequate coverage. In </w:t>
      </w:r>
      <w:r>
        <w:rPr>
          <w:rFonts w:ascii="arial" w:eastAsia="arial" w:hAnsi="arial" w:cs="arial"/>
          <w:i/>
          <w:color w:val="000000"/>
          <w:sz w:val="20"/>
          <w:lang w:val="en-US" w:eastAsia="en-US" w:bidi="ar-SA"/>
        </w:rPr>
        <w:t>Fine's Flowers</w:t>
      </w:r>
      <w:r>
        <w:rPr>
          <w:rFonts w:ascii="arial" w:eastAsia="arial" w:hAnsi="arial" w:cs="arial"/>
          <w:color w:val="000000"/>
          <w:sz w:val="20"/>
          <w:lang w:val="en-US" w:eastAsia="en-US" w:bidi="ar-SA"/>
        </w:rPr>
        <w:t xml:space="preserve"> the broker was found to have breached an implied contract with the insured that required it to keep the insured covered from "all foreseeable, insurable, and normal risks to the property used in connection the business".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126</w:t>
      </w:r>
      <w:r>
        <w:rPr>
          <w:rFonts w:ascii="arial" w:eastAsia="arial" w:hAnsi="arial" w:cs="arial"/>
          <w:color w:val="000000"/>
          <w:sz w:val="20"/>
          <w:lang w:val="en-US" w:eastAsia="en-US" w:bidi="ar-SA"/>
        </w:rPr>
        <w:t>  Hub argues the Schellenbergs claim in contract must also fail absent expert evidence regarding the standard of care owed under the alleged implied contract.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127</w:t>
      </w:r>
      <w:r>
        <w:rPr>
          <w:rFonts w:ascii="arial" w:eastAsia="arial" w:hAnsi="arial" w:cs="arial"/>
          <w:color w:val="000000"/>
          <w:sz w:val="20"/>
          <w:lang w:val="en-US" w:eastAsia="en-US" w:bidi="ar-SA"/>
        </w:rPr>
        <w:t xml:space="preserve">  Relying upon </w:t>
      </w:r>
      <w:r>
        <w:rPr>
          <w:rFonts w:ascii="arial" w:eastAsia="arial" w:hAnsi="arial" w:cs="arial"/>
          <w:i/>
          <w:color w:val="000000"/>
          <w:sz w:val="20"/>
          <w:lang w:val="en-US" w:eastAsia="en-US" w:bidi="ar-SA"/>
        </w:rPr>
        <w:t>Central Trust Co. v. Rafuse</w:t>
      </w:r>
      <w:r>
        <w:rPr>
          <w:rFonts w:ascii="arial" w:eastAsia="arial" w:hAnsi="arial" w:cs="arial"/>
          <w:color w:val="000000"/>
          <w:sz w:val="20"/>
          <w:lang w:val="en-US" w:eastAsia="en-US" w:bidi="ar-SA"/>
        </w:rPr>
        <w:t xml:space="preserve">, </w:t>
      </w:r>
      <w:hyperlink r:id="rId237" w:history="1">
        <w:r>
          <w:rPr>
            <w:rFonts w:ascii="arial" w:eastAsia="arial" w:hAnsi="arial" w:cs="arial"/>
            <w:i/>
            <w:color w:val="0077CC"/>
            <w:sz w:val="20"/>
            <w:u w:val="single"/>
            <w:shd w:val="clear" w:color="auto" w:fill="FFFFFF"/>
            <w:lang w:val="en-US" w:eastAsia="en-US" w:bidi="ar-SA"/>
          </w:rPr>
          <w:t>[1986] 2 S.C.R. 147</w:t>
        </w:r>
      </w:hyperlink>
      <w:r>
        <w:rPr>
          <w:rFonts w:ascii="arial" w:eastAsia="arial" w:hAnsi="arial" w:cs="arial"/>
          <w:color w:val="000000"/>
          <w:sz w:val="20"/>
          <w:lang w:val="en-US" w:eastAsia="en-US" w:bidi="ar-SA"/>
        </w:rPr>
        <w:t xml:space="preserve"> at para. 69. Hub asserts absent special contractual terms regarding the nature and scope of the duty of care, the duty in contract and tort are the same. The same conclusion was reached in S</w:t>
      </w:r>
      <w:r>
        <w:rPr>
          <w:rFonts w:ascii="arial" w:eastAsia="arial" w:hAnsi="arial" w:cs="arial"/>
          <w:i/>
          <w:color w:val="000000"/>
          <w:sz w:val="20"/>
          <w:lang w:val="en-US" w:eastAsia="en-US" w:bidi="ar-SA"/>
        </w:rPr>
        <w:t>eiler v. Mutual Fire Ins. Co. et al</w:t>
      </w:r>
      <w:r>
        <w:rPr>
          <w:rFonts w:ascii="arial" w:eastAsia="arial" w:hAnsi="arial" w:cs="arial"/>
          <w:color w:val="000000"/>
          <w:sz w:val="20"/>
          <w:lang w:val="en-US" w:eastAsia="en-US" w:bidi="ar-SA"/>
        </w:rPr>
        <w:t xml:space="preserve">, </w:t>
      </w:r>
      <w:hyperlink r:id="rId238" w:history="1">
        <w:r>
          <w:rPr>
            <w:rFonts w:ascii="arial" w:eastAsia="arial" w:hAnsi="arial" w:cs="arial"/>
            <w:i/>
            <w:color w:val="0077CC"/>
            <w:sz w:val="20"/>
            <w:u w:val="single"/>
            <w:shd w:val="clear" w:color="auto" w:fill="FFFFFF"/>
            <w:lang w:val="en-US" w:eastAsia="en-US" w:bidi="ar-SA"/>
          </w:rPr>
          <w:t>2003 BCCA 696</w:t>
        </w:r>
      </w:hyperlink>
      <w:r>
        <w:rPr>
          <w:rFonts w:ascii="arial" w:eastAsia="arial" w:hAnsi="arial" w:cs="arial"/>
          <w:color w:val="000000"/>
          <w:sz w:val="20"/>
          <w:lang w:val="en-US" w:eastAsia="en-US" w:bidi="ar-SA"/>
        </w:rPr>
        <w:t xml:space="preserve">, leave to appeal to the S.C.C. refused, 30183 (26 August 2004). There the plaintiffs sought damages for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and breach of contract from their insurer, an insurance adjuster and a contractor based on water damage to their home caused by a broken pipe that leaked for days while they were away and then a wind storm which blew off the roof. It continued to leak after the contractor installed a tarp. Paragraph 15 reads: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Regardless of whether the plaintiffs' claim is in tort or contract, a key element they must prove is that the defendants failed to meet the tort standards of care required of professionals in their respective disciplines, or standard they implicitly warranted in any contract that they would meet in carrying out the work they did...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128</w:t>
      </w:r>
      <w:r>
        <w:rPr>
          <w:rFonts w:ascii="arial" w:eastAsia="arial" w:hAnsi="arial" w:cs="arial"/>
          <w:color w:val="000000"/>
          <w:sz w:val="20"/>
          <w:lang w:val="en-US" w:eastAsia="en-US" w:bidi="ar-SA"/>
        </w:rPr>
        <w:t>  Hub points out the Schellenbergs' ANCC alleged an implied term of their contract with Hub required Hub to "exercise reasonable care, skill and diligence in its dealings with the Plaintiffs" not special terms. Hub argues and I agree this returns the analysis to the issue of the standard of care. Again expert evidence is necessary to establish its content in order to determine whether the implied contract was breached. Without expert evidence or at the very least evidence of the industry standard and practice at the time, their claim for breach of contract cannot be established and is therefore dismissed.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129</w:t>
      </w:r>
      <w:r>
        <w:rPr>
          <w:rFonts w:ascii="arial" w:eastAsia="arial" w:hAnsi="arial" w:cs="arial"/>
          <w:color w:val="000000"/>
          <w:sz w:val="20"/>
          <w:lang w:val="en-US" w:eastAsia="en-US" w:bidi="ar-SA"/>
        </w:rPr>
        <w:t>  In the event the parties are not able to agree to the issue of costs, a cost hearing may be scheduled through the registry.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M.L. FLEMING J.</w:t>
      </w:r>
      <w:r>
        <w:rPr>
          <w:rFonts w:ascii="arial" w:eastAsia="arial" w:hAnsi="arial" w:cs="arial"/>
          <w:sz w:val="20"/>
          <w:lang w:val="en-US" w:eastAsia="en-US" w:bidi="ar-SA"/>
        </w:rPr>
        <w:cr/>
      </w:r>
    </w:p>
    <w:p>
      <w:pPr>
        <w:rPr>
          <w:rFonts w:ascii="arial" w:eastAsia="arial" w:hAnsi="arial" w:cs="arial"/>
          <w:sz w:val="20"/>
          <w:lang w:val="en-US" w:eastAsia="en-US" w:bidi="ar-SA"/>
        </w:rPr>
      </w:pPr>
    </w:p>
    <w:p>
      <w:pPr>
        <w:ind w:left="200"/>
        <w:rPr>
          <w:rFonts w:ascii="arial" w:eastAsia="arial" w:hAnsi="arial" w:cs="arial"/>
          <w:sz w:val="20"/>
          <w:lang w:val="en-US" w:eastAsia="en-US" w:bidi="ar-SA"/>
        </w:rPr>
        <w:sectPr>
          <w:type w:val="continuous"/>
          <w:pgMar w:top="840" w:right="1000" w:bottom="840" w:left="1000" w:header="400" w:footer="400"/>
          <w:pgNumType w:fmt="decimal"/>
          <w:cols w:space="720"/>
        </w:sectPr>
      </w:pPr>
      <w:r>
        <w:rPr>
          <w:rFonts w:ascii="arial" w:eastAsia="arial" w:hAnsi="arial" w:cs="arial"/>
          <w:sz w:val="20"/>
          <w:lang w:val="en-US" w:eastAsia="en-US" w:bidi="ar-SA"/>
        </w:rPr>
        <w:br/>
      </w:r>
      <w:r>
        <w:pict>
          <v:line id="_x0000_s1065" style="position:absolute;z-index:251817984" from="0,10pt" to="512pt,10pt" strokecolor="black" strokeweight="1pt">
            <v:stroke linestyle="single"/>
          </v:line>
        </w:pict>
      </w:r>
      <w:r>
        <w:rPr>
          <w:b/>
          <w:color w:val="767676"/>
          <w:sz w:val="16"/>
          <w:lang w:val="en-US" w:eastAsia="en-US" w:bidi="ar-SA"/>
        </w:rPr>
        <w:t>End of Document</w:t>
      </w:r>
    </w:p>
    <w:p>
      <w:pPr>
        <w:rPr>
          <w:rFonts w:ascii="arial" w:eastAsia="arial" w:hAnsi="arial" w:cs="arial"/>
          <w:sz w:val="20"/>
          <w:lang w:val="en-US" w:eastAsia="en-US" w:bidi="ar-SA"/>
        </w:rPr>
        <w:sectPr>
          <w:headerReference w:type="even" r:id="rId239"/>
          <w:headerReference w:type="default" r:id="rId240"/>
          <w:footerReference w:type="even" r:id="rId241"/>
          <w:footerReference w:type="default" r:id="rId242"/>
          <w:headerReference w:type="first" r:id="rId243"/>
          <w:footerReference w:type="first" r:id="rId244"/>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eastAsia="arial" w:hAnsi="Arial" w:cs="Arial"/>
          <w:b/>
          <w:bCs/>
          <w:kern w:val="32"/>
          <w:sz w:val="32"/>
          <w:szCs w:val="32"/>
          <w:lang w:val="en-US" w:eastAsia="en-US" w:bidi="ar-SA"/>
        </w:rPr>
      </w:pPr>
      <w:hyperlink r:id="rId245" w:history="1">
        <w:r>
          <w:rPr>
            <w:rFonts w:ascii="arial" w:eastAsia="arial" w:hAnsi="arial" w:cs="arial"/>
            <w:b/>
            <w:bCs/>
            <w:i/>
            <w:color w:val="0077CC"/>
            <w:kern w:val="32"/>
            <w:sz w:val="28"/>
            <w:szCs w:val="32"/>
            <w:u w:val="single"/>
            <w:shd w:val="clear" w:color="auto" w:fill="FFFFFF"/>
            <w:lang w:val="en-US" w:eastAsia="en-US" w:bidi="ar-SA"/>
          </w:rPr>
          <w:t>Zink v. Adrian, [2004] I.L.R. para. G-1760</w:t>
        </w:r>
      </w:hyperlink>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Canadian Insurance Law Reporter Cases</w:t>
      </w:r>
    </w:p>
    <w:p>
      <w:pPr>
        <w:rPr>
          <w:rFonts w:ascii="arial" w:eastAsia="arial" w:hAnsi="arial" w:cs="arial"/>
          <w:sz w:val="20"/>
          <w:lang w:val="en-US" w:eastAsia="en-US" w:bidi="ar-SA"/>
        </w:rPr>
      </w:pP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Before: Shaw J.</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Decision: March 22, 2004.</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Docket No. S022292</w:t>
      </w:r>
    </w:p>
    <w:p>
      <w:pPr>
        <w:rPr>
          <w:rFonts w:ascii="arial" w:eastAsia="arial" w:hAnsi="arial" w:cs="arial"/>
          <w:sz w:val="20"/>
          <w:lang w:val="en-US" w:eastAsia="en-US" w:bidi="ar-SA"/>
        </w:rPr>
      </w:pPr>
    </w:p>
    <w:p>
      <w:pPr>
        <w:spacing w:before="120" w:after="120" w:line="280" w:lineRule="atLeast"/>
        <w:rPr>
          <w:rFonts w:ascii="arial" w:eastAsia="arial" w:hAnsi="arial" w:cs="arial"/>
          <w:sz w:val="20"/>
          <w:lang w:val="en-US" w:eastAsia="en-US" w:bidi="ar-SA"/>
        </w:rPr>
      </w:pPr>
      <w:r>
        <w:rPr>
          <w:rFonts w:ascii="arial" w:eastAsia="arial" w:hAnsi="arial" w:cs="arial"/>
          <w:b/>
          <w:i/>
          <w:color w:val="000000"/>
          <w:sz w:val="22"/>
          <w:lang w:val="en-US" w:eastAsia="en-US" w:bidi="ar-SA"/>
        </w:rPr>
        <w:t xml:space="preserve">Canadian Insurance Law Reporter Cases  </w:t>
      </w:r>
      <w:r>
        <w:rPr>
          <w:rFonts w:ascii="arial" w:eastAsia="arial" w:hAnsi="arial" w:cs="arial"/>
          <w:b/>
          <w:color w:val="000000"/>
          <w:sz w:val="22"/>
          <w:lang w:val="en-US" w:eastAsia="en-US" w:bidi="ar-SA"/>
        </w:rPr>
        <w:t xml:space="preserve">  &gt;  </w:t>
      </w:r>
      <w:r>
        <w:rPr>
          <w:rFonts w:ascii="arial" w:eastAsia="arial" w:hAnsi="arial" w:cs="arial"/>
          <w:b/>
          <w:i/>
          <w:color w:val="000000"/>
          <w:sz w:val="22"/>
          <w:lang w:val="en-US" w:eastAsia="en-US" w:bidi="ar-SA"/>
        </w:rPr>
        <w:t>Cases</w:t>
      </w:r>
      <w:r>
        <w:rPr>
          <w:rFonts w:ascii="arial" w:eastAsia="arial" w:hAnsi="arial" w:cs="arial"/>
          <w:b/>
          <w:color w:val="000000"/>
          <w:sz w:val="22"/>
          <w:lang w:val="en-US" w:eastAsia="en-US" w:bidi="ar-SA"/>
        </w:rPr>
        <w:t xml:space="preserve">  &gt;  </w:t>
      </w:r>
      <w:r>
        <w:rPr>
          <w:rFonts w:ascii="arial" w:eastAsia="arial" w:hAnsi="arial" w:cs="arial"/>
          <w:b/>
          <w:i/>
          <w:color w:val="000000"/>
          <w:sz w:val="22"/>
          <w:lang w:val="en-US" w:eastAsia="en-US" w:bidi="ar-SA"/>
        </w:rPr>
        <w:t>2000s</w:t>
      </w:r>
      <w:r>
        <w:rPr>
          <w:rFonts w:ascii="arial" w:eastAsia="arial" w:hAnsi="arial" w:cs="arial"/>
          <w:b/>
          <w:color w:val="000000"/>
          <w:sz w:val="22"/>
          <w:lang w:val="en-US" w:eastAsia="en-US" w:bidi="ar-SA"/>
        </w:rPr>
        <w:t xml:space="preserve">  &gt;  </w:t>
      </w:r>
      <w:r>
        <w:rPr>
          <w:rFonts w:ascii="arial" w:eastAsia="arial" w:hAnsi="arial" w:cs="arial"/>
          <w:b/>
          <w:i/>
          <w:color w:val="000000"/>
          <w:sz w:val="22"/>
          <w:lang w:val="en-US" w:eastAsia="en-US" w:bidi="ar-SA"/>
        </w:rPr>
        <w:t>2004</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[2004] I.L.R. para. G-1760</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hyperlink r:id="rId246" w:history="1">
        <w:r>
          <w:rPr>
            <w:rFonts w:ascii="arial" w:eastAsia="arial" w:hAnsi="arial" w:cs="arial"/>
            <w:i/>
            <w:color w:val="0077CC"/>
            <w:sz w:val="20"/>
            <w:u w:val="single"/>
            <w:shd w:val="clear" w:color="auto" w:fill="FFFFFF"/>
            <w:lang w:val="en-US" w:eastAsia="en-US" w:bidi="ar-SA"/>
          </w:rPr>
          <w:t>[2004] B.C.J. No. 544</w:t>
        </w:r>
      </w:hyperlink>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hyperlink r:id="rId246" w:history="1">
        <w:r>
          <w:rPr>
            <w:rFonts w:ascii="arial" w:eastAsia="arial" w:hAnsi="arial" w:cs="arial"/>
            <w:i/>
            <w:color w:val="0077CC"/>
            <w:sz w:val="20"/>
            <w:u w:val="single"/>
            <w:shd w:val="clear" w:color="auto" w:fill="FFFFFF"/>
            <w:lang w:val="en-US" w:eastAsia="en-US" w:bidi="ar-SA"/>
          </w:rPr>
          <w:t>2004 BCSC 303</w:t>
        </w:r>
      </w:hyperlink>
    </w:p>
    <w:p>
      <w:pPr>
        <w:spacing w:before="120" w:line="260" w:lineRule="atLeast"/>
        <w:rPr>
          <w:rFonts w:ascii="arial" w:eastAsia="arial" w:hAnsi="arial" w:cs="arial"/>
          <w:sz w:val="20"/>
          <w:lang w:val="en-US" w:eastAsia="en-US" w:bidi="ar-SA"/>
        </w:rPr>
      </w:pPr>
      <w:r>
        <w:rPr>
          <w:rFonts w:ascii="arial" w:eastAsia="arial" w:hAnsi="arial" w:cs="arial"/>
          <w:color w:val="000000"/>
          <w:sz w:val="20"/>
          <w:lang w:val="en-US" w:eastAsia="en-US" w:bidi="ar-SA"/>
        </w:rPr>
        <w:t>Zink v. Adrian</w:t>
      </w:r>
    </w:p>
    <w:p>
      <w:pPr>
        <w:keepNext/>
        <w:spacing w:before="12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Case Summary</w:t>
      </w:r>
    </w:p>
    <w:p>
      <w:pPr>
        <w:spacing w:line="60" w:lineRule="exact"/>
        <w:rPr>
          <w:rFonts w:ascii="arial" w:eastAsia="arial" w:hAnsi="arial" w:cs="arial"/>
          <w:sz w:val="20"/>
          <w:lang w:val="en-US" w:eastAsia="en-US" w:bidi="ar-SA"/>
        </w:rPr>
      </w:pPr>
      <w:r>
        <w:pict>
          <v:line id="_x0000_s1066" style="position:absolute;z-index:251666432"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bookmarkStart w:id="50" w:name="Keywords_6"/>
      <w:bookmarkEnd w:id="50"/>
      <w:r>
        <w:rPr>
          <w:rFonts w:ascii="arial" w:eastAsia="arial" w:hAnsi="arial" w:cs="arial"/>
          <w:b/>
          <w:color w:val="000000"/>
          <w:sz w:val="20"/>
          <w:lang w:val="en-US" w:eastAsia="en-US" w:bidi="ar-SA"/>
        </w:rPr>
        <w:t>Solicitors — Cohabitation agreement — Protection of line of credit — Agreement providing for transfer of shares — Broker never consulted to ensure that transfer was possible — Line of credit remained unprotected — Solicitor was negligent in preparing agreement.</w:t>
      </w:r>
    </w:p>
    <w:p>
      <w:pPr>
        <w:rPr>
          <w:rFonts w:ascii="arial" w:eastAsia="arial" w:hAnsi="arial" w:cs="arial"/>
          <w:sz w:val="20"/>
          <w:lang w:val="en-US" w:eastAsia="en-US" w:bidi="ar-SA"/>
        </w:rPr>
      </w:pPr>
    </w:p>
    <w:tbl>
      <w:tblPr>
        <w:tblStyle w:val="TableNormal"/>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
      <w:tblGrid>
        <w:gridCol w:w="10225"/>
      </w:tblGrid>
      <w:tr>
        <w:tblPrEx>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Ex>
        <w:tc>
          <w:tcPr/>
          <w:p>
            <w:pPr>
              <w:rPr>
                <w:rFonts w:ascii="arial" w:eastAsia="arial" w:hAnsi="arial" w:cs="arial"/>
                <w:sz w:val="20"/>
                <w:lang w:val="en-US" w:eastAsia="en-US" w:bidi="ar-SA"/>
              </w:rPr>
            </w:pPr>
            <w:bookmarkStart w:id="51" w:name="Case Summary_6"/>
            <w:bookmarkEnd w:id="51"/>
          </w:p>
          <w:p>
            <w:pPr>
              <w:spacing w:before="120" w:line="260" w:lineRule="atLeast"/>
              <w:ind w:left="240"/>
              <w:jc w:val="both"/>
              <w:rPr>
                <w:rFonts w:ascii="arial" w:eastAsia="arial" w:hAnsi="arial" w:cs="arial"/>
                <w:sz w:val="20"/>
                <w:lang w:val="en-US" w:eastAsia="en-US" w:bidi="ar-SA"/>
              </w:rPr>
            </w:pPr>
            <w:r>
              <w:rPr>
                <w:rFonts w:ascii="arial" w:eastAsia="arial" w:hAnsi="arial" w:cs="arial"/>
                <w:b/>
                <w:color w:val="000000"/>
                <w:sz w:val="20"/>
                <w:lang w:val="en-US" w:eastAsia="en-US" w:bidi="ar-SA"/>
              </w:rPr>
              <w:t>Facts:</w:t>
            </w:r>
            <w:r>
              <w:rPr>
                <w:rFonts w:ascii="arial" w:eastAsia="arial" w:hAnsi="arial" w:cs="arial"/>
                <w:color w:val="000000"/>
                <w:sz w:val="20"/>
                <w:lang w:val="en-US" w:eastAsia="en-US" w:bidi="ar-SA"/>
              </w:rPr>
              <w:t xml:space="preserve"> This was an action for damages against a solicitor for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and breach of fiduciary duty. The plaintiff intended to cohabit with E, and had a cohabitation agreement prepared by the defendant. The plaintiff wanted to protect a line of credit which was secured by a mortgage on her home, while allowing E to use $100,000 of the line of credit. Under the cohabitation agreement, E was to transfer shares held at Merrill Lynch to the plaintiff in order to secure his use of the line of credit. Merrill Lynch was never informed of the agreement, and would not have undertaken the responsibility provided for in the agreement. E incurred liability of $74,500 in the line of credit. The union of E and the plaintiff ended in divorce and E became bankrupt. The plaintiff lost the $74,500 which she had to repay to the line of credit, as well as further loans of $55,000 which she had made to E. She sought to recover these losses from the defendant. </w:t>
            </w:r>
            <w:r>
              <w:rPr>
                <w:rFonts w:ascii="arial" w:eastAsia="arial" w:hAnsi="arial" w:cs="arial"/>
                <w:sz w:val="20"/>
                <w:lang w:val="en-US" w:eastAsia="en-US" w:bidi="ar-SA"/>
              </w:rPr>
              <w:cr/>
            </w:r>
          </w:p>
          <w:p>
            <w:pPr>
              <w:spacing w:before="120" w:line="260" w:lineRule="atLeast"/>
              <w:ind w:left="240"/>
              <w:jc w:val="both"/>
              <w:rPr>
                <w:rFonts w:ascii="arial" w:eastAsia="arial" w:hAnsi="arial" w:cs="arial"/>
                <w:sz w:val="20"/>
                <w:lang w:val="en-US" w:eastAsia="en-US" w:bidi="ar-SA"/>
              </w:rPr>
            </w:pPr>
            <w:bookmarkStart w:id="52" w:name="Holdings of Court_6"/>
            <w:bookmarkEnd w:id="52"/>
            <w:r>
              <w:rPr>
                <w:rFonts w:ascii="arial" w:eastAsia="arial" w:hAnsi="arial" w:cs="arial"/>
                <w:color w:val="000000"/>
                <w:sz w:val="20"/>
                <w:lang w:val="en-US" w:eastAsia="en-US" w:bidi="ar-SA"/>
              </w:rPr>
              <w:t>HELD: The plaintiff was successful.</w:t>
            </w:r>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defendant was negligent in preparing the cohabitation agreement and failing to ensure that the plaintiff's line of credit was properly secured. The agreement had not clearly provided for giving notice to Merrill Lynch. The defendant could not assume that the plaintiff and E would consult with Merrill Lynch; it was up to her to ascertain the workability of the security clause she drafted. The Court concluded that the plaintiff would not have allowed E's use of the line of credit if she had known that it was not secured, and thus the defendant's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was the cause of her loss of $74,500. The loans of $55,000 had been made without any advice from the defendant, and the defendant was not liable for this loss. </w:t>
            </w:r>
            <w:r>
              <w:rPr>
                <w:rFonts w:ascii="arial" w:eastAsia="arial" w:hAnsi="arial" w:cs="arial"/>
                <w:sz w:val="20"/>
                <w:lang w:val="en-US" w:eastAsia="en-US" w:bidi="ar-SA"/>
              </w:rPr>
              <w:cr/>
            </w:r>
          </w:p>
          <w:p>
            <w:pPr>
              <w:rPr>
                <w:rFonts w:ascii="arial" w:eastAsia="arial" w:hAnsi="arial" w:cs="arial"/>
                <w:sz w:val="20"/>
                <w:lang w:val="en-US" w:eastAsia="en-US" w:bidi="ar-SA"/>
              </w:rPr>
            </w:pPr>
          </w:p>
        </w:tc>
      </w:tr>
    </w:tbl>
    <w:p>
      <w:pPr>
        <w:spacing w:after="240"/>
        <w:rPr>
          <w:rFonts w:ascii="arial" w:eastAsia="arial" w:hAnsi="arial" w:cs="arial"/>
          <w:sz w:val="20"/>
          <w:lang w:val="en-US" w:eastAsia="en-US" w:bidi="ar-SA"/>
        </w:rPr>
      </w:pPr>
      <w:bookmarkStart w:id="53" w:name="Judgment_7"/>
      <w:bookmarkEnd w:id="53"/>
      <w:r>
        <w:pict>
          <v:line id="_x0000_s1067" style="position:absolute;z-index:251717632" from="0,12pt" to="512pt,12pt" strokecolor="#009ddb" strokeweight="1.5pt">
            <v:stroke linestyle="single"/>
          </v:line>
        </w:pict>
      </w:r>
    </w:p>
    <w:p>
      <w:pPr>
        <w:rPr>
          <w:rFonts w:ascii="arial" w:eastAsia="arial" w:hAnsi="arial" w:cs="arial"/>
          <w:sz w:val="20"/>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1520"/>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rFonts w:ascii="arial" w:eastAsia="arial" w:hAnsi="arial" w:cs="arial"/>
                <w:sz w:val="20"/>
                <w:lang w:val="en-US" w:eastAsia="en-US" w:bidi="ar-SA"/>
              </w:rPr>
            </w:pPr>
            <w:bookmarkStart w:id="54" w:name="SHAW J."/>
            <w:bookmarkEnd w:id="54"/>
            <w:r>
              <w:rPr>
                <w:rFonts w:ascii="arial" w:eastAsia="arial" w:hAnsi="arial" w:cs="arial"/>
                <w:b/>
                <w:color w:val="000000"/>
                <w:sz w:val="30"/>
                <w:lang w:val="en-US" w:eastAsia="en-US" w:bidi="ar-SA"/>
              </w:rPr>
              <w:t>SHAW J.</w:t>
            </w:r>
          </w:p>
        </w:tc>
      </w:tr>
    </w:tbl>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xml:space="preserve">   The plaintiff, Linda Helen Zink, claims damages against the defendant Anne A. Adrian, a solicitor, for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and for breach of fiduciary duty. The claim focuses upon a cohabitation agreement between Ms. Zink and a Mr. Britton Ellis. The cohabitation agreement (the "Agreement") was drafted by Ms. Adrian.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xml:space="preserve">  I state at the outset that there is no evidence capable of supporting the claim for breach of fiduciary duty. However, there is evidence to support the claim for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I deal with the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claim below.</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FACTS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The plaintiff Ms. Zink and the defendant Ms. Adrian were for many years close friends. They saw each other on a regular basis, both socially and professionally. Ms. Adrian, a busy solicitor, always made time for Ms. Zink to discuss Ms. Zink's personal problems and to help her professionally, usually for no legal fees. Indeed, no fees were charged to Ms. Zink for the legal services complained of in this action.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Ms. Adrian was also a close friend of Mr. Britton Ellis. Mr. Ellis often referred legal work on real estate transactions to Ms. Adrian.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Ms. Zink and Mr. Ellis met by chance at Ms. Adrian's office. They entered into an intimate relationship and commenced living together. Ms. Adrian, with some knowledge of their personal circumstances, suggested to them that they enter into a cohabitation agreement.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Ms. Zink and Mr. Ellis agreed to the idea and they asked Ms. Adrian to draft an agreement for them. Ms. Adrian realized she had a potential conflict of interest on her hands. She advised Ms. Zink and Mr. Ellis that each should have separate solicitors. Despite this advice, Ms. Zink and Mr. Ellis said they still wished Ms. Adrian to draft the Agreement. Ms. Adrian advised that she could not act for both, but said she was prepared to act for Ms. Zink alone, provided that Ms. Zink consented and Mr. Ellis had separate representation. Ms. Zink and Mr. Ellis both agreed, and Ms. Adrian referred Mr. Ellis to another lawyer to act for him.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The drafting of the Agreement posed a unique problem. Ms. Zink had a line of credit with Canada Trust for $275,000, and a portion of this, $100,000, was unused. Mr. Ellis wished to use the remaining $100,000 of the line of credit. Ms. Zink was prepared to let him do so, but she wished to be secured against the possibility of Mr. Ellis defaulting. Ms. Zink was concerned because her line of credit was secured by Canada Trust holding a mortgage for $275,000 against her home.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Mr. Ellis was in the process of receiving approximately $450,000 in settlement of his divorce from his former wife. This amount was to be held in corporate shares in Mr. Ellis's name. In light of this, Ms. Adrian proposed that Mr. Ellis assign his shares to Ms. Zink; that he retain the right to trade in the shares; and that the shares be held at Merrill Lynch, the stockbroker for both Ms. Zink and Mr. Ellis, in the minimum value of $150,000 in order to secure Mr. Ellis's usage of the $100,000 portion of Ms. Zink's line of credit. Part of Ms. Adrian's proposal was that Merrill Lynch undertake not to pay Mr. Ellis the proceeds of sale of any of the securities or transfer any of the securities to him if doing so would reduce the value of the securities remaining in his account to $150,000 or less. The amount of $150,000 was chosen by Ms. Adrian to provide a margin of safety over and above the $100,000 limit on Mr. Ellis's usage of the line of credit.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Ms. Adrian told Ms. Zink that Mr. Ellis's account at Merrill Lynch would show Ms. Zink as having a charge against his account and that any loss she suffered through Mr. Ellis's use of the line of credit could be recouped by Ms. Zink demanding from Merrill Lynch reimbursement from Mr. Ellis's account.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Ms. Adrian discussed her proposal with both Ms. Zink and Mr. Ellis and they indicated it was acceptable to them. Ms. Adrian then drafted a provision in the Agreement to reflect her proposal. This aspect of the Agreement, incorporated into article 6.2 (iii) reads: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...Britt agrees that he will obtain an Insurance Policy with a death benefit of $100,000 and will designate Linda as irrevocable beneficiary for so long as any part of Britt's Allocated Amount remains unpaid. Britt will also assign his interest in the securities (the "Securities") held in his account at Merrill Lynch Inc. ("Merrill Lynch") to Linda as security during Britt's lifetime against any loss Linda may suffer by reason of any advance to Britt on his Allocated Amount under the Line of Credit. However, until such time as Linda advises Merrill Lynch that she requires payment of any amount outstanding under Britt's Allocated Amount, Britt may instruct Merrill Lynch to deal with the Securities as he may choose, free of any interference from Linda. Notice will be provided to Merrill Lynch that it may not pay the proceeds of the sale of any of the Securities to Britt or transfer the Securities directly to Britt or to another entity without the consent of Linda while any part of Britt's Allocated Amount is outstanding, if such payment or transfer would reduce the value of the Securities remaining in Britt's account to $150,000 or less. Upon Britt's death, the assignment is terminated and the Securities will fall into and form part of his estate.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On March 1, 1999, Mr. Ellis signed the Agreement in his solicitor's office. He did so after receiving independent legal advice from his lawyer.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Mr. Ellis delivered the signed copies of the Agreement to Ms. Adrian at her office where, on the same day, Ms. Zink signed the Agreement. She did so after receiving independent legal advice from Ms. Adrian who discussed with her the various provisions of the Agreement.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Ms. Adrian advised Ms. Zink that the security clause could not provide 100% protection because the shares to be held as security could go down in value.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On March 2, 1999, the day after the Agreement was signed, Ms. Zink authorized Mr. Ellis to use the $100,000 line of credit. Thereafter Mr. Ellis used the line of credit.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w:t>
      </w:r>
      <w:r>
        <w:rPr>
          <w:rFonts w:ascii="arial" w:eastAsia="arial" w:hAnsi="arial" w:cs="arial"/>
          <w:color w:val="000000"/>
          <w:sz w:val="20"/>
          <w:lang w:val="en-US" w:eastAsia="en-US" w:bidi="ar-SA"/>
        </w:rPr>
        <w:t>  Merrill Lynch was not notified of the Agreement. Had Merrill Lynch been notified, it would have advised that its internal systems were such that it could not and would not undertake the responsibility provided for in the Agreement.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w:t>
      </w:r>
      <w:r>
        <w:rPr>
          <w:rFonts w:ascii="arial" w:eastAsia="arial" w:hAnsi="arial" w:cs="arial"/>
          <w:color w:val="000000"/>
          <w:sz w:val="20"/>
          <w:lang w:val="en-US" w:eastAsia="en-US" w:bidi="ar-SA"/>
        </w:rPr>
        <w:t>  On September 26, 1999, Ms. Zink and Mr. Ellis were married.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w:t>
      </w:r>
      <w:r>
        <w:rPr>
          <w:rFonts w:ascii="arial" w:eastAsia="arial" w:hAnsi="arial" w:cs="arial"/>
          <w:color w:val="000000"/>
          <w:sz w:val="20"/>
          <w:lang w:val="en-US" w:eastAsia="en-US" w:bidi="ar-SA"/>
        </w:rPr>
        <w:t>  By October 15, 1999, Mr. Ellis's use of the line of credit was up to approximately $100,000. At that time, he borrowed $45,000 from Ms. Zink, which money was deposited to the line of credit.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w:t>
      </w:r>
      <w:r>
        <w:rPr>
          <w:rFonts w:ascii="arial" w:eastAsia="arial" w:hAnsi="arial" w:cs="arial"/>
          <w:color w:val="000000"/>
          <w:sz w:val="20"/>
          <w:lang w:val="en-US" w:eastAsia="en-US" w:bidi="ar-SA"/>
        </w:rPr>
        <w:t>  Mr. Ellis promised in writing to repay Ms. Zink the $45,000 loan "as soon as possible" and recorded the loan in a one-page document that he delivered to Ms. Adrian. Ms. Adrian put it in Ms. Zink's file.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w:t>
      </w:r>
      <w:r>
        <w:rPr>
          <w:rFonts w:ascii="arial" w:eastAsia="arial" w:hAnsi="arial" w:cs="arial"/>
          <w:color w:val="000000"/>
          <w:sz w:val="20"/>
          <w:lang w:val="en-US" w:eastAsia="en-US" w:bidi="ar-SA"/>
        </w:rPr>
        <w:t>  On February 21, 2000, Ms. Zink loaned Mr. Ellis a further $10,000. Written notice of this loan was given to Ms. Adrian who put it in Ms. Zink's file.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w:t>
      </w:r>
      <w:r>
        <w:rPr>
          <w:rFonts w:ascii="arial" w:eastAsia="arial" w:hAnsi="arial" w:cs="arial"/>
          <w:color w:val="000000"/>
          <w:sz w:val="20"/>
          <w:lang w:val="en-US" w:eastAsia="en-US" w:bidi="ar-SA"/>
        </w:rPr>
        <w:t>  On September 4, 2001, Ms. Zink closed down Mr. Ellis's line of credit. At that point the amount of the line of credit used by Mr. Ellis was $74,500.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w:t>
      </w:r>
      <w:r>
        <w:rPr>
          <w:rFonts w:ascii="arial" w:eastAsia="arial" w:hAnsi="arial" w:cs="arial"/>
          <w:color w:val="000000"/>
          <w:sz w:val="20"/>
          <w:lang w:val="en-US" w:eastAsia="en-US" w:bidi="ar-SA"/>
        </w:rPr>
        <w:t>  On September 5, 2001, Ms. Zink required Mr. Ellis to leave the matrimonial home. She had the right to do so under the Agreement in the event of irreconcilable differences.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w:t>
      </w:r>
      <w:r>
        <w:rPr>
          <w:rFonts w:ascii="arial" w:eastAsia="arial" w:hAnsi="arial" w:cs="arial"/>
          <w:color w:val="000000"/>
          <w:sz w:val="20"/>
          <w:lang w:val="en-US" w:eastAsia="en-US" w:bidi="ar-SA"/>
        </w:rPr>
        <w:t>  The marriage ended in divorce and Mr. Ellis became bankrupt.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w:t>
      </w:r>
      <w:r>
        <w:rPr>
          <w:rFonts w:ascii="arial" w:eastAsia="arial" w:hAnsi="arial" w:cs="arial"/>
          <w:color w:val="000000"/>
          <w:sz w:val="20"/>
          <w:lang w:val="en-US" w:eastAsia="en-US" w:bidi="ar-SA"/>
        </w:rPr>
        <w:t>  Ms. Zink has had to repay Canada Trust the $74,500 liability incurred by Mr. Ellis. That amount plus interest thereon calculated to the date of this judgment totals $83,132.28.</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w:t>
      </w:r>
      <w:r>
        <w:rPr>
          <w:rFonts w:ascii="arial" w:eastAsia="arial" w:hAnsi="arial" w:cs="arial"/>
          <w:color w:val="000000"/>
          <w:sz w:val="20"/>
          <w:lang w:val="en-US" w:eastAsia="en-US" w:bidi="ar-SA"/>
        </w:rPr>
        <w:t>  Mr. Ellis has not paid Ms. Zink the $74,500 she repaid to Canada Trust, nor has he repaid the loans of $45,000 and $10,000.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i/>
          <w:color w:val="000000"/>
          <w:sz w:val="20"/>
          <w:u w:val="single"/>
          <w:lang w:val="en-US" w:eastAsia="en-US" w:bidi="ar-SA"/>
        </w:rPr>
        <w:t>NEGLIGENCE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w:t>
      </w:r>
      <w:r>
        <w:rPr>
          <w:rFonts w:ascii="arial" w:eastAsia="arial" w:hAnsi="arial" w:cs="arial"/>
          <w:color w:val="000000"/>
          <w:sz w:val="20"/>
          <w:lang w:val="en-US" w:eastAsia="en-US" w:bidi="ar-SA"/>
        </w:rPr>
        <w:t>  Ms. Adrian was well aware that Ms. Zink wanted to be protected against potential loss arising from Mr. Ellis's use of the $100,000 line of credit. Although Ms. Adrian's retainer was not in writing, it clearly included drafting and putting in place a cohabitation agreement that provided, to the extent reasonably possible, protection for Ms. Zink arising from Mr. Ellis's use of the $100,000 line of credit.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w:t>
      </w:r>
      <w:r>
        <w:rPr>
          <w:rFonts w:ascii="arial" w:eastAsia="arial" w:hAnsi="arial" w:cs="arial"/>
          <w:color w:val="000000"/>
          <w:sz w:val="20"/>
          <w:lang w:val="en-US" w:eastAsia="en-US" w:bidi="ar-SA"/>
        </w:rPr>
        <w:t xml:space="preserve">  It is common ground that Ms. Adrian's obligations included those articulated by Riley J. in Tiffin Holdings Ltd. v. Millican </w:t>
      </w:r>
      <w:hyperlink r:id="rId247" w:history="1">
        <w:r>
          <w:rPr>
            <w:rFonts w:ascii="arial" w:eastAsia="arial" w:hAnsi="arial" w:cs="arial"/>
            <w:i/>
            <w:color w:val="0077CC"/>
            <w:sz w:val="20"/>
            <w:u w:val="single"/>
            <w:shd w:val="clear" w:color="auto" w:fill="FFFFFF"/>
            <w:lang w:val="en-US" w:eastAsia="en-US" w:bidi="ar-SA"/>
          </w:rPr>
          <w:t>(1964), 49 D.L.R. (2d) 216</w:t>
        </w:r>
      </w:hyperlink>
      <w:r>
        <w:rPr>
          <w:rFonts w:ascii="arial" w:eastAsia="arial" w:hAnsi="arial" w:cs="arial"/>
          <w:color w:val="000000"/>
          <w:sz w:val="20"/>
          <w:lang w:val="en-US" w:eastAsia="en-US" w:bidi="ar-SA"/>
        </w:rPr>
        <w:t xml:space="preserve"> at 219 (Alta. S.C.), aff'd </w:t>
      </w:r>
      <w:hyperlink r:id="rId248" w:history="1">
        <w:r>
          <w:rPr>
            <w:rFonts w:ascii="arial" w:eastAsia="arial" w:hAnsi="arial" w:cs="arial"/>
            <w:i/>
            <w:color w:val="0077CC"/>
            <w:sz w:val="20"/>
            <w:u w:val="single"/>
            <w:shd w:val="clear" w:color="auto" w:fill="FFFFFF"/>
            <w:lang w:val="en-US" w:eastAsia="en-US" w:bidi="ar-SA"/>
          </w:rPr>
          <w:t>[1967] S.C.R. 183</w:t>
        </w:r>
      </w:hyperlink>
      <w:r>
        <w:rPr>
          <w:rFonts w:ascii="arial" w:eastAsia="arial" w:hAnsi="arial" w:cs="arial"/>
          <w:color w:val="000000"/>
          <w:sz w:val="20"/>
          <w:lang w:val="en-US" w:eastAsia="en-US" w:bidi="ar-SA"/>
        </w:rPr>
        <w:t>:</w:t>
      </w:r>
      <w:r>
        <w:rPr>
          <w:rFonts w:ascii="arial" w:eastAsia="arial" w:hAnsi="arial" w:cs="arial"/>
          <w:sz w:val="20"/>
          <w:lang w:val="en-US" w:eastAsia="en-US" w:bidi="ar-SA"/>
        </w:rPr>
        <w:cr/>
      </w:r>
    </w:p>
    <w:p>
      <w:pPr>
        <w:numPr>
          <w:numId w:val="8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To be skilful and careful.</w:t>
      </w:r>
    </w:p>
    <w:p>
      <w:pPr>
        <w:numPr>
          <w:numId w:val="8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To advise his client on all matters relevant to his retainer, so far as may be reasonably necessary.</w:t>
      </w:r>
    </w:p>
    <w:p>
      <w:pPr>
        <w:numPr>
          <w:numId w:val="8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To protect the interests of his client.</w:t>
      </w:r>
    </w:p>
    <w:p>
      <w:pPr>
        <w:numPr>
          <w:numId w:val="8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To carry out his instructions by all proper means.</w:t>
      </w:r>
    </w:p>
    <w:p>
      <w:pPr>
        <w:numPr>
          <w:numId w:val="8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To consult with his client on all questions of doubt which do not fall within the express or implied discretion left to him.</w:t>
      </w:r>
    </w:p>
    <w:p>
      <w:pPr>
        <w:numPr>
          <w:numId w:val="8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To keep his client informed to such an extent as may be reasonably necessary, according to the same criteria.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w:t>
      </w:r>
      <w:r>
        <w:rPr>
          <w:rFonts w:ascii="arial" w:eastAsia="arial" w:hAnsi="arial" w:cs="arial"/>
          <w:color w:val="000000"/>
          <w:sz w:val="20"/>
          <w:lang w:val="en-US" w:eastAsia="en-US" w:bidi="ar-SA"/>
        </w:rPr>
        <w:t xml:space="preserve">  A solicitor's duty includes warning a client of risks involved in a course of action contemplated by the solicitor. In Major v. Buchanan </w:t>
      </w:r>
      <w:hyperlink r:id="rId249" w:history="1">
        <w:r>
          <w:rPr>
            <w:rFonts w:ascii="arial" w:eastAsia="arial" w:hAnsi="arial" w:cs="arial"/>
            <w:i/>
            <w:color w:val="0077CC"/>
            <w:sz w:val="20"/>
            <w:u w:val="single"/>
            <w:shd w:val="clear" w:color="auto" w:fill="FFFFFF"/>
            <w:lang w:val="en-US" w:eastAsia="en-US" w:bidi="ar-SA"/>
          </w:rPr>
          <w:t>(1975), 9 O.R. (2d) 491</w:t>
        </w:r>
      </w:hyperlink>
      <w:r>
        <w:rPr>
          <w:rFonts w:ascii="arial" w:eastAsia="arial" w:hAnsi="arial" w:cs="arial"/>
          <w:color w:val="000000"/>
          <w:sz w:val="20"/>
          <w:lang w:val="en-US" w:eastAsia="en-US" w:bidi="ar-SA"/>
        </w:rPr>
        <w:t xml:space="preserve"> at 514 (H.C.J.), Goodman J. (as he then was) said: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 solicitor has the duty of warning a client of the risk involved in a course of action, contemplated by the client or by his solicitor on his behalf, and of exercising reasonable care and skill in advising him.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w:t>
      </w:r>
      <w:r>
        <w:rPr>
          <w:rFonts w:ascii="arial" w:eastAsia="arial" w:hAnsi="arial" w:cs="arial"/>
          <w:color w:val="000000"/>
          <w:sz w:val="20"/>
          <w:lang w:val="en-US" w:eastAsia="en-US" w:bidi="ar-SA"/>
        </w:rPr>
        <w:t xml:space="preserve">  The foregoing passage was cited with approval in Graybriar Industries Ltd. v. Davis &amp; Co. </w:t>
      </w:r>
      <w:hyperlink r:id="rId250" w:history="1">
        <w:r>
          <w:rPr>
            <w:rFonts w:ascii="arial" w:eastAsia="arial" w:hAnsi="arial" w:cs="arial"/>
            <w:i/>
            <w:color w:val="0077CC"/>
            <w:sz w:val="20"/>
            <w:u w:val="single"/>
            <w:shd w:val="clear" w:color="auto" w:fill="FFFFFF"/>
            <w:lang w:val="en-US" w:eastAsia="en-US" w:bidi="ar-SA"/>
          </w:rPr>
          <w:t>(1990), 46 B.C.L.R. (2d) 164</w:t>
        </w:r>
      </w:hyperlink>
      <w:r>
        <w:rPr>
          <w:rFonts w:ascii="arial" w:eastAsia="arial" w:hAnsi="arial" w:cs="arial"/>
          <w:color w:val="000000"/>
          <w:sz w:val="20"/>
          <w:lang w:val="en-US" w:eastAsia="en-US" w:bidi="ar-SA"/>
        </w:rPr>
        <w:t xml:space="preserve"> at 179 (S.C.), Thackray J. (now J.A.), aff'd </w:t>
      </w:r>
      <w:hyperlink r:id="rId251" w:history="1">
        <w:r>
          <w:rPr>
            <w:rFonts w:ascii="arial" w:eastAsia="arial" w:hAnsi="arial" w:cs="arial"/>
            <w:i/>
            <w:color w:val="0077CC"/>
            <w:sz w:val="20"/>
            <w:u w:val="single"/>
            <w:shd w:val="clear" w:color="auto" w:fill="FFFFFF"/>
            <w:lang w:val="en-US" w:eastAsia="en-US" w:bidi="ar-SA"/>
          </w:rPr>
          <w:t>(1992), 72 B.C.L.R. (2d) 190</w:t>
        </w:r>
      </w:hyperlink>
      <w:r>
        <w:rPr>
          <w:rFonts w:ascii="arial" w:eastAsia="arial" w:hAnsi="arial" w:cs="arial"/>
          <w:color w:val="000000"/>
          <w:sz w:val="20"/>
          <w:lang w:val="en-US" w:eastAsia="en-US" w:bidi="ar-SA"/>
        </w:rPr>
        <w:t xml:space="preserve"> (C.A.).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w:t>
      </w:r>
      <w:r>
        <w:rPr>
          <w:rFonts w:ascii="arial" w:eastAsia="arial" w:hAnsi="arial" w:cs="arial"/>
          <w:color w:val="000000"/>
          <w:sz w:val="20"/>
          <w:lang w:val="en-US" w:eastAsia="en-US" w:bidi="ar-SA"/>
        </w:rPr>
        <w:t>  There were significant problems regarding the security clause, including:</w:t>
      </w:r>
      <w:r>
        <w:rPr>
          <w:rFonts w:ascii="arial" w:eastAsia="arial" w:hAnsi="arial" w:cs="arial"/>
          <w:sz w:val="20"/>
          <w:lang w:val="en-US" w:eastAsia="en-US" w:bidi="ar-SA"/>
        </w:rPr>
        <w:cr/>
      </w:r>
    </w:p>
    <w:p>
      <w:pPr>
        <w:numPr>
          <w:numId w:val="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security clause was not workable because Merrill Lynch could not or would not implement it. Ms. Adrian did not check with Merrill Lynch to ascertain whether it was acceptable.</w:t>
      </w:r>
    </w:p>
    <w:p>
      <w:pPr>
        <w:numPr>
          <w:numId w:val="3"/>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 security clause contemplated the assignment of shares from Mr. Ellis to Ms. Zink, but no such assignment was drafted or entered into. Ms. Adrian took no steps to ensure that an assignment was executed by Mr. Ellis, nor did she advise Ms. Zink to make sure that this was done.</w:t>
      </w:r>
    </w:p>
    <w:p>
      <w:pPr>
        <w:numPr>
          <w:numId w:val="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security clause contemplated Merrill Lynch being notified of its obligations under the Agreement. The security clause did not say who was to notify Merrill Lynch and in fact Merrill Lynch was not notified. Ms. Adrian took no steps to ensure that Merrill Lynch was notified, nor did she advise Ms. Zink that she should ensure that this was done.</w:t>
      </w:r>
    </w:p>
    <w:p>
      <w:pPr>
        <w:numPr>
          <w:numId w:val="5"/>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Ms. Adrian's idea, which she endeavoured to capture in the security clause, carried with it the risk that it would not be workable should it be unacceptable to Merrill Lynch. Ms. Adrian did not explain this risk to Ms. Zink.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w:t>
      </w:r>
      <w:r>
        <w:rPr>
          <w:rFonts w:ascii="arial" w:eastAsia="arial" w:hAnsi="arial" w:cs="arial"/>
          <w:color w:val="000000"/>
          <w:sz w:val="20"/>
          <w:lang w:val="en-US" w:eastAsia="en-US" w:bidi="ar-SA"/>
        </w:rPr>
        <w:t>  In my opinion, Ms. Adrian had a duty to carry out each of the steps set out above. As she failed to do so, I find she was negligent.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w:t>
      </w:r>
      <w:r>
        <w:rPr>
          <w:rFonts w:ascii="arial" w:eastAsia="arial" w:hAnsi="arial" w:cs="arial"/>
          <w:color w:val="000000"/>
          <w:sz w:val="20"/>
          <w:lang w:val="en-US" w:eastAsia="en-US" w:bidi="ar-SA"/>
        </w:rPr>
        <w:t>  Ms. Adrian submits that because Ms. Zink and Mr. Ellis were dealing with Merrill Lynch as their broker, Ms. Adrian was under no duty to consult with Merrill Lynch. I do not accept this submission. Ms. Adrian did not tell Ms. Zink that it was up to her to make enquiries of Merrill Lynch. In my opinion, she could not reasonably expect that ascertaining the workability of the security clause should or would be undertaken by Ms. Zink or by Mr. Ellis, neither of whom were lawyers.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w:t>
      </w:r>
      <w:r>
        <w:rPr>
          <w:rFonts w:ascii="arial" w:eastAsia="arial" w:hAnsi="arial" w:cs="arial"/>
          <w:color w:val="000000"/>
          <w:sz w:val="20"/>
          <w:lang w:val="en-US" w:eastAsia="en-US" w:bidi="ar-SA"/>
        </w:rPr>
        <w:t>  Ms. Adrian testified that she did not discuss the proposal with Merrill Lynch because this would have violated Ms. Zink's right of solicitor-client confidentiality and Ms. Zink never authorized her to do so. In my opinion, Ms. Adrian was under a duty to use her skill as a solicitor to take reasonable steps to ascertain the workability of the security clause. To do this it was necessary that she consult with Merrill Lynch to ascertain whether it was acceptable to them. If Ms. Adrian was concerned about solicitor-client privilege, she ought to have sought Ms. Zink's consent to consult Merrill Lynch. She did not do so, and based upon prior dealings between her and Ms. Zink, Ms. Adrian had every reason to expect that Ms. Zink would have consented.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w:t>
      </w:r>
      <w:r>
        <w:rPr>
          <w:rFonts w:ascii="arial" w:eastAsia="arial" w:hAnsi="arial" w:cs="arial"/>
          <w:color w:val="000000"/>
          <w:sz w:val="20"/>
          <w:lang w:val="en-US" w:eastAsia="en-US" w:bidi="ar-SA"/>
        </w:rPr>
        <w:t>  Ms. Adrian contends that the Agreement provides that it was Mr. Ellis's responsibility to give notice to Merrill Lynch. I do not agree. The notice clause is stated in the passive voice ("Notice will be provided to Merrill Lynch..."). It does not state who will give the notice. If Ms. Adrian intended that either Ms. Zink or Mr. Ellis be affixed with that responsibility, she ought to have clearly brought that home to them. She did not do so.</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34</w:t>
      </w:r>
      <w:r>
        <w:rPr>
          <w:rFonts w:ascii="arial" w:eastAsia="arial" w:hAnsi="arial" w:cs="arial"/>
          <w:color w:val="000000"/>
          <w:sz w:val="20"/>
          <w:lang w:val="en-US" w:eastAsia="en-US" w:bidi="ar-SA"/>
        </w:rPr>
        <w:t>  Ms. Adrian contends that paragraph 10.1 of the Agreement assists her in her contention that it was up to Ms. Zink or Mr. Ellis or both to ascertain from Merrill Lynch the workability of the security clause and to give notice to Merrill Lynch. Paragraph 10.1 reads: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10.1 Execution of Other Documents</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Each party will do all things necessary to facilitate the fulfilment of the terms of this Agreement by both parties including, without limiting the generality of the foregoing, providing further information and executing further documents.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35</w:t>
      </w:r>
      <w:r>
        <w:rPr>
          <w:rFonts w:ascii="arial" w:eastAsia="arial" w:hAnsi="arial" w:cs="arial"/>
          <w:color w:val="000000"/>
          <w:sz w:val="20"/>
          <w:lang w:val="en-US" w:eastAsia="en-US" w:bidi="ar-SA"/>
        </w:rPr>
        <w:t>  In my view, paragraph 10.1 is no answer to Ms. Adrian failing to draft a workable security provision, failing to ascertain its acceptability to Merrill Lynch and failing to clearly provide for the giving of proper notice to Merrill Lynch.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36</w:t>
      </w:r>
      <w:r>
        <w:rPr>
          <w:rFonts w:ascii="arial" w:eastAsia="arial" w:hAnsi="arial" w:cs="arial"/>
          <w:color w:val="000000"/>
          <w:sz w:val="20"/>
          <w:lang w:val="en-US" w:eastAsia="en-US" w:bidi="ar-SA"/>
        </w:rPr>
        <w:t>  In respect of the requirement that Mr. Ellis provide an assignment of his shareholdings, Ms. Adrian argues that she was under no duty to ensure that Mr. Ellis carry out this obligation. I do not agree. In my opinion, the assignment is so fundamental to the workability of the security clause that Ms. Adrian, as a reasonably skilful solicitor, should have protected her client by ensuring that a proper assignment was executed by Mr. Ellis. This was not a matter of carrying out ordinary future obligations, such as making payments or providing services. Rather, the assignment was an essential part of the provision of security to protect Ms. Zink.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37</w:t>
      </w:r>
      <w:r>
        <w:rPr>
          <w:rFonts w:ascii="arial" w:eastAsia="arial" w:hAnsi="arial" w:cs="arial"/>
          <w:color w:val="000000"/>
          <w:sz w:val="20"/>
          <w:lang w:val="en-US" w:eastAsia="en-US" w:bidi="ar-SA"/>
        </w:rPr>
        <w:t>  Ms. Adrian contends that she adequately warned Ms. Zink of the risks involved. With respect, I disagree. While Ms. Adrian warned Ms. Zink that there was not "total security" because of the risk that Mr. Ellis's shares may drop in value, she did not warn Ms. Zink that the security clause may not be acceptable to Merrill Lynch. In the circumstances, this was a significant risk that ought to have been apparent to Ms. Adrian. The warning provided by Ms. Adrian was therefore insufficient.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38</w:t>
      </w:r>
      <w:r>
        <w:rPr>
          <w:rFonts w:ascii="arial" w:eastAsia="arial" w:hAnsi="arial" w:cs="arial"/>
          <w:color w:val="000000"/>
          <w:sz w:val="20"/>
          <w:lang w:val="en-US" w:eastAsia="en-US" w:bidi="ar-SA"/>
        </w:rPr>
        <w:t>  Ms. Adrian argues that even if she erred, it was no more then an error in judgment in carrying out her duties as a solicitor. I cannot accept this contention. The errors were not judgment calls. They were failures to properly carry out the duties of a solicitor.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39</w:t>
      </w:r>
      <w:r>
        <w:rPr>
          <w:rFonts w:ascii="arial" w:eastAsia="arial" w:hAnsi="arial" w:cs="arial"/>
          <w:color w:val="000000"/>
          <w:sz w:val="20"/>
          <w:lang w:val="en-US" w:eastAsia="en-US" w:bidi="ar-SA"/>
        </w:rPr>
        <w:t>  In summary, I find that Ms. Adrian was negligent. I further find that the defences she has raised do not assist her.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CAUSATION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40</w:t>
      </w:r>
      <w:r>
        <w:rPr>
          <w:rFonts w:ascii="arial" w:eastAsia="arial" w:hAnsi="arial" w:cs="arial"/>
          <w:color w:val="000000"/>
          <w:sz w:val="20"/>
          <w:lang w:val="en-US" w:eastAsia="en-US" w:bidi="ar-SA"/>
        </w:rPr>
        <w:t xml:space="preserve">  Ms. Adrian contends that if she was negligent (which she denies), her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did not cause any damage to Ms. Zink. Ms. Adrian's essential contention is that had Ms. Zink known that the security clause would provide her with no protection, she still would have granted Mr. Ellis the right to use $100,000 of her line of credit.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41</w:t>
      </w:r>
      <w:r>
        <w:rPr>
          <w:rFonts w:ascii="arial" w:eastAsia="arial" w:hAnsi="arial" w:cs="arial"/>
          <w:color w:val="000000"/>
          <w:sz w:val="20"/>
          <w:lang w:val="en-US" w:eastAsia="en-US" w:bidi="ar-SA"/>
        </w:rPr>
        <w:t xml:space="preserve">  It is not always simple to say what would have happened had the facts been different. In the present case, both parties contend that what Ms. Zink would or would not have done must be tested in "the crucible of reason", that is by reference to the surrounding facts that bear upon what would likely have been done. Counsel refer to the concurring judgment of Southin J.A. in Hong Kong Bank of Canada v. Touche Ross &amp; Co. </w:t>
      </w:r>
      <w:hyperlink r:id="rId134" w:history="1">
        <w:r>
          <w:rPr>
            <w:rFonts w:ascii="arial" w:eastAsia="arial" w:hAnsi="arial" w:cs="arial"/>
            <w:i/>
            <w:color w:val="0077CC"/>
            <w:sz w:val="20"/>
            <w:u w:val="single"/>
            <w:shd w:val="clear" w:color="auto" w:fill="FFFFFF"/>
            <w:lang w:val="en-US" w:eastAsia="en-US" w:bidi="ar-SA"/>
          </w:rPr>
          <w:t>(1989), 36 B.C.L.R. (2d) 381</w:t>
        </w:r>
      </w:hyperlink>
      <w:r>
        <w:rPr>
          <w:rFonts w:ascii="arial" w:eastAsia="arial" w:hAnsi="arial" w:cs="arial"/>
          <w:color w:val="000000"/>
          <w:sz w:val="20"/>
          <w:lang w:val="en-US" w:eastAsia="en-US" w:bidi="ar-SA"/>
        </w:rPr>
        <w:t xml:space="preserve"> at 392 (C.A.):</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...It is always easy for a witness to say what he would have done and for a judge to say he accepts that assertion. But such evidence is, in truth, not evidence of a fact but evidence of opinion. It should be tested in the crucible of reason.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42</w:t>
      </w:r>
      <w:r>
        <w:rPr>
          <w:rFonts w:ascii="arial" w:eastAsia="arial" w:hAnsi="arial" w:cs="arial"/>
          <w:color w:val="000000"/>
          <w:sz w:val="20"/>
          <w:lang w:val="en-US" w:eastAsia="en-US" w:bidi="ar-SA"/>
        </w:rPr>
        <w:t>  There is no direct evidence (or opinion) by Ms. Zink as to what she would have done had she known that the security clause was worthless. However, there is evidence of circumstances surrounding the March 1, 1999 Agreement from which a fair inference may be drawn on a balance of probabilities. I will consider this evidence first in support of Ms. Zink's position and second in support of Ms. Adrian's position.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43</w:t>
      </w:r>
      <w:r>
        <w:rPr>
          <w:rFonts w:ascii="arial" w:eastAsia="arial" w:hAnsi="arial" w:cs="arial"/>
          <w:color w:val="000000"/>
          <w:sz w:val="20"/>
          <w:lang w:val="en-US" w:eastAsia="en-US" w:bidi="ar-SA"/>
        </w:rPr>
        <w:t>  Evidence suggesting that Ms. Zink would not have granted the $100,000 of line of credit on or about March 1, 1999 had she known that the security clause gave her no protection, includes the following:</w:t>
      </w:r>
      <w:r>
        <w:rPr>
          <w:rFonts w:ascii="arial" w:eastAsia="arial" w:hAnsi="arial" w:cs="arial"/>
          <w:sz w:val="20"/>
          <w:lang w:val="en-US" w:eastAsia="en-US" w:bidi="ar-SA"/>
        </w:rPr>
        <w:cr/>
      </w:r>
    </w:p>
    <w:p>
      <w:pPr>
        <w:numPr>
          <w:numId w:val="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Ms. Zink was concerned with her own financial security. This concern included protecting her home, which was mortgaged to Canada Trust as security for the $275,000 line of credit. She was at risk of losing her home if Mr. Ellis defaulted on the line of credit.</w:t>
      </w:r>
    </w:p>
    <w:p>
      <w:pPr>
        <w:numPr>
          <w:numId w:val="7"/>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Ms. Adrian was well aware of Ms. Zink's concern for her own security. That is the reason why Ms. Adrian devised the security clause.</w:t>
      </w:r>
    </w:p>
    <w:p>
      <w:pPr>
        <w:numPr>
          <w:numId w:val="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Ms. Zink did not grant Mr. Ellis the right to use the $100,000 line of credit until both he and she had signed the Agreement.</w:t>
      </w:r>
    </w:p>
    <w:p>
      <w:pPr>
        <w:numPr>
          <w:numId w:val="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In the past, when her first husband was encountering financial difficulties, she separated from him and kept the matrimonial home (which was in her name) in order to provide security for herself and her children.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44</w:t>
      </w:r>
      <w:r>
        <w:rPr>
          <w:rFonts w:ascii="arial" w:eastAsia="arial" w:hAnsi="arial" w:cs="arial"/>
          <w:color w:val="000000"/>
          <w:sz w:val="20"/>
          <w:lang w:val="en-US" w:eastAsia="en-US" w:bidi="ar-SA"/>
        </w:rPr>
        <w:t>  Evidence relied upon by Ms. Adrian to support her contention that Ms. Zink would have granted the $100,000 line of credit to Mr. Ellis in any event, includes the following:</w:t>
      </w:r>
      <w:r>
        <w:rPr>
          <w:rFonts w:ascii="arial" w:eastAsia="arial" w:hAnsi="arial" w:cs="arial"/>
          <w:sz w:val="20"/>
          <w:lang w:val="en-US" w:eastAsia="en-US" w:bidi="ar-SA"/>
        </w:rPr>
        <w:cr/>
      </w:r>
    </w:p>
    <w:p>
      <w:pPr>
        <w:numPr>
          <w:numId w:val="1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At the time the Agreement was entered into, Ms. Zink trusted Mr. Ellis.</w:t>
      </w:r>
    </w:p>
    <w:p>
      <w:pPr>
        <w:numPr>
          <w:numId w:val="1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At that time, Mr. Ellis was unable to obtain a line of credit on his own, and Ms. Zink was aware of this.</w:t>
      </w:r>
    </w:p>
    <w:p>
      <w:pPr>
        <w:numPr>
          <w:numId w:val="1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On October 15, 1999 Ms. Zink loaned Mr. Ellis $45,000, which amount was deposited to the line of credit account. No security was requested or obtained for this loan. This occurred 7 1/2 months after the Agreement was entered into and about 3 weeks after Ms. Zink and Mr. Ellis married.</w:t>
      </w:r>
    </w:p>
    <w:p>
      <w:pPr>
        <w:numPr>
          <w:numId w:val="1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On February 21, 2000, Ms. Zink loaned a further $10,000 to Mr. Ellis. Shortly before that loan, Ms. Zink obtained a power of attorney over Mr. Ellis's investment account at Merrill Lynch.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45</w:t>
      </w:r>
      <w:r>
        <w:rPr>
          <w:rFonts w:ascii="arial" w:eastAsia="arial" w:hAnsi="arial" w:cs="arial"/>
          <w:color w:val="000000"/>
          <w:sz w:val="20"/>
          <w:lang w:val="en-US" w:eastAsia="en-US" w:bidi="ar-SA"/>
        </w:rPr>
        <w:t>  Ms. Adrian argues that the subsequent events show that Ms. Zink was prepared to incur risk to support the financial endeavours of Mr. Ellis and do so without security. She submits that Ms. Zink would have been prepared to do the same on March 1, 1999.</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46</w:t>
      </w:r>
      <w:r>
        <w:rPr>
          <w:rFonts w:ascii="arial" w:eastAsia="arial" w:hAnsi="arial" w:cs="arial"/>
          <w:color w:val="000000"/>
          <w:sz w:val="20"/>
          <w:lang w:val="en-US" w:eastAsia="en-US" w:bidi="ar-SA"/>
        </w:rPr>
        <w:t>  In my view, on a balance of probabilities, Ms. Zink would not have been prepared to grant Mr. Ellis the $100,000 line of credit without some reasonable form of security when she entered into the Agreement on March 1, 1999. At that time they were not yet married. Had she known that the proposed security was ineffective, I expect she would have asked for and received some effective form of security. Mr. Ellis was in a position where we could provide security as he was in the process of obtaining $450,000 from his sale of the matrimonial home of his former marriage.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47</w:t>
      </w:r>
      <w:r>
        <w:rPr>
          <w:rFonts w:ascii="arial" w:eastAsia="arial" w:hAnsi="arial" w:cs="arial"/>
          <w:color w:val="000000"/>
          <w:sz w:val="20"/>
          <w:lang w:val="en-US" w:eastAsia="en-US" w:bidi="ar-SA"/>
        </w:rPr>
        <w:t xml:space="preserve">  I conclude that Ms. Adrian's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caused loss to Ms. Zink resulting from Mr. Ellis's use of the $100,000 line of credit.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48</w:t>
      </w:r>
      <w:r>
        <w:rPr>
          <w:rFonts w:ascii="arial" w:eastAsia="arial" w:hAnsi="arial" w:cs="arial"/>
          <w:color w:val="000000"/>
          <w:sz w:val="20"/>
          <w:lang w:val="en-US" w:eastAsia="en-US" w:bidi="ar-SA"/>
        </w:rPr>
        <w:t xml:space="preserve">  Ms. Adrian argued that there was no causation established in respect of the $45,000 and $10,000 loans by Ms. Zink to Mr. Ellis. On this point I agree with Ms. Adrian. Her retainer pertained to the $100,000 line of credit, not the subsequent loans. It was not the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of Ms. Adrian that caused these losses to Ms. Zink.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49</w:t>
      </w:r>
      <w:r>
        <w:rPr>
          <w:rFonts w:ascii="arial" w:eastAsia="arial" w:hAnsi="arial" w:cs="arial"/>
          <w:color w:val="000000"/>
          <w:sz w:val="20"/>
          <w:lang w:val="en-US" w:eastAsia="en-US" w:bidi="ar-SA"/>
        </w:rPr>
        <w:t>  Ms. Zink argues that there was a general retainer of Ms. Adrian to provide advice and ensure that Ms. Zink was protected in respect of the loans. I do not agree. There were no instructions either express or implied given by Ms. Zink to Ms. Adrian concerning the two loans. Ms. Adrian was the repository of a great deal of information concerning Ms. Zink, but that alone is insufficient to imply a general retainer to fully protect Ms. Zink.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CONTRIBUTORY </w:t>
      </w:r>
      <w:r>
        <w:rPr>
          <w:rFonts w:ascii="arial" w:eastAsia="arial" w:hAnsi="arial" w:cs="arial"/>
          <w:b/>
          <w:i/>
          <w:color w:val="000000"/>
          <w:sz w:val="20"/>
          <w:u w:val="single"/>
          <w:lang w:val="en-US" w:eastAsia="en-US" w:bidi="ar-SA"/>
        </w:rPr>
        <w:t>NEGLIGENCE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50</w:t>
      </w:r>
      <w:r>
        <w:rPr>
          <w:rFonts w:ascii="arial" w:eastAsia="arial" w:hAnsi="arial" w:cs="arial"/>
          <w:color w:val="000000"/>
          <w:sz w:val="20"/>
          <w:lang w:val="en-US" w:eastAsia="en-US" w:bidi="ar-SA"/>
        </w:rPr>
        <w:t xml:space="preserve">  Ms. Adrian claims that Ms. Zink was contributorily negligent. In her written submission Ms. Adrian's allegations of contributory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are as follows:</w:t>
      </w:r>
      <w:r>
        <w:rPr>
          <w:rFonts w:ascii="arial" w:eastAsia="arial" w:hAnsi="arial" w:cs="arial"/>
          <w:sz w:val="20"/>
          <w:lang w:val="en-US" w:eastAsia="en-US" w:bidi="ar-SA"/>
        </w:rPr>
        <w:cr/>
      </w:r>
    </w:p>
    <w:p>
      <w:pPr>
        <w:numPr>
          <w:numId w:val="1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failing to advise Mr. Gordon [of Merrill Lynch] in March, 1999 of the arrangement which the plaintiff and Ellis had concluded with respect to the ML Security.</w:t>
      </w:r>
    </w:p>
    <w:p>
      <w:pPr>
        <w:numPr>
          <w:numId w:val="1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failing to seek advice from the defendant either before or after the $45,000 and $10,000 loans were made.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51</w:t>
      </w:r>
      <w:r>
        <w:rPr>
          <w:rFonts w:ascii="arial" w:eastAsia="arial" w:hAnsi="arial" w:cs="arial"/>
          <w:color w:val="000000"/>
          <w:sz w:val="20"/>
          <w:lang w:val="en-US" w:eastAsia="en-US" w:bidi="ar-SA"/>
        </w:rPr>
        <w:t>  I need not address (b) above concerning the loans of $45,000 and $10,000 because I have already disposed of them under the Causation section.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52</w:t>
      </w:r>
      <w:r>
        <w:rPr>
          <w:rFonts w:ascii="arial" w:eastAsia="arial" w:hAnsi="arial" w:cs="arial"/>
          <w:color w:val="000000"/>
          <w:sz w:val="20"/>
          <w:lang w:val="en-US" w:eastAsia="en-US" w:bidi="ar-SA"/>
        </w:rPr>
        <w:t>  As for (a) above, Ms. Adrian did not ask Ms. Zink to advise Mr. Gordon of the arrangement, nor did she provide Ms. Zink with a copy of the Agreement. Ms. Adrian could not have expected Ms. Zink to be Mr. Gordon's source of information as to what the Agreement required of Merrill Lynch. I find Ms. Zink was not contributorily negligent.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53</w:t>
      </w:r>
      <w:r>
        <w:rPr>
          <w:rFonts w:ascii="arial" w:eastAsia="arial" w:hAnsi="arial" w:cs="arial"/>
          <w:color w:val="000000"/>
          <w:sz w:val="20"/>
          <w:lang w:val="en-US" w:eastAsia="en-US" w:bidi="ar-SA"/>
        </w:rPr>
        <w:t>  In the end, the marriage broke apart and Mr. Ellis went bankrupt. Ms. Zink has lost $74,500 she had to repay Canada Trust plus interest calculated to the date of this judgment for a total of $83,132.28. Ms. Zink is entitled to judgment in this amount.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54</w:t>
      </w:r>
      <w:r>
        <w:rPr>
          <w:rFonts w:ascii="arial" w:eastAsia="arial" w:hAnsi="arial" w:cs="arial"/>
          <w:color w:val="000000"/>
          <w:sz w:val="20"/>
          <w:lang w:val="en-US" w:eastAsia="en-US" w:bidi="ar-SA"/>
        </w:rPr>
        <w:t>  As for Ms. Zink's claims with respect to the $45,000 and $10,000 loans, for reasons set out in the Causation section these claims are not allowed.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55</w:t>
      </w:r>
      <w:r>
        <w:rPr>
          <w:rFonts w:ascii="arial" w:eastAsia="arial" w:hAnsi="arial" w:cs="arial"/>
          <w:color w:val="000000"/>
          <w:sz w:val="20"/>
          <w:lang w:val="en-US" w:eastAsia="en-US" w:bidi="ar-SA"/>
        </w:rPr>
        <w:t>  Ms. Adrian contends that Ms. Zink must give credit for the $45,000 that was deposited into the line of credit. With respect, I see no way that Ms. Adrian can logically claim to have the damages reduced by the loan of $45,000 from Ms. Zink to Mr. Ellis. The loan has not been repaid and Ms. Zink lost the $45,000. To say that this should also result in the reduction of her damages, in my view, defies common sense.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56</w:t>
      </w:r>
      <w:r>
        <w:rPr>
          <w:rFonts w:ascii="arial" w:eastAsia="arial" w:hAnsi="arial" w:cs="arial"/>
          <w:color w:val="000000"/>
          <w:sz w:val="20"/>
          <w:lang w:val="en-US" w:eastAsia="en-US" w:bidi="ar-SA"/>
        </w:rPr>
        <w:t>  Ms. Adrian contends that the damages should be reduced by a $30,000 payment Ms. Zink received in settlement of her claim for spousal support from Mr. Ellis in their divorce proceedings. Ms. Adrian submits that this amount was really toward the line of credit loss disguised as spousal support. In my view, the evidence is insufficient to prove this assertion beyond a balance of probabilities.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COSTS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57</w:t>
      </w:r>
      <w:r>
        <w:rPr>
          <w:rFonts w:ascii="arial" w:eastAsia="arial" w:hAnsi="arial" w:cs="arial"/>
          <w:color w:val="000000"/>
          <w:sz w:val="20"/>
          <w:lang w:val="en-US" w:eastAsia="en-US" w:bidi="ar-SA"/>
        </w:rPr>
        <w:t>  Ms. Adrian seeks an Order that she be paid special costs by Ms. Zink. She claims she was maligned by assertions by Ms. Zink in respect of the breach of fiduciary duty claim. I have no doubt that Ms. Zink was bitter about being left with no protection under the Agreement and that this coloured her memory and caused a good friendship to turn to enmity. However, I do not look upon the assertions by Ms. Zink as sufficiently serious to warrant a reversal of costs, much less justification to award special costs.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58</w:t>
      </w:r>
      <w:r>
        <w:rPr>
          <w:rFonts w:ascii="arial" w:eastAsia="arial" w:hAnsi="arial" w:cs="arial"/>
          <w:color w:val="000000"/>
          <w:sz w:val="20"/>
          <w:lang w:val="en-US" w:eastAsia="en-US" w:bidi="ar-SA"/>
        </w:rPr>
        <w:t>  This action has been a difficult experience for both Ms. Zink and Ms. Adrian. It has been fought vigorously and fully. In the final analysis, liability is clear. In my view, the general rule of costs following the event should be applied. I award costs of this action to Ms. Zink, the costs to be set at Scale 3.</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SUMMARY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59</w:t>
      </w:r>
      <w:r>
        <w:rPr>
          <w:rFonts w:ascii="arial" w:eastAsia="arial" w:hAnsi="arial" w:cs="arial"/>
          <w:color w:val="000000"/>
          <w:sz w:val="20"/>
          <w:lang w:val="en-US" w:eastAsia="en-US" w:bidi="ar-SA"/>
        </w:rPr>
        <w:t xml:space="preserve">  The plaintiff Ms. Zink will recover from the defendant Ms. Adrian, damages caused by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60</w:t>
      </w:r>
      <w:r>
        <w:rPr>
          <w:rFonts w:ascii="arial" w:eastAsia="arial" w:hAnsi="arial" w:cs="arial"/>
          <w:color w:val="000000"/>
          <w:sz w:val="20"/>
          <w:lang w:val="en-US" w:eastAsia="en-US" w:bidi="ar-SA"/>
        </w:rPr>
        <w:t>  The damages including pre-judgment interest are assessed at $83,132.28. There will be judgment in this amount.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61</w:t>
      </w:r>
      <w:r>
        <w:rPr>
          <w:rFonts w:ascii="arial" w:eastAsia="arial" w:hAnsi="arial" w:cs="arial"/>
          <w:color w:val="000000"/>
          <w:sz w:val="20"/>
          <w:lang w:val="en-US" w:eastAsia="en-US" w:bidi="ar-SA"/>
        </w:rPr>
        <w:t>  The claim for breach of fiduciary duty is not allowed.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62</w:t>
      </w:r>
      <w:r>
        <w:rPr>
          <w:rFonts w:ascii="arial" w:eastAsia="arial" w:hAnsi="arial" w:cs="arial"/>
          <w:color w:val="000000"/>
          <w:sz w:val="20"/>
          <w:lang w:val="en-US" w:eastAsia="en-US" w:bidi="ar-SA"/>
        </w:rPr>
        <w:t>  The plaintiff Ms. Zink will recover costs of the action from the defendant Ms. Adrian to be set at Scale 3.</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63</w:t>
      </w:r>
      <w:r>
        <w:rPr>
          <w:rFonts w:ascii="arial" w:eastAsia="arial" w:hAnsi="arial" w:cs="arial"/>
          <w:color w:val="000000"/>
          <w:sz w:val="20"/>
          <w:lang w:val="en-US" w:eastAsia="en-US" w:bidi="ar-SA"/>
        </w:rPr>
        <w:t>  The claim of the defendant Ms. Adrian for special costs is not allowed.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SHAW J.</w:t>
      </w:r>
      <w:r>
        <w:rPr>
          <w:rFonts w:ascii="arial" w:eastAsia="arial" w:hAnsi="arial" w:cs="arial"/>
          <w:sz w:val="20"/>
          <w:lang w:val="en-US" w:eastAsia="en-US" w:bidi="ar-SA"/>
        </w:rPr>
        <w:cr/>
      </w:r>
    </w:p>
    <w:p>
      <w:pPr>
        <w:rPr>
          <w:rFonts w:ascii="arial" w:eastAsia="arial" w:hAnsi="arial" w:cs="arial"/>
          <w:sz w:val="20"/>
          <w:lang w:val="en-US" w:eastAsia="en-US" w:bidi="ar-SA"/>
        </w:rPr>
      </w:pPr>
    </w:p>
    <w:p>
      <w:pPr>
        <w:ind w:left="200"/>
        <w:rPr>
          <w:rFonts w:ascii="arial" w:eastAsia="arial" w:hAnsi="arial" w:cs="arial"/>
          <w:sz w:val="20"/>
          <w:lang w:val="en-US" w:eastAsia="en-US" w:bidi="ar-SA"/>
        </w:rPr>
        <w:sectPr>
          <w:type w:val="continuous"/>
          <w:pgMar w:top="840" w:right="1000" w:bottom="840" w:left="1000" w:header="400" w:footer="400"/>
          <w:pgNumType w:fmt="decimal"/>
          <w:cols w:space="720"/>
        </w:sectPr>
      </w:pPr>
      <w:r>
        <w:rPr>
          <w:rFonts w:ascii="arial" w:eastAsia="arial" w:hAnsi="arial" w:cs="arial"/>
          <w:sz w:val="20"/>
          <w:lang w:val="en-US" w:eastAsia="en-US" w:bidi="ar-SA"/>
        </w:rPr>
        <w:br/>
      </w:r>
      <w:r>
        <w:pict>
          <v:line id="_x0000_s1068" style="position:absolute;z-index:251768832"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252"/>
          <w:headerReference w:type="default" r:id="rId253"/>
          <w:footerReference w:type="even" r:id="rId254"/>
          <w:footerReference w:type="default" r:id="rId255"/>
          <w:headerReference w:type="first" r:id="rId256"/>
          <w:footerReference w:type="first" r:id="rId257"/>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hAnsi="Arial" w:cs="Arial"/>
          <w:b/>
          <w:bCs/>
          <w:kern w:val="32"/>
          <w:sz w:val="32"/>
          <w:szCs w:val="32"/>
          <w:lang w:val="en-US" w:eastAsia="en-US" w:bidi="ar-SA"/>
        </w:rPr>
      </w:pPr>
      <w:hyperlink r:id="rId258" w:history="1">
        <w:r>
          <w:rPr>
            <w:rFonts w:ascii="arial" w:eastAsia="arial" w:hAnsi="arial" w:cs="arial"/>
            <w:b/>
            <w:bCs/>
            <w:i/>
            <w:color w:val="0077CC"/>
            <w:kern w:val="32"/>
            <w:sz w:val="28"/>
            <w:szCs w:val="32"/>
            <w:u w:val="single"/>
            <w:shd w:val="clear" w:color="auto" w:fill="FFFFFF"/>
            <w:lang w:val="en-US" w:eastAsia="en-US" w:bidi="ar-SA"/>
          </w:rPr>
          <w:t>Beazley v. Suzuki Motor Corp., [2010] B.C.J. No. 640</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British Columbia Judgments</w:t>
      </w:r>
    </w:p>
    <w:p>
      <w:pPr>
        <w:rPr>
          <w:lang w:val="en-US" w:eastAsia="en-US" w:bidi="ar-SA"/>
        </w:rPr>
      </w:pPr>
    </w:p>
    <w:p>
      <w:pPr>
        <w:spacing w:before="120" w:line="260" w:lineRule="atLeast"/>
        <w:jc w:val="center"/>
        <w:rPr>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lang w:val="en-US" w:eastAsia="en-US" w:bidi="ar-SA"/>
        </w:rPr>
      </w:pPr>
      <w:r>
        <w:rPr>
          <w:rFonts w:ascii="arial" w:eastAsia="arial" w:hAnsi="arial" w:cs="arial"/>
          <w:color w:val="000000"/>
          <w:sz w:val="20"/>
          <w:lang w:val="en-US" w:eastAsia="en-US" w:bidi="ar-SA"/>
        </w:rPr>
        <w:t xml:space="preserve"> Vancouver, British Columbia</w:t>
      </w:r>
    </w:p>
    <w:p>
      <w:pPr>
        <w:spacing w:before="120" w:line="260" w:lineRule="atLeast"/>
        <w:jc w:val="center"/>
        <w:rPr>
          <w:lang w:val="en-US" w:eastAsia="en-US" w:bidi="ar-SA"/>
        </w:rPr>
      </w:pPr>
      <w:r>
        <w:rPr>
          <w:rFonts w:ascii="arial" w:eastAsia="arial" w:hAnsi="arial" w:cs="arial"/>
          <w:color w:val="000000"/>
          <w:sz w:val="20"/>
          <w:lang w:val="en-US" w:eastAsia="en-US" w:bidi="ar-SA"/>
        </w:rPr>
        <w:t>R.B.T. Goepel J.</w:t>
      </w:r>
    </w:p>
    <w:p>
      <w:pPr>
        <w:spacing w:before="120" w:line="260" w:lineRule="atLeast"/>
        <w:jc w:val="center"/>
        <w:rPr>
          <w:lang w:val="en-US" w:eastAsia="en-US" w:bidi="ar-SA"/>
        </w:rPr>
      </w:pPr>
      <w:r>
        <w:rPr>
          <w:rFonts w:ascii="arial" w:eastAsia="arial" w:hAnsi="arial" w:cs="arial"/>
          <w:color w:val="000000"/>
          <w:sz w:val="20"/>
          <w:lang w:val="en-US" w:eastAsia="en-US" w:bidi="ar-SA"/>
        </w:rPr>
        <w:t>Heard: March 31 and April 1, 2010.</w:t>
      </w:r>
    </w:p>
    <w:p>
      <w:pPr>
        <w:spacing w:before="120" w:line="260" w:lineRule="atLeast"/>
        <w:jc w:val="center"/>
        <w:rPr>
          <w:lang w:val="en-US" w:eastAsia="en-US" w:bidi="ar-SA"/>
        </w:rPr>
      </w:pPr>
      <w:r>
        <w:rPr>
          <w:rFonts w:ascii="arial" w:eastAsia="arial" w:hAnsi="arial" w:cs="arial"/>
          <w:color w:val="000000"/>
          <w:sz w:val="20"/>
          <w:lang w:val="en-US" w:eastAsia="en-US" w:bidi="ar-SA"/>
        </w:rPr>
        <w:t>Judgment: April 9, 2010.</w:t>
      </w:r>
    </w:p>
    <w:p>
      <w:pPr>
        <w:spacing w:before="120" w:line="260" w:lineRule="atLeast"/>
        <w:jc w:val="center"/>
        <w:rPr>
          <w:lang w:val="en-US" w:eastAsia="en-US" w:bidi="ar-SA"/>
        </w:rPr>
      </w:pPr>
      <w:r>
        <w:rPr>
          <w:rFonts w:ascii="arial" w:eastAsia="arial" w:hAnsi="arial" w:cs="arial"/>
          <w:color w:val="000000"/>
          <w:sz w:val="20"/>
          <w:lang w:val="en-US" w:eastAsia="en-US" w:bidi="ar-SA"/>
        </w:rPr>
        <w:t>Dockets: S043377 and S060519</w:t>
      </w:r>
    </w:p>
    <w:p>
      <w:pPr>
        <w:spacing w:before="120" w:line="260" w:lineRule="atLeast"/>
        <w:jc w:val="center"/>
        <w:rPr>
          <w:lang w:val="en-US" w:eastAsia="en-US" w:bidi="ar-SA"/>
        </w:rPr>
      </w:pPr>
      <w:r>
        <w:rPr>
          <w:rFonts w:ascii="arial" w:eastAsia="arial" w:hAnsi="arial" w:cs="arial"/>
          <w:color w:val="000000"/>
          <w:sz w:val="20"/>
          <w:lang w:val="en-US" w:eastAsia="en-US" w:bidi="ar-SA"/>
        </w:rPr>
        <w:t>Registry: Vancouver</w:t>
      </w:r>
    </w:p>
    <w:p>
      <w:pPr>
        <w:rPr>
          <w:lang w:val="en-US" w:eastAsia="en-US" w:bidi="ar-SA"/>
        </w:rPr>
      </w:pPr>
    </w:p>
    <w:p>
      <w:pPr>
        <w:spacing w:before="120" w:line="260" w:lineRule="atLeast"/>
        <w:rPr>
          <w:lang w:val="en-US" w:eastAsia="en-US" w:bidi="ar-SA"/>
        </w:rPr>
      </w:pPr>
      <w:r>
        <w:rPr>
          <w:rFonts w:ascii="arial" w:eastAsia="arial" w:hAnsi="arial" w:cs="arial"/>
          <w:b/>
          <w:color w:val="000000"/>
          <w:sz w:val="20"/>
          <w:lang w:val="en-US" w:eastAsia="en-US" w:bidi="ar-SA"/>
        </w:rPr>
        <w:t>[2010] B.C.J. No. 640</w:t>
      </w:r>
      <w:r>
        <w:rPr>
          <w:lang w:val="en-US" w:eastAsia="en-US" w:bidi="ar-SA"/>
        </w:rPr>
        <w:t xml:space="preserve"> </w:t>
      </w:r>
      <w:r>
        <w:rPr>
          <w:lang w:val="en-US" w:eastAsia="en-US" w:bidi="ar-SA"/>
        </w:rPr>
        <w:t xml:space="preserve"> </w:t>
      </w:r>
      <w:r>
        <w:rPr>
          <w:lang w:val="en-US" w:eastAsia="en-US" w:bidi="ar-SA"/>
        </w:rPr>
        <w:t xml:space="preserve"> </w:t>
      </w:r>
      <w:r>
        <w:rPr>
          <w:rFonts w:ascii="arial" w:eastAsia="arial" w:hAnsi="arial" w:cs="arial"/>
          <w:color w:val="BCBEC0"/>
          <w:sz w:val="20"/>
          <w:lang w:val="en-US" w:eastAsia="en-US" w:bidi="ar-SA"/>
        </w:rPr>
        <w:t>|</w:t>
      </w:r>
      <w:r>
        <w:rPr>
          <w:lang w:val="en-US" w:eastAsia="en-US" w:bidi="ar-SA"/>
        </w:rPr>
        <w:t xml:space="preserve"> </w:t>
      </w:r>
      <w:r>
        <w:rPr>
          <w:lang w:val="en-US" w:eastAsia="en-US" w:bidi="ar-SA"/>
        </w:rPr>
        <w:t xml:space="preserve"> </w:t>
      </w:r>
      <w:r>
        <w:rPr>
          <w:lang w:val="en-US" w:eastAsia="en-US" w:bidi="ar-SA"/>
        </w:rPr>
        <w:t xml:space="preserve"> </w:t>
      </w:r>
      <w:r>
        <w:rPr>
          <w:rFonts w:ascii="arial" w:eastAsia="arial" w:hAnsi="arial" w:cs="arial"/>
          <w:color w:val="000000"/>
          <w:sz w:val="20"/>
          <w:lang w:val="en-US" w:eastAsia="en-US" w:bidi="ar-SA"/>
        </w:rPr>
        <w:t>2010 BCSC 480</w:t>
      </w:r>
    </w:p>
    <w:p>
      <w:pPr>
        <w:spacing w:before="120" w:line="260" w:lineRule="atLeast"/>
        <w:rPr>
          <w:lang w:val="en-US" w:eastAsia="en-US" w:bidi="ar-SA"/>
        </w:rPr>
      </w:pPr>
      <w:r>
        <w:rPr>
          <w:rFonts w:ascii="arial" w:eastAsia="arial" w:hAnsi="arial" w:cs="arial"/>
          <w:color w:val="000000"/>
          <w:sz w:val="20"/>
          <w:lang w:val="en-US" w:eastAsia="en-US" w:bidi="ar-SA"/>
        </w:rPr>
        <w:t>Between Jason Beazley, Laurel Beazley and William Beazley, and Insurance Corporation of British Columbia, Plaintiffs, and Suzuki Motor Corporation, General Motors Corporation, General Motors of Canada Limited - General Motors Du Canada Limitee, Cami-Automotive, Inc., Stingray Holdings Ltd. formerly known as Sunshine Motors Ltd., and Anchors Away Worldwide Cruises Inc., formerly known as Sunshine Motors (1994) Limited, Defendants And between Natalia Spehar, a person under disability, by her Committee, Ann Spehar and Insurance Corporation of British Columbia, Plaintiffs, and Suzuki Motor Corporation, General Motors Corporation, General Motors of Canada Limited - General Motors Du Canada Limitee, Cami-Automotive, Inc., Stingray Holdings Ltd. formerly known as Sunshine Motors Ltd., and Anchors Away Worldwide Cruises Inc., formerly known as Sunshine Motors (1994) Limited, Defendants</w:t>
      </w:r>
    </w:p>
    <w:p>
      <w:pPr>
        <w:spacing w:before="120" w:line="260" w:lineRule="atLeast"/>
        <w:rPr>
          <w:lang w:val="en-US" w:eastAsia="en-US" w:bidi="ar-SA"/>
        </w:rPr>
      </w:pPr>
      <w:r>
        <w:rPr>
          <w:lang w:val="en-US" w:eastAsia="en-US" w:bidi="ar-SA"/>
        </w:rPr>
        <w:br/>
      </w:r>
      <w:r>
        <w:rPr>
          <w:rFonts w:ascii="arial" w:eastAsia="arial" w:hAnsi="arial" w:cs="arial"/>
          <w:color w:val="000000"/>
          <w:sz w:val="20"/>
          <w:lang w:val="en-US" w:eastAsia="en-US" w:bidi="ar-SA"/>
        </w:rPr>
        <w:t>(35 paras.)</w:t>
      </w:r>
    </w:p>
    <w:p>
      <w:pPr>
        <w:keepNext/>
        <w:spacing w:before="120" w:line="340" w:lineRule="atLeast"/>
        <w:rPr>
          <w:lang w:val="en-US" w:eastAsia="en-US" w:bidi="ar-SA"/>
        </w:rPr>
      </w:pPr>
      <w:r>
        <w:rPr>
          <w:rFonts w:ascii="arial" w:eastAsia="arial" w:hAnsi="arial" w:cs="arial"/>
          <w:b/>
          <w:color w:val="000000"/>
          <w:sz w:val="28"/>
          <w:lang w:val="en-US" w:eastAsia="en-US" w:bidi="ar-SA"/>
        </w:rPr>
        <w:t>Case Summary</w:t>
      </w:r>
    </w:p>
    <w:p>
      <w:pPr>
        <w:spacing w:line="60" w:lineRule="exact"/>
        <w:rPr>
          <w:lang w:val="en-US" w:eastAsia="en-US" w:bidi="ar-SA"/>
        </w:rPr>
      </w:pPr>
      <w:r>
        <w:pict>
          <v:line id="_x0000_s1069" style="position:absolute;z-index:251667456" from="0,2pt" to="512pt,2pt" strokecolor="#009ddb" strokeweight="2pt">
            <v:stroke linestyle="single"/>
          </v:line>
        </w:pict>
      </w:r>
    </w:p>
    <w:p>
      <w:pPr>
        <w:spacing w:line="240" w:lineRule="exact"/>
        <w:rPr>
          <w:lang w:val="en-US" w:eastAsia="en-US" w:bidi="ar-SA"/>
        </w:rPr>
      </w:pPr>
    </w:p>
    <w:p>
      <w:pPr>
        <w:spacing w:before="120" w:line="260" w:lineRule="atLeast"/>
        <w:rPr>
          <w:lang w:val="en-US" w:eastAsia="en-US" w:bidi="ar-SA"/>
        </w:rPr>
      </w:pPr>
      <w:bookmarkStart w:id="55" w:name="Keywords_7"/>
      <w:bookmarkEnd w:id="55"/>
      <w:r>
        <w:rPr>
          <w:rFonts w:ascii="arial" w:eastAsia="arial" w:hAnsi="arial" w:cs="arial"/>
          <w:b/>
          <w:color w:val="000000"/>
          <w:sz w:val="20"/>
          <w:lang w:val="en-US" w:eastAsia="en-US" w:bidi="ar-SA"/>
        </w:rPr>
        <w:t xml:space="preserve">Civil litigation — Civil evidence — Opinion evidence — Expert evidence — Admission of reports — Qualification as an expert — Criteria for admissibility — Application to exclude defendants' expert reports allowed in part — Plaintiffs alleged that vehicle involved in single-vehicle accident was defective in design, causing vehicle instability and resultant injuries — Wood Report was from engineer involved in testing and evaluating vehicle stability performance — Padmanapan Report was from statistician analyzing link between seatbelt use and injury in rollover accidents — Court found that reports were relevant — Wood's employment in auto industry did not raise bias, as he was not involved in development of vehicle in question — However, evidence in Padmanapan report was unnecessary to determine issue of contributory </w:t>
      </w:r>
      <w:r>
        <w:rPr>
          <w:rFonts w:ascii="arial" w:eastAsia="arial" w:hAnsi="arial" w:cs="arial"/>
          <w:b/>
          <w:i/>
          <w:color w:val="000000"/>
          <w:sz w:val="20"/>
          <w:u w:val="single"/>
          <w:lang w:val="en-US" w:eastAsia="en-US" w:bidi="ar-SA"/>
        </w:rPr>
        <w:t>negligence</w:t>
      </w:r>
      <w:r>
        <w:rPr>
          <w:rFonts w:ascii="arial" w:eastAsia="arial" w:hAnsi="arial" w:cs="arial"/>
          <w:b/>
          <w:color w:val="000000"/>
          <w:sz w:val="20"/>
          <w:lang w:val="en-US" w:eastAsia="en-US" w:bidi="ar-SA"/>
        </w:rPr>
        <w:t>.</w:t>
      </w:r>
    </w:p>
    <w:p>
      <w:pPr>
        <w:jc w:val="both"/>
        <w:rPr>
          <w:lang w:val="en-US" w:eastAsia="en-US" w:bidi="ar-SA"/>
        </w:rPr>
      </w:pPr>
      <w:bookmarkStart w:id="56" w:name="Counsel_7"/>
      <w:bookmarkEnd w:id="56"/>
      <w:r>
        <w:rPr>
          <w:lang w:val="en-US" w:eastAsia="en-US" w:bidi="ar-SA"/>
        </w:rPr>
        <w:br/>
      </w:r>
    </w:p>
    <w:p>
      <w:pPr>
        <w:keepNext/>
        <w:spacing w:before="240" w:line="340" w:lineRule="atLeast"/>
        <w:rPr>
          <w:lang w:val="en-US" w:eastAsia="en-US" w:bidi="ar-SA"/>
        </w:rPr>
      </w:pPr>
      <w:r>
        <w:rPr>
          <w:rFonts w:ascii="arial" w:eastAsia="arial" w:hAnsi="arial" w:cs="arial"/>
          <w:b/>
          <w:color w:val="000000"/>
          <w:sz w:val="28"/>
          <w:lang w:val="en-US" w:eastAsia="en-US" w:bidi="ar-SA"/>
        </w:rPr>
        <w:t>Counsel</w:t>
      </w:r>
    </w:p>
    <w:p>
      <w:pPr>
        <w:spacing w:line="60" w:lineRule="exact"/>
        <w:rPr>
          <w:lang w:val="en-US" w:eastAsia="en-US" w:bidi="ar-SA"/>
        </w:rPr>
      </w:pPr>
      <w:r>
        <w:pict>
          <v:line id="_x0000_s1070" style="position:absolute;z-index:251718656" from="0,2pt" to="512pt,2pt" strokecolor="#009ddb" strokeweight="2pt">
            <v:stroke linestyle="single"/>
          </v:line>
        </w:pict>
      </w:r>
    </w:p>
    <w:p>
      <w:pPr>
        <w:spacing w:line="240" w:lineRule="exact"/>
        <w:rPr>
          <w:lang w:val="en-US" w:eastAsia="en-US" w:bidi="ar-SA"/>
        </w:rPr>
      </w:pPr>
    </w:p>
    <w:p>
      <w:pPr>
        <w:spacing w:line="260" w:lineRule="atLeast"/>
        <w:jc w:val="both"/>
        <w:rPr>
          <w:lang w:val="en-US" w:eastAsia="en-US" w:bidi="ar-SA"/>
        </w:rPr>
      </w:pPr>
      <w:r>
        <w:rPr>
          <w:rFonts w:ascii="arial" w:eastAsia="arial" w:hAnsi="arial" w:cs="arial"/>
          <w:color w:val="000000"/>
          <w:sz w:val="20"/>
          <w:lang w:val="en-US" w:eastAsia="en-US" w:bidi="ar-SA"/>
        </w:rPr>
        <w:t>Counsel for the Plaintiffs: G.J. Tucker and P.A. Brackstone.</w:t>
      </w:r>
    </w:p>
    <w:p>
      <w:pPr>
        <w:spacing w:line="260" w:lineRule="atLeast"/>
        <w:jc w:val="both"/>
        <w:rPr>
          <w:lang w:val="en-US" w:eastAsia="en-US" w:bidi="ar-SA"/>
        </w:rPr>
      </w:pPr>
      <w:r>
        <w:rPr>
          <w:lang w:val="en-US" w:eastAsia="en-US" w:bidi="ar-SA"/>
        </w:rPr>
        <w:br/>
      </w:r>
      <w:r>
        <w:rPr>
          <w:rFonts w:ascii="arial" w:eastAsia="arial" w:hAnsi="arial" w:cs="arial"/>
          <w:color w:val="000000"/>
          <w:sz w:val="20"/>
          <w:lang w:val="en-US" w:eastAsia="en-US" w:bidi="ar-SA"/>
        </w:rPr>
        <w:t>Counsel for the Defendants: G.R. Switzer, A.K. Foord and S. McEachern.</w:t>
      </w:r>
      <w:r>
        <w:rPr>
          <w:lang w:val="en-US" w:eastAsia="en-US" w:bidi="ar-SA"/>
        </w:rPr>
        <w:cr/>
      </w:r>
    </w:p>
    <w:p>
      <w:pPr>
        <w:spacing w:after="240"/>
        <w:rPr>
          <w:lang w:val="en-US" w:eastAsia="en-US" w:bidi="ar-SA"/>
        </w:rPr>
      </w:pPr>
      <w:bookmarkStart w:id="57" w:name="Judgment_8"/>
      <w:bookmarkEnd w:id="57"/>
      <w:r>
        <w:pict>
          <v:line id="_x0000_s1071" style="position:absolute;z-index:251769856" from="0,12pt" to="512pt,12pt" strokecolor="#009ddb" strokeweight="1.5pt">
            <v:stroke linestyle="single"/>
          </v:line>
        </w:pict>
      </w:r>
    </w:p>
    <w:p>
      <w:pPr>
        <w:spacing w:before="120" w:line="260" w:lineRule="atLeast"/>
        <w:jc w:val="center"/>
        <w:rPr>
          <w:lang w:val="en-US" w:eastAsia="en-US" w:bidi="ar-SA"/>
        </w:rPr>
      </w:pPr>
      <w:r>
        <w:rPr>
          <w:rFonts w:ascii="arial" w:eastAsia="arial" w:hAnsi="arial" w:cs="arial"/>
          <w:b/>
          <w:color w:val="000000"/>
          <w:sz w:val="20"/>
          <w:lang w:val="en-US" w:eastAsia="en-US" w:bidi="ar-SA"/>
        </w:rPr>
        <w:t>Reasons for Judgment</w:t>
      </w:r>
      <w:r>
        <w:rPr>
          <w:lang w:val="en-US" w:eastAsia="en-US" w:bidi="ar-SA"/>
        </w:rPr>
        <w:cr/>
      </w:r>
    </w:p>
    <w:p>
      <w:pPr>
        <w:rPr>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2804"/>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lang w:val="en-US" w:eastAsia="en-US" w:bidi="ar-SA"/>
              </w:rPr>
            </w:pPr>
            <w:bookmarkStart w:id="58" w:name="R.B.T. GOEPEL J."/>
            <w:bookmarkEnd w:id="58"/>
            <w:r>
              <w:rPr>
                <w:rFonts w:ascii="arial" w:eastAsia="arial" w:hAnsi="arial" w:cs="arial"/>
                <w:b/>
                <w:color w:val="000000"/>
                <w:sz w:val="30"/>
                <w:lang w:val="en-US" w:eastAsia="en-US" w:bidi="ar-SA"/>
              </w:rPr>
              <w:t>R.B.T. GOEPEL J.</w:t>
            </w:r>
          </w:p>
        </w:tc>
      </w:tr>
    </w:tbl>
    <w:p>
      <w:pPr>
        <w:spacing w:line="260" w:lineRule="atLeast"/>
        <w:jc w:val="both"/>
        <w:rPr>
          <w:lang w:val="en-US" w:eastAsia="en-US" w:bidi="ar-SA"/>
        </w:rPr>
      </w:pPr>
      <w:r>
        <w:rPr>
          <w:lang w:val="en-US" w:eastAsia="en-US" w:bidi="ar-SA"/>
        </w:rPr>
        <w:br/>
      </w:r>
      <w:r>
        <w:rPr>
          <w:lang w:val="en-US" w:eastAsia="en-US" w:bidi="ar-SA"/>
        </w:rPr>
        <w:br/>
      </w:r>
      <w:r>
        <w:rPr>
          <w:rFonts w:ascii="arial" w:eastAsia="arial" w:hAnsi="arial" w:cs="arial"/>
          <w:b/>
          <w:color w:val="000000"/>
          <w:sz w:val="20"/>
          <w:u w:val="single"/>
          <w:lang w:val="en-US" w:eastAsia="en-US" w:bidi="ar-SA"/>
        </w:rPr>
        <w:t>INTRODUCTION</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xml:space="preserve">  The plaintiffs apply at a pre-trial conference to exclude the report of David L. Wood and the portions of the report of Jeya Padmanapan that deal with the statistical relationship between seatbelt use and injuries in motor vehicle accidents. The defendants oppose the applications. They submit that the applications should be deferred to trial and only determined after the witnesses have testified at trial on a </w:t>
      </w:r>
      <w:r>
        <w:rPr>
          <w:rFonts w:ascii="arial" w:eastAsia="arial" w:hAnsi="arial" w:cs="arial"/>
          <w:i/>
          <w:color w:val="000000"/>
          <w:sz w:val="20"/>
          <w:lang w:val="en-US" w:eastAsia="en-US" w:bidi="ar-SA"/>
        </w:rPr>
        <w:t>voir dire</w:t>
      </w:r>
      <w:r>
        <w:rPr>
          <w:rFonts w:ascii="arial" w:eastAsia="arial" w:hAnsi="arial" w:cs="arial"/>
          <w:color w:val="000000"/>
          <w:sz w:val="20"/>
          <w:lang w:val="en-US" w:eastAsia="en-US" w:bidi="ar-SA"/>
        </w:rPr>
        <w:t>. Alternatively, the defendants submit the reports are, in any event, admissible. The trial is scheduled to commence on April 19, 2010, for 60 days.</w:t>
      </w:r>
    </w:p>
    <w:p>
      <w:pPr>
        <w:spacing w:line="260" w:lineRule="atLeast"/>
        <w:jc w:val="both"/>
        <w:rPr>
          <w:lang w:val="en-US" w:eastAsia="en-US" w:bidi="ar-SA"/>
        </w:rPr>
      </w:pPr>
      <w:r>
        <w:rPr>
          <w:lang w:val="en-US" w:eastAsia="en-US" w:bidi="ar-SA"/>
        </w:rPr>
        <w:br/>
      </w:r>
      <w:r>
        <w:rPr>
          <w:rFonts w:ascii="arial" w:eastAsia="arial" w:hAnsi="arial" w:cs="arial"/>
          <w:b/>
          <w:color w:val="000000"/>
          <w:sz w:val="20"/>
          <w:u w:val="single"/>
          <w:lang w:val="en-US" w:eastAsia="en-US" w:bidi="ar-SA"/>
        </w:rPr>
        <w:t>BACKGROUND</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On August 23, 1994, a 1994 two-door 4x4 Geo Tracker (the "Tracker") owned by William and Laurel Beazley and driven by their son Jason was involved in a single car accident. The three passengers in the Tracker, including the plaintiff Natalia Spehar, suffered serious injuries and each commenced actions against the Beazleys.</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xml:space="preserve">  I detailed the resolution of those actions and the background of these proceedings in </w:t>
      </w:r>
      <w:r>
        <w:rPr>
          <w:rFonts w:ascii="arial" w:eastAsia="arial" w:hAnsi="arial" w:cs="arial"/>
          <w:i/>
          <w:color w:val="000000"/>
          <w:sz w:val="20"/>
          <w:lang w:val="en-US" w:eastAsia="en-US" w:bidi="ar-SA"/>
        </w:rPr>
        <w:t>Beazley v. Suzuki Motor Corporation, Spehar v. Suzuki Motor Corporation</w:t>
      </w:r>
      <w:r>
        <w:rPr>
          <w:rFonts w:ascii="arial" w:eastAsia="arial" w:hAnsi="arial" w:cs="arial"/>
          <w:color w:val="000000"/>
          <w:sz w:val="20"/>
          <w:lang w:val="en-US" w:eastAsia="en-US" w:bidi="ar-SA"/>
        </w:rPr>
        <w:t xml:space="preserve">, </w:t>
      </w:r>
      <w:hyperlink r:id="rId259" w:history="1">
        <w:r>
          <w:rPr>
            <w:rFonts w:ascii="arial" w:eastAsia="arial" w:hAnsi="arial" w:cs="arial"/>
            <w:i/>
            <w:color w:val="0077CC"/>
            <w:sz w:val="20"/>
            <w:u w:val="single"/>
            <w:shd w:val="clear" w:color="auto" w:fill="FFFFFF"/>
            <w:lang w:val="en-US" w:eastAsia="en-US" w:bidi="ar-SA"/>
          </w:rPr>
          <w:t>2008 BCSC 13</w:t>
        </w:r>
      </w:hyperlink>
      <w:r>
        <w:rPr>
          <w:rFonts w:ascii="arial" w:eastAsia="arial" w:hAnsi="arial" w:cs="arial"/>
          <w:color w:val="000000"/>
          <w:sz w:val="20"/>
          <w:lang w:val="en-US" w:eastAsia="en-US" w:bidi="ar-SA"/>
        </w:rPr>
        <w:t>. I need not repeat that history here.</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The focus of the present action is the design and safety of the Tracker. The plaintiffs allege that the Tracker was defective in design and manufacture and was unreasonably dangerous in numerous ways as particularized in the statement of claim. The plaintiffs submit that the design and manufacturing defects resulted in vehicle instability which in turn caused the accident.</w:t>
      </w:r>
    </w:p>
    <w:p>
      <w:pPr>
        <w:spacing w:line="260" w:lineRule="atLeast"/>
        <w:jc w:val="both"/>
        <w:rPr>
          <w:lang w:val="en-US" w:eastAsia="en-US" w:bidi="ar-SA"/>
        </w:rPr>
      </w:pPr>
      <w:r>
        <w:rPr>
          <w:lang w:val="en-US" w:eastAsia="en-US" w:bidi="ar-SA"/>
        </w:rPr>
        <w:br/>
      </w:r>
      <w:r>
        <w:rPr>
          <w:rFonts w:ascii="arial" w:eastAsia="arial" w:hAnsi="arial" w:cs="arial"/>
          <w:b/>
          <w:color w:val="000000"/>
          <w:sz w:val="20"/>
          <w:u w:val="single"/>
          <w:lang w:val="en-US" w:eastAsia="en-US" w:bidi="ar-SA"/>
        </w:rPr>
        <w:t>THE REPORTS</w:t>
      </w:r>
    </w:p>
    <w:p>
      <w:pPr>
        <w:spacing w:line="260" w:lineRule="atLeast"/>
        <w:jc w:val="both"/>
        <w:rPr>
          <w:lang w:val="en-US" w:eastAsia="en-US" w:bidi="ar-SA"/>
        </w:rPr>
      </w:pPr>
      <w:r>
        <w:rPr>
          <w:lang w:val="en-US" w:eastAsia="en-US" w:bidi="ar-SA"/>
        </w:rPr>
        <w:br/>
      </w:r>
      <w:r>
        <w:rPr>
          <w:rFonts w:ascii="arial" w:eastAsia="arial" w:hAnsi="arial" w:cs="arial"/>
          <w:b/>
          <w:color w:val="000000"/>
          <w:sz w:val="20"/>
          <w:u w:val="single"/>
          <w:lang w:val="en-US" w:eastAsia="en-US" w:bidi="ar-SA"/>
        </w:rPr>
        <w:t>A. Report of Mr. Wood</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Mr. Wood purports to give an opinion as to the quality and thoroughness of the process by which the Tracker was designed and evaluated by the defendants General Motors Corporation ("GM") and Suzuki Motor Corporation ("SMC"). Mr. Wood is a 32-year GM employee. His present employment includes providing evaluation of technical issues and discovery related matters in product liability litigation involving GM vehicles.</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Mr. Wood is a registered professional engineer. He has been employed in the automotive engineering field for over 39 years. His duties at GM have included testing, analysis, and component development in chassis engineering, specializing in tires, wheels and related components. At present his primary responsibility is evaluating field performance of current and past production vehicles, focussing on areas of steering, suspension, handling and stability, tires and wheels. His opinion states that he has knowledge and expertise relating to tire performance, suspension, steering and chassis systems, including handling and stability characteristics of vehicles such as the Tracker.</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In his report Mr. Wood provides opinions concerning how GM and SMC evaluated the handling, stability and rollover characteristics of the Tracker and whether the Tracker was defective or unreasonably dangerous due to instability characteristics, tire placard pressure or "aggressive cornering force" capability. Mr. Wood also opines as to the cause of the accident. The defendants acknowledge that Mr. Wood is not qualified to give that opinion and agree that portion of his opinion should be excised from the report.</w:t>
      </w:r>
    </w:p>
    <w:p>
      <w:pPr>
        <w:spacing w:line="260" w:lineRule="atLeast"/>
        <w:jc w:val="both"/>
        <w:rPr>
          <w:lang w:val="en-US" w:eastAsia="en-US" w:bidi="ar-SA"/>
        </w:rPr>
      </w:pPr>
      <w:r>
        <w:rPr>
          <w:lang w:val="en-US" w:eastAsia="en-US" w:bidi="ar-SA"/>
        </w:rPr>
        <w:br/>
      </w:r>
      <w:r>
        <w:rPr>
          <w:rFonts w:ascii="arial" w:eastAsia="arial" w:hAnsi="arial" w:cs="arial"/>
          <w:b/>
          <w:color w:val="000000"/>
          <w:sz w:val="20"/>
          <w:u w:val="single"/>
          <w:lang w:val="en-US" w:eastAsia="en-US" w:bidi="ar-SA"/>
        </w:rPr>
        <w:t>B. Report of Ms. Padmanapan</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Ms. Padmanapan is a statistician of more than 20 years experience in the areas of automotive safety research. She has a Bachelor's degree in mathematics and a Master of Science degree in operations, research and statistics. She has worked as a statistician reviewing accident injury data collected by local and federal agencies for the past 20 years. She has authored several papers that examine field data, analyzing risk of injury in automobile accidents, including the factors associated with different types of automobile accidents.</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xml:space="preserve">  At trial the defendants will argue that the injuries suffered by Ms. Spehar were caused solely or partially by her own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for failing to fasten and properly adjust her seatbelt. One of the issues upon which Ms. Padmanapan opined is the statistical link between seatbelt use and injuries in motor vehicle accidents, including rollover accidents. In the report she reviews certain statistical data to determine the injury risk to belted and unbelted occupants in rollover accidents. She concludes that an unbelted occupant in a light truck rollover crash is about six times more likely to be seriously injured than a belted occupant. Similarly, an unbelted occupant is about eight times more likely to sustain serious head/face/neck injuries than a belted occupant. Her statistical data suggest that seatbelts are highly effective in reducing complete ejection in vehicle rollover accidents.</w:t>
      </w:r>
    </w:p>
    <w:p>
      <w:pPr>
        <w:spacing w:line="260" w:lineRule="atLeast"/>
        <w:jc w:val="both"/>
        <w:rPr>
          <w:lang w:val="en-US" w:eastAsia="en-US" w:bidi="ar-SA"/>
        </w:rPr>
      </w:pPr>
      <w:r>
        <w:rPr>
          <w:lang w:val="en-US" w:eastAsia="en-US" w:bidi="ar-SA"/>
        </w:rPr>
        <w:br/>
      </w:r>
      <w:r>
        <w:rPr>
          <w:rFonts w:ascii="arial" w:eastAsia="arial" w:hAnsi="arial" w:cs="arial"/>
          <w:b/>
          <w:color w:val="000000"/>
          <w:sz w:val="20"/>
          <w:u w:val="single"/>
          <w:lang w:val="en-US" w:eastAsia="en-US" w:bidi="ar-SA"/>
        </w:rPr>
        <w:t>POSITION OF THE PARTIES</w:t>
      </w:r>
    </w:p>
    <w:p>
      <w:pPr>
        <w:spacing w:line="260" w:lineRule="atLeast"/>
        <w:jc w:val="both"/>
        <w:rPr>
          <w:lang w:val="en-US" w:eastAsia="en-US" w:bidi="ar-SA"/>
        </w:rPr>
      </w:pPr>
      <w:r>
        <w:rPr>
          <w:lang w:val="en-US" w:eastAsia="en-US" w:bidi="ar-SA"/>
        </w:rPr>
        <w:br/>
      </w:r>
      <w:r>
        <w:rPr>
          <w:rFonts w:ascii="arial" w:eastAsia="arial" w:hAnsi="arial" w:cs="arial"/>
          <w:b/>
          <w:color w:val="000000"/>
          <w:sz w:val="20"/>
          <w:u w:val="single"/>
          <w:lang w:val="en-US" w:eastAsia="en-US" w:bidi="ar-SA"/>
        </w:rPr>
        <w:t>A. Position of the Plaintiffs</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The plaintiffs concede that the admissibility of expert evidence in most cases should be determined only after hearing from the expert at trial. In this case, however, they submit that given Mr. Wood's work history and his present employment with GM there is, at a minimum, a reasonable apprehension of bias that disqualifies him from acting as an expert. They submit that where it is demonstrated that there exists a relationship between the proposed expert and the party calling him which a reasonable observer might think was capable of affecting the views of the expert so as to make them unduly favourable to that party, the evidence should not be admitted. They submit that given Mr. Wood's employment history, he cannot possibly satisfy the requirement of independence. They submit that when the issue is the appropriateness of GM's own work, it is patent that a GM employee, trained by GM and familiar only with GM's own process, is not an independent expert. Such an expert cannot possibly meet the test of no appearance of bias.</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xml:space="preserve">  The plaintiffs further submit that in any event Mr. Wood's general involvement in GM's test procedures as a GM employee is insufficient to meet the qualification requirement for the admissibility of expert evidence. Experts must limit their opinion to their area of expertise. They submit that Mr. Wood is not qualified to give expert opinion evidence on whether design goals were appropriate or whether the Tracker was defective or unreasonably dangerous. Mr. Wood's </w:t>
      </w:r>
      <w:r>
        <w:rPr>
          <w:rFonts w:ascii="arial" w:eastAsia="arial" w:hAnsi="arial" w:cs="arial"/>
          <w:i/>
          <w:color w:val="000000"/>
          <w:sz w:val="20"/>
          <w:lang w:val="en-US" w:eastAsia="en-US" w:bidi="ar-SA"/>
        </w:rPr>
        <w:t>curriculum vitae</w:t>
      </w:r>
      <w:r>
        <w:rPr>
          <w:rFonts w:ascii="arial" w:eastAsia="arial" w:hAnsi="arial" w:cs="arial"/>
          <w:color w:val="000000"/>
          <w:sz w:val="20"/>
          <w:lang w:val="en-US" w:eastAsia="en-US" w:bidi="ar-SA"/>
        </w:rPr>
        <w:t xml:space="preserve"> discloses no specific expertise in these areas.</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The plaintiffs further submit that Mr. Wood's report does not comply with Rule 40A because the facts and assumptions on which Mr. Wood's opinion is based are not clearly set out. The plaintiffs submit that the report is inadmissible for that reason alone.</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In regard to Ms. Padmanapan's report, the plaintiffs submit that the only purpose of her opinion is to support the defendants' argument that Ms. Spehar's injuries would have been less severe had she been wearing a seatbelt. The plaintiffs submit that general statistical evidence concerning rates of injuries for belted and unbelted vehicle occupants will not be of assistance to the court, and evidence which is not helpful does not meet the test for admissibility.</w:t>
      </w:r>
    </w:p>
    <w:p>
      <w:pPr>
        <w:spacing w:line="260" w:lineRule="atLeast"/>
        <w:jc w:val="both"/>
        <w:rPr>
          <w:lang w:val="en-US" w:eastAsia="en-US" w:bidi="ar-SA"/>
        </w:rPr>
      </w:pPr>
      <w:r>
        <w:rPr>
          <w:lang w:val="en-US" w:eastAsia="en-US" w:bidi="ar-SA"/>
        </w:rPr>
        <w:br/>
      </w:r>
      <w:r>
        <w:rPr>
          <w:rFonts w:ascii="arial" w:eastAsia="arial" w:hAnsi="arial" w:cs="arial"/>
          <w:b/>
          <w:color w:val="000000"/>
          <w:sz w:val="20"/>
          <w:u w:val="single"/>
          <w:lang w:val="en-US" w:eastAsia="en-US" w:bidi="ar-SA"/>
        </w:rPr>
        <w:t>B. Position of the Defendant</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The defendants submit that Mr. Wood is qualified to give opinions concerning how GM and SMC evaluated the handling, stability and rollover characteristics of the Tracker and whether the Tracker was defective or unreasonably dangerous. They submit the body of Mr. Wood's report makes clear the facts and assumptions upon which he relies to form his opinions. They note that all the tests and evaluations that were carried out on the Tracker are well known to the plaintiffs.</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15</w:t>
      </w:r>
      <w:r>
        <w:rPr>
          <w:rFonts w:ascii="arial" w:eastAsia="arial" w:hAnsi="arial" w:cs="arial"/>
          <w:color w:val="000000"/>
          <w:sz w:val="20"/>
          <w:lang w:val="en-US" w:eastAsia="en-US" w:bidi="ar-SA"/>
        </w:rPr>
        <w:t xml:space="preserve">  The defendants submit that the plaintiffs' application is premature and that questions concerning Mr. Wood's expertise and perceived bias can only be answered in the context of a </w:t>
      </w:r>
      <w:r>
        <w:rPr>
          <w:rFonts w:ascii="arial" w:eastAsia="arial" w:hAnsi="arial" w:cs="arial"/>
          <w:i/>
          <w:color w:val="000000"/>
          <w:sz w:val="20"/>
          <w:lang w:val="en-US" w:eastAsia="en-US" w:bidi="ar-SA"/>
        </w:rPr>
        <w:t>voir dire</w:t>
      </w:r>
      <w:r>
        <w:rPr>
          <w:rFonts w:ascii="arial" w:eastAsia="arial" w:hAnsi="arial" w:cs="arial"/>
          <w:color w:val="000000"/>
          <w:sz w:val="20"/>
          <w:lang w:val="en-US" w:eastAsia="en-US" w:bidi="ar-SA"/>
        </w:rPr>
        <w:t xml:space="preserve"> in which his qualifications and background will be explored in depth. They submit that his report should not be excluded summarily and the decision as to its admissibility should be deferred until trial. They further submit that his employment history is not in itself a basis for disqualification but is simply a matter that goes to the weight to be given to his evidence.</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16</w:t>
      </w:r>
      <w:r>
        <w:rPr>
          <w:rFonts w:ascii="arial" w:eastAsia="arial" w:hAnsi="arial" w:cs="arial"/>
          <w:color w:val="000000"/>
          <w:sz w:val="20"/>
          <w:lang w:val="en-US" w:eastAsia="en-US" w:bidi="ar-SA"/>
        </w:rPr>
        <w:t>  The defendants submit that Ms. Padmanapan's evidence will be of assistance in determining whether Ms. Spehar was negligent with respect to her own safety by failing to wear a seatbelt. The defendants submit that Ms. Padmanapan's opinion is necessary and directly relevant as to whether there is a causal connection between the failure to wear a seatbelt in the course of a rollover accident and increased injury. The defendants concede that whether Ms. Spehar actually suffered increased injuries as a result of failing to wear her seatbelt will be addressed by other witnesses.</w:t>
      </w:r>
    </w:p>
    <w:p>
      <w:pPr>
        <w:spacing w:line="260" w:lineRule="atLeast"/>
        <w:jc w:val="both"/>
        <w:rPr>
          <w:lang w:val="en-US" w:eastAsia="en-US" w:bidi="ar-SA"/>
        </w:rPr>
      </w:pPr>
      <w:r>
        <w:rPr>
          <w:lang w:val="en-US" w:eastAsia="en-US" w:bidi="ar-SA"/>
        </w:rPr>
        <w:br/>
      </w:r>
      <w:r>
        <w:rPr>
          <w:rFonts w:ascii="arial" w:eastAsia="arial" w:hAnsi="arial" w:cs="arial"/>
          <w:b/>
          <w:color w:val="000000"/>
          <w:sz w:val="20"/>
          <w:u w:val="single"/>
          <w:lang w:val="en-US" w:eastAsia="en-US" w:bidi="ar-SA"/>
        </w:rPr>
        <w:t>DISCUSSION</w:t>
      </w:r>
    </w:p>
    <w:p>
      <w:pPr>
        <w:spacing w:line="260" w:lineRule="atLeast"/>
        <w:jc w:val="both"/>
        <w:rPr>
          <w:lang w:val="en-US" w:eastAsia="en-US" w:bidi="ar-SA"/>
        </w:rPr>
      </w:pPr>
      <w:r>
        <w:rPr>
          <w:lang w:val="en-US" w:eastAsia="en-US" w:bidi="ar-SA"/>
        </w:rPr>
        <w:br/>
      </w:r>
      <w:r>
        <w:rPr>
          <w:rFonts w:ascii="arial" w:eastAsia="arial" w:hAnsi="arial" w:cs="arial"/>
          <w:b/>
          <w:color w:val="000000"/>
          <w:sz w:val="20"/>
          <w:u w:val="single"/>
          <w:lang w:val="en-US" w:eastAsia="en-US" w:bidi="ar-SA"/>
        </w:rPr>
        <w:t>A. Overview</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17</w:t>
      </w:r>
      <w:r>
        <w:rPr>
          <w:rFonts w:ascii="arial" w:eastAsia="arial" w:hAnsi="arial" w:cs="arial"/>
          <w:color w:val="000000"/>
          <w:sz w:val="20"/>
          <w:lang w:val="en-US" w:eastAsia="en-US" w:bidi="ar-SA"/>
        </w:rPr>
        <w:t xml:space="preserve">  The admission of expert evidence depends on the application of the criteria of (a) relevance; (b) necessity in assisting the trier of fact; (c) the absence of any exclusionary rule; and (d) a properly qualified expert: </w:t>
      </w:r>
      <w:r>
        <w:rPr>
          <w:rFonts w:ascii="arial" w:eastAsia="arial" w:hAnsi="arial" w:cs="arial"/>
          <w:i/>
          <w:color w:val="000000"/>
          <w:sz w:val="20"/>
          <w:lang w:val="en-US" w:eastAsia="en-US" w:bidi="ar-SA"/>
        </w:rPr>
        <w:t>R. v. Mohan,</w:t>
      </w:r>
      <w:r>
        <w:rPr>
          <w:rFonts w:ascii="arial" w:eastAsia="arial" w:hAnsi="arial" w:cs="arial"/>
          <w:color w:val="000000"/>
          <w:sz w:val="20"/>
          <w:lang w:val="en-US" w:eastAsia="en-US" w:bidi="ar-SA"/>
        </w:rPr>
        <w:t xml:space="preserve"> </w:t>
      </w:r>
      <w:hyperlink r:id="rId260" w:history="1">
        <w:r>
          <w:rPr>
            <w:rFonts w:ascii="arial" w:eastAsia="arial" w:hAnsi="arial" w:cs="arial"/>
            <w:i/>
            <w:color w:val="0077CC"/>
            <w:sz w:val="20"/>
            <w:u w:val="single"/>
            <w:shd w:val="clear" w:color="auto" w:fill="FFFFFF"/>
            <w:lang w:val="en-US" w:eastAsia="en-US" w:bidi="ar-SA"/>
          </w:rPr>
          <w:t>[1994] 2 S.C.R. 9</w:t>
        </w:r>
      </w:hyperlink>
      <w:r>
        <w:rPr>
          <w:rFonts w:ascii="arial" w:eastAsia="arial" w:hAnsi="arial" w:cs="arial"/>
          <w:color w:val="000000"/>
          <w:sz w:val="20"/>
          <w:lang w:val="en-US" w:eastAsia="en-US" w:bidi="ar-SA"/>
        </w:rPr>
        <w:t xml:space="preserve"> at 20.</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18</w:t>
      </w:r>
      <w:r>
        <w:rPr>
          <w:rFonts w:ascii="arial" w:eastAsia="arial" w:hAnsi="arial" w:cs="arial"/>
          <w:color w:val="000000"/>
          <w:sz w:val="20"/>
          <w:lang w:val="en-US" w:eastAsia="en-US" w:bidi="ar-SA"/>
        </w:rPr>
        <w:t xml:space="preserve">  In determining the admissibility of expert evidence the trial judge acts as the "gatekeeper". That role is described in </w:t>
      </w:r>
      <w:r>
        <w:rPr>
          <w:rFonts w:ascii="arial" w:eastAsia="arial" w:hAnsi="arial" w:cs="arial"/>
          <w:i/>
          <w:color w:val="000000"/>
          <w:sz w:val="20"/>
          <w:lang w:val="en-US" w:eastAsia="en-US" w:bidi="ar-SA"/>
        </w:rPr>
        <w:t>R. v. J.-L.J.</w:t>
      </w:r>
      <w:r>
        <w:rPr>
          <w:rFonts w:ascii="arial" w:eastAsia="arial" w:hAnsi="arial" w:cs="arial"/>
          <w:color w:val="000000"/>
          <w:sz w:val="20"/>
          <w:lang w:val="en-US" w:eastAsia="en-US" w:bidi="ar-SA"/>
        </w:rPr>
        <w:t xml:space="preserve">, </w:t>
      </w:r>
      <w:hyperlink r:id="rId261" w:history="1">
        <w:r>
          <w:rPr>
            <w:rFonts w:ascii="arial" w:eastAsia="arial" w:hAnsi="arial" w:cs="arial"/>
            <w:i/>
            <w:color w:val="0077CC"/>
            <w:sz w:val="20"/>
            <w:u w:val="single"/>
            <w:shd w:val="clear" w:color="auto" w:fill="FFFFFF"/>
            <w:lang w:val="en-US" w:eastAsia="en-US" w:bidi="ar-SA"/>
          </w:rPr>
          <w:t>2000 SCC 51</w:t>
        </w:r>
      </w:hyperlink>
      <w:r>
        <w:rPr>
          <w:rFonts w:ascii="arial" w:eastAsia="arial" w:hAnsi="arial" w:cs="arial"/>
          <w:color w:val="000000"/>
          <w:sz w:val="20"/>
          <w:lang w:val="en-US" w:eastAsia="en-US" w:bidi="ar-SA"/>
        </w:rPr>
        <w:t xml:space="preserve">, </w:t>
      </w:r>
      <w:hyperlink r:id="rId261" w:history="1">
        <w:r>
          <w:rPr>
            <w:rFonts w:ascii="arial" w:eastAsia="arial" w:hAnsi="arial" w:cs="arial"/>
            <w:i/>
            <w:color w:val="0077CC"/>
            <w:sz w:val="20"/>
            <w:u w:val="single"/>
            <w:shd w:val="clear" w:color="auto" w:fill="FFFFFF"/>
            <w:lang w:val="en-US" w:eastAsia="en-US" w:bidi="ar-SA"/>
          </w:rPr>
          <w:t>[2000] 2 S.C.R. 600</w:t>
        </w:r>
      </w:hyperlink>
      <w:r>
        <w:rPr>
          <w:rFonts w:ascii="arial" w:eastAsia="arial" w:hAnsi="arial" w:cs="arial"/>
          <w:color w:val="000000"/>
          <w:sz w:val="20"/>
          <w:lang w:val="en-US" w:eastAsia="en-US" w:bidi="ar-SA"/>
        </w:rPr>
        <w:t xml:space="preserve"> at para. 28:</w:t>
      </w:r>
      <w:r>
        <w:rPr>
          <w:lang w:val="en-US" w:eastAsia="en-US" w:bidi="ar-SA"/>
        </w:rPr>
        <w:cr/>
      </w:r>
    </w:p>
    <w:p>
      <w:pPr>
        <w:spacing w:line="260" w:lineRule="atLeast"/>
        <w:ind w:left="720"/>
        <w:rPr>
          <w:lang w:val="en-US" w:eastAsia="en-US" w:bidi="ar-SA"/>
        </w:rPr>
      </w:pPr>
      <w:r>
        <w:rPr>
          <w:rFonts w:ascii="arial" w:eastAsia="arial" w:hAnsi="arial" w:cs="arial"/>
          <w:color w:val="000000"/>
          <w:sz w:val="20"/>
          <w:lang w:val="en-US" w:eastAsia="en-US" w:bidi="ar-SA"/>
        </w:rPr>
        <w:t xml:space="preserve">In the course of </w:t>
      </w:r>
      <w:r>
        <w:rPr>
          <w:rFonts w:ascii="arial" w:eastAsia="arial" w:hAnsi="arial" w:cs="arial"/>
          <w:i/>
          <w:color w:val="000000"/>
          <w:sz w:val="20"/>
          <w:lang w:val="en-US" w:eastAsia="en-US" w:bidi="ar-SA"/>
        </w:rPr>
        <w:t>Mohan</w:t>
      </w:r>
      <w:r>
        <w:rPr>
          <w:rFonts w:ascii="arial" w:eastAsia="arial" w:hAnsi="arial" w:cs="arial"/>
          <w:color w:val="000000"/>
          <w:sz w:val="20"/>
          <w:lang w:val="en-US" w:eastAsia="en-US" w:bidi="ar-SA"/>
        </w:rPr>
        <w:t xml:space="preserve"> and other judgments, the Court has emphasized that the trial judge should take seriously the role of "gatekeeper". The admissibility of the expert evidence should be scrutinized at the time it is proffered, and not allowed too easy an entry on the basis that all of the frailties could go at the end of the day to weight rather than admissibility.</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19</w:t>
      </w:r>
      <w:r>
        <w:rPr>
          <w:rFonts w:ascii="arial" w:eastAsia="arial" w:hAnsi="arial" w:cs="arial"/>
          <w:color w:val="000000"/>
          <w:sz w:val="20"/>
          <w:lang w:val="en-US" w:eastAsia="en-US" w:bidi="ar-SA"/>
        </w:rPr>
        <w:t>  In this case the proffered evidence is clearly relevant. The major issue in regard to the Wood report is whether he is a properly qualified expert. In regard to the Padmanapan report the issue is whether the evidence is necessary.</w:t>
      </w:r>
    </w:p>
    <w:p>
      <w:pPr>
        <w:spacing w:line="260" w:lineRule="atLeast"/>
        <w:jc w:val="both"/>
        <w:rPr>
          <w:lang w:val="en-US" w:eastAsia="en-US" w:bidi="ar-SA"/>
        </w:rPr>
      </w:pPr>
      <w:r>
        <w:rPr>
          <w:lang w:val="en-US" w:eastAsia="en-US" w:bidi="ar-SA"/>
        </w:rPr>
        <w:br/>
      </w:r>
      <w:r>
        <w:rPr>
          <w:rFonts w:ascii="arial" w:eastAsia="arial" w:hAnsi="arial" w:cs="arial"/>
          <w:b/>
          <w:color w:val="000000"/>
          <w:sz w:val="20"/>
          <w:u w:val="single"/>
          <w:lang w:val="en-US" w:eastAsia="en-US" w:bidi="ar-SA"/>
        </w:rPr>
        <w:t>B. The Wood Report</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20</w:t>
      </w:r>
      <w:r>
        <w:rPr>
          <w:rFonts w:ascii="arial" w:eastAsia="arial" w:hAnsi="arial" w:cs="arial"/>
          <w:color w:val="000000"/>
          <w:sz w:val="20"/>
          <w:lang w:val="en-US" w:eastAsia="en-US" w:bidi="ar-SA"/>
        </w:rPr>
        <w:t xml:space="preserve">  Canadian courts appear to have taken different positions on the issue of whether an expert witness' bias or perceived bias will disqualify him or her from giving evidence at trial. Some courts have held that for expert evidence to be admissible, the expert must be seen to be absolutely neutral and objective. Other courts have concluded that a lack of objectivity, neutrality and independence are matters that only impact the weight to be afforded that expert. Romilly J. in </w:t>
      </w:r>
      <w:r>
        <w:rPr>
          <w:rFonts w:ascii="arial" w:eastAsia="arial" w:hAnsi="arial" w:cs="arial"/>
          <w:i/>
          <w:color w:val="000000"/>
          <w:sz w:val="20"/>
          <w:lang w:val="en-US" w:eastAsia="en-US" w:bidi="ar-SA"/>
        </w:rPr>
        <w:t>United City Properties Ltd. v. Tong</w:t>
      </w:r>
      <w:r>
        <w:rPr>
          <w:rFonts w:ascii="arial" w:eastAsia="arial" w:hAnsi="arial" w:cs="arial"/>
          <w:color w:val="000000"/>
          <w:sz w:val="20"/>
          <w:lang w:val="en-US" w:eastAsia="en-US" w:bidi="ar-SA"/>
        </w:rPr>
        <w:t xml:space="preserve">, </w:t>
      </w:r>
      <w:hyperlink r:id="rId262" w:history="1">
        <w:r>
          <w:rPr>
            <w:rFonts w:ascii="arial" w:eastAsia="arial" w:hAnsi="arial" w:cs="arial"/>
            <w:i/>
            <w:color w:val="0077CC"/>
            <w:sz w:val="20"/>
            <w:u w:val="single"/>
            <w:shd w:val="clear" w:color="auto" w:fill="FFFFFF"/>
            <w:lang w:val="en-US" w:eastAsia="en-US" w:bidi="ar-SA"/>
          </w:rPr>
          <w:t>2010 BCSC 111</w:t>
        </w:r>
      </w:hyperlink>
      <w:r>
        <w:rPr>
          <w:rFonts w:ascii="arial" w:eastAsia="arial" w:hAnsi="arial" w:cs="arial"/>
          <w:color w:val="000000"/>
          <w:sz w:val="20"/>
          <w:lang w:val="en-US" w:eastAsia="en-US" w:bidi="ar-SA"/>
        </w:rPr>
        <w:t xml:space="preserve"> at paras. 35-68, has exhaustively reviewed the jurisprudence.</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21</w:t>
      </w:r>
      <w:r>
        <w:rPr>
          <w:rFonts w:ascii="arial" w:eastAsia="arial" w:hAnsi="arial" w:cs="arial"/>
          <w:color w:val="000000"/>
          <w:sz w:val="20"/>
          <w:lang w:val="en-US" w:eastAsia="en-US" w:bidi="ar-SA"/>
        </w:rPr>
        <w:t xml:space="preserve">  The cases are not easily reconciled. Where there is a personal relationship between the proposed expert and the party, where the expert has been personally involved in the subject matter of the litigation or where the expert has a personal interest in the outcome, the expert has not been allowed to testify. Examples of such cases are </w:t>
      </w:r>
      <w:r>
        <w:rPr>
          <w:rFonts w:ascii="arial" w:eastAsia="arial" w:hAnsi="arial" w:cs="arial"/>
          <w:i/>
          <w:color w:val="000000"/>
          <w:sz w:val="20"/>
          <w:lang w:val="en-US" w:eastAsia="en-US" w:bidi="ar-SA"/>
        </w:rPr>
        <w:t>Fellowes, McNeil v. Kansa General International Insurance Co.</w:t>
      </w:r>
      <w:r>
        <w:rPr>
          <w:rFonts w:ascii="arial" w:eastAsia="arial" w:hAnsi="arial" w:cs="arial"/>
          <w:color w:val="000000"/>
          <w:sz w:val="20"/>
          <w:lang w:val="en-US" w:eastAsia="en-US" w:bidi="ar-SA"/>
        </w:rPr>
        <w:t xml:space="preserve"> </w:t>
      </w:r>
      <w:hyperlink r:id="rId263" w:history="1">
        <w:r>
          <w:rPr>
            <w:rFonts w:ascii="arial" w:eastAsia="arial" w:hAnsi="arial" w:cs="arial"/>
            <w:i/>
            <w:color w:val="0077CC"/>
            <w:sz w:val="20"/>
            <w:u w:val="single"/>
            <w:shd w:val="clear" w:color="auto" w:fill="FFFFFF"/>
            <w:lang w:val="en-US" w:eastAsia="en-US" w:bidi="ar-SA"/>
          </w:rPr>
          <w:t>(1998), 40 O.R. (3d) 456</w:t>
        </w:r>
      </w:hyperlink>
      <w:r>
        <w:rPr>
          <w:rFonts w:ascii="arial" w:eastAsia="arial" w:hAnsi="arial" w:cs="arial"/>
          <w:color w:val="000000"/>
          <w:sz w:val="20"/>
          <w:lang w:val="en-US" w:eastAsia="en-US" w:bidi="ar-SA"/>
        </w:rPr>
        <w:t xml:space="preserve"> (Gen. Div.); </w:t>
      </w:r>
      <w:r>
        <w:rPr>
          <w:rFonts w:ascii="arial" w:eastAsia="arial" w:hAnsi="arial" w:cs="arial"/>
          <w:i/>
          <w:color w:val="000000"/>
          <w:sz w:val="20"/>
          <w:lang w:val="en-US" w:eastAsia="en-US" w:bidi="ar-SA"/>
        </w:rPr>
        <w:t>Royal Trust Corporation of Canada v. Fisherman</w:t>
      </w:r>
      <w:r>
        <w:rPr>
          <w:rFonts w:ascii="arial" w:eastAsia="arial" w:hAnsi="arial" w:cs="arial"/>
          <w:color w:val="000000"/>
          <w:sz w:val="20"/>
          <w:lang w:val="en-US" w:eastAsia="en-US" w:bidi="ar-SA"/>
        </w:rPr>
        <w:t xml:space="preserve"> </w:t>
      </w:r>
      <w:hyperlink r:id="rId264" w:history="1">
        <w:r>
          <w:rPr>
            <w:rFonts w:ascii="arial" w:eastAsia="arial" w:hAnsi="arial" w:cs="arial"/>
            <w:i/>
            <w:color w:val="0077CC"/>
            <w:sz w:val="20"/>
            <w:u w:val="single"/>
            <w:shd w:val="clear" w:color="auto" w:fill="FFFFFF"/>
            <w:lang w:val="en-US" w:eastAsia="en-US" w:bidi="ar-SA"/>
          </w:rPr>
          <w:t>(2000), 49 O.R. (3d) 187</w:t>
        </w:r>
      </w:hyperlink>
      <w:r>
        <w:rPr>
          <w:rFonts w:ascii="arial" w:eastAsia="arial" w:hAnsi="arial" w:cs="arial"/>
          <w:color w:val="000000"/>
          <w:sz w:val="20"/>
          <w:lang w:val="en-US" w:eastAsia="en-US" w:bidi="ar-SA"/>
        </w:rPr>
        <w:t xml:space="preserve"> (Sup. Ct. J.); </w:t>
      </w:r>
      <w:r>
        <w:rPr>
          <w:rFonts w:ascii="arial" w:eastAsia="arial" w:hAnsi="arial" w:cs="arial"/>
          <w:i/>
          <w:color w:val="000000"/>
          <w:sz w:val="20"/>
          <w:lang w:val="en-US" w:eastAsia="en-US" w:bidi="ar-SA"/>
        </w:rPr>
        <w:t>Bank of Montreal v. Citak</w:t>
      </w:r>
      <w:r>
        <w:rPr>
          <w:rFonts w:ascii="arial" w:eastAsia="arial" w:hAnsi="arial" w:cs="arial"/>
          <w:color w:val="000000"/>
          <w:sz w:val="20"/>
          <w:lang w:val="en-US" w:eastAsia="en-US" w:bidi="ar-SA"/>
        </w:rPr>
        <w:t xml:space="preserve">, </w:t>
      </w:r>
      <w:hyperlink r:id="rId265" w:history="1">
        <w:r>
          <w:rPr>
            <w:rFonts w:ascii="arial" w:eastAsia="arial" w:hAnsi="arial" w:cs="arial"/>
            <w:i/>
            <w:color w:val="0077CC"/>
            <w:sz w:val="20"/>
            <w:u w:val="single"/>
            <w:shd w:val="clear" w:color="auto" w:fill="FFFFFF"/>
            <w:lang w:val="en-US" w:eastAsia="en-US" w:bidi="ar-SA"/>
          </w:rPr>
          <w:t>[2001] O.J. No. 1096</w:t>
        </w:r>
      </w:hyperlink>
      <w:r>
        <w:rPr>
          <w:rFonts w:ascii="arial" w:eastAsia="arial" w:hAnsi="arial" w:cs="arial"/>
          <w:color w:val="000000"/>
          <w:sz w:val="20"/>
          <w:lang w:val="en-US" w:eastAsia="en-US" w:bidi="ar-SA"/>
        </w:rPr>
        <w:t xml:space="preserve"> (Sup. Ct. J.); and </w:t>
      </w:r>
      <w:r>
        <w:rPr>
          <w:rFonts w:ascii="arial" w:eastAsia="arial" w:hAnsi="arial" w:cs="arial"/>
          <w:i/>
          <w:color w:val="000000"/>
          <w:sz w:val="20"/>
          <w:lang w:val="en-US" w:eastAsia="en-US" w:bidi="ar-SA"/>
        </w:rPr>
        <w:t>Kirby Lowbed Services Ltd. v. Bank of Nova Scotia</w:t>
      </w:r>
      <w:r>
        <w:rPr>
          <w:rFonts w:ascii="arial" w:eastAsia="arial" w:hAnsi="arial" w:cs="arial"/>
          <w:color w:val="000000"/>
          <w:sz w:val="20"/>
          <w:lang w:val="en-US" w:eastAsia="en-US" w:bidi="ar-SA"/>
        </w:rPr>
        <w:t xml:space="preserve">, </w:t>
      </w:r>
      <w:hyperlink r:id="rId266" w:history="1">
        <w:r>
          <w:rPr>
            <w:rFonts w:ascii="arial" w:eastAsia="arial" w:hAnsi="arial" w:cs="arial"/>
            <w:i/>
            <w:color w:val="0077CC"/>
            <w:sz w:val="20"/>
            <w:u w:val="single"/>
            <w:shd w:val="clear" w:color="auto" w:fill="FFFFFF"/>
            <w:lang w:val="en-US" w:eastAsia="en-US" w:bidi="ar-SA"/>
          </w:rPr>
          <w:t>2003 BCSC 617</w:t>
        </w:r>
      </w:hyperlink>
      <w:r>
        <w:rPr>
          <w:rFonts w:ascii="arial" w:eastAsia="arial" w:hAnsi="arial" w:cs="arial"/>
          <w:color w:val="000000"/>
          <w:sz w:val="20"/>
          <w:lang w:val="en-US" w:eastAsia="en-US" w:bidi="ar-SA"/>
        </w:rPr>
        <w:t xml:space="preserve">. In cases where the relationship between the expert and the party is more institutional in nature, the evidence has been admitted subject to weight. Examples of such cases are </w:t>
      </w:r>
      <w:r>
        <w:rPr>
          <w:rFonts w:ascii="arial" w:eastAsia="arial" w:hAnsi="arial" w:cs="arial"/>
          <w:i/>
          <w:color w:val="000000"/>
          <w:sz w:val="20"/>
          <w:lang w:val="en-US" w:eastAsia="en-US" w:bidi="ar-SA"/>
        </w:rPr>
        <w:t>R. v. Klassen</w:t>
      </w:r>
      <w:r>
        <w:rPr>
          <w:rFonts w:ascii="arial" w:eastAsia="arial" w:hAnsi="arial" w:cs="arial"/>
          <w:color w:val="000000"/>
          <w:sz w:val="20"/>
          <w:lang w:val="en-US" w:eastAsia="en-US" w:bidi="ar-SA"/>
        </w:rPr>
        <w:t xml:space="preserve">, </w:t>
      </w:r>
      <w:hyperlink r:id="rId267" w:history="1">
        <w:r>
          <w:rPr>
            <w:rFonts w:ascii="arial" w:eastAsia="arial" w:hAnsi="arial" w:cs="arial"/>
            <w:i/>
            <w:color w:val="0077CC"/>
            <w:sz w:val="20"/>
            <w:u w:val="single"/>
            <w:shd w:val="clear" w:color="auto" w:fill="FFFFFF"/>
            <w:lang w:val="en-US" w:eastAsia="en-US" w:bidi="ar-SA"/>
          </w:rPr>
          <w:t>2003 MBQB 253</w:t>
        </w:r>
      </w:hyperlink>
      <w:r>
        <w:rPr>
          <w:rFonts w:ascii="arial" w:eastAsia="arial" w:hAnsi="arial" w:cs="arial"/>
          <w:color w:val="000000"/>
          <w:sz w:val="20"/>
          <w:lang w:val="en-US" w:eastAsia="en-US" w:bidi="ar-SA"/>
        </w:rPr>
        <w:t xml:space="preserve"> and </w:t>
      </w:r>
      <w:r>
        <w:rPr>
          <w:rFonts w:ascii="arial" w:eastAsia="arial" w:hAnsi="arial" w:cs="arial"/>
          <w:i/>
          <w:color w:val="000000"/>
          <w:sz w:val="20"/>
          <w:lang w:val="en-US" w:eastAsia="en-US" w:bidi="ar-SA"/>
        </w:rPr>
        <w:t>R. v. Inco Ltd.</w:t>
      </w:r>
      <w:r>
        <w:rPr>
          <w:rFonts w:ascii="arial" w:eastAsia="arial" w:hAnsi="arial" w:cs="arial"/>
          <w:color w:val="000000"/>
          <w:sz w:val="20"/>
          <w:lang w:val="en-US" w:eastAsia="en-US" w:bidi="ar-SA"/>
        </w:rPr>
        <w:t xml:space="preserve"> </w:t>
      </w:r>
      <w:hyperlink r:id="rId268" w:history="1">
        <w:r>
          <w:rPr>
            <w:rFonts w:ascii="arial" w:eastAsia="arial" w:hAnsi="arial" w:cs="arial"/>
            <w:i/>
            <w:color w:val="0077CC"/>
            <w:sz w:val="20"/>
            <w:u w:val="single"/>
            <w:shd w:val="clear" w:color="auto" w:fill="FFFFFF"/>
            <w:lang w:val="en-US" w:eastAsia="en-US" w:bidi="ar-SA"/>
          </w:rPr>
          <w:t>(2006), 80 O.R. (3d) 594</w:t>
        </w:r>
      </w:hyperlink>
      <w:r>
        <w:rPr>
          <w:rFonts w:ascii="arial" w:eastAsia="arial" w:hAnsi="arial" w:cs="arial"/>
          <w:color w:val="000000"/>
          <w:sz w:val="20"/>
          <w:lang w:val="en-US" w:eastAsia="en-US" w:bidi="ar-SA"/>
        </w:rPr>
        <w:t xml:space="preserve"> (Sup. Ct. J.).</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22</w:t>
      </w:r>
      <w:r>
        <w:rPr>
          <w:rFonts w:ascii="arial" w:eastAsia="arial" w:hAnsi="arial" w:cs="arial"/>
          <w:color w:val="000000"/>
          <w:sz w:val="20"/>
          <w:lang w:val="en-US" w:eastAsia="en-US" w:bidi="ar-SA"/>
        </w:rPr>
        <w:t>  Mr. Wood is more in the category of an institutional witness. He was not involved in the development of the Tracker. He has no personal interest in the outcome of the litigation.</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23</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Inco</w:t>
      </w:r>
      <w:r>
        <w:rPr>
          <w:rFonts w:ascii="arial" w:eastAsia="arial" w:hAnsi="arial" w:cs="arial"/>
          <w:color w:val="000000"/>
          <w:sz w:val="20"/>
          <w:lang w:val="en-US" w:eastAsia="en-US" w:bidi="ar-SA"/>
        </w:rPr>
        <w:t xml:space="preserve"> the defendant was accused of discharging untreated mine effluent into a watercourse. The trial judge declined to qualify a proposed Crown witness as an expert capable of giving opinion evidence on the ground that the witness was an employee of the Enforcement Branch of the Ministry of the Environment and could be perceived as lacking independence. On appeal, the court found that the trial judge had erred in summarily rejecting the witness. The court held at para. 49:</w:t>
      </w:r>
      <w:r>
        <w:rPr>
          <w:lang w:val="en-US" w:eastAsia="en-US" w:bidi="ar-SA"/>
        </w:rPr>
        <w:cr/>
      </w:r>
    </w:p>
    <w:p>
      <w:pPr>
        <w:spacing w:line="260" w:lineRule="atLeast"/>
        <w:ind w:left="720"/>
        <w:rPr>
          <w:lang w:val="en-US" w:eastAsia="en-US" w:bidi="ar-SA"/>
        </w:rPr>
      </w:pPr>
      <w:r>
        <w:rPr>
          <w:rFonts w:ascii="arial" w:eastAsia="arial" w:hAnsi="arial" w:cs="arial"/>
          <w:color w:val="000000"/>
          <w:sz w:val="20"/>
          <w:lang w:val="en-US" w:eastAsia="en-US" w:bidi="ar-SA"/>
        </w:rPr>
        <w:t xml:space="preserve">A finding of lack of independence or impartiality cannot be based on a cursory examination of the employment relationship or status. Unless the court is satisfied that the witness is in a co-venture with the party, is currently in a position as an advocate for the party or has acted as advocate for the party on the same matter, the court must test any perceived partiality through a </w:t>
      </w:r>
      <w:r>
        <w:rPr>
          <w:rFonts w:ascii="arial" w:eastAsia="arial" w:hAnsi="arial" w:cs="arial"/>
          <w:i/>
          <w:color w:val="000000"/>
          <w:sz w:val="20"/>
          <w:lang w:val="en-US" w:eastAsia="en-US" w:bidi="ar-SA"/>
        </w:rPr>
        <w:t>voir dire</w:t>
      </w:r>
      <w:r>
        <w:rPr>
          <w:rFonts w:ascii="arial" w:eastAsia="arial" w:hAnsi="arial" w:cs="arial"/>
          <w:color w:val="000000"/>
          <w:sz w:val="20"/>
          <w:lang w:val="en-US" w:eastAsia="en-US" w:bidi="ar-SA"/>
        </w:rPr>
        <w:t xml:space="preserve"> hearing that tests the substance of the opinion to be proffered. After such a </w:t>
      </w:r>
      <w:r>
        <w:rPr>
          <w:rFonts w:ascii="arial" w:eastAsia="arial" w:hAnsi="arial" w:cs="arial"/>
          <w:i/>
          <w:color w:val="000000"/>
          <w:sz w:val="20"/>
          <w:lang w:val="en-US" w:eastAsia="en-US" w:bidi="ar-SA"/>
        </w:rPr>
        <w:t>voir dire</w:t>
      </w:r>
      <w:r>
        <w:rPr>
          <w:rFonts w:ascii="arial" w:eastAsia="arial" w:hAnsi="arial" w:cs="arial"/>
          <w:color w:val="000000"/>
          <w:sz w:val="20"/>
          <w:lang w:val="en-US" w:eastAsia="en-US" w:bidi="ar-SA"/>
        </w:rPr>
        <w:t>, the trial judge will be in a much better position to assess the partiality of the witness.</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24</w:t>
      </w:r>
      <w:r>
        <w:rPr>
          <w:rFonts w:ascii="arial" w:eastAsia="arial" w:hAnsi="arial" w:cs="arial"/>
          <w:color w:val="000000"/>
          <w:sz w:val="20"/>
          <w:lang w:val="en-US" w:eastAsia="en-US" w:bidi="ar-SA"/>
        </w:rPr>
        <w:t xml:space="preserve">  In my opinion, those considerations apply in this case. I cannot find on the limited material before me on this application that Mr. Wood cannot be properly qualified as an expert witness. He is a trained engineer with extensive experience in the automobile industry. He was not directly involved in the development of the Tracker. While his employment at GM may influence the weight to be given to his opinion, I cannot summarily determine that it is improper for him to testify. In the circumstances of this case I accept the defendants' submission, that his perceived partiality must be tested in the course of a </w:t>
      </w:r>
      <w:r>
        <w:rPr>
          <w:rFonts w:ascii="arial" w:eastAsia="arial" w:hAnsi="arial" w:cs="arial"/>
          <w:i/>
          <w:color w:val="000000"/>
          <w:sz w:val="20"/>
          <w:lang w:val="en-US" w:eastAsia="en-US" w:bidi="ar-SA"/>
        </w:rPr>
        <w:t>voir dire</w:t>
      </w:r>
      <w:r>
        <w:rPr>
          <w:rFonts w:ascii="arial" w:eastAsia="arial" w:hAnsi="arial" w:cs="arial"/>
          <w:color w:val="000000"/>
          <w:sz w:val="20"/>
          <w:lang w:val="en-US" w:eastAsia="en-US" w:bidi="ar-SA"/>
        </w:rPr>
        <w:t>.</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25</w:t>
      </w:r>
      <w:r>
        <w:rPr>
          <w:rFonts w:ascii="arial" w:eastAsia="arial" w:hAnsi="arial" w:cs="arial"/>
          <w:color w:val="000000"/>
          <w:sz w:val="20"/>
          <w:lang w:val="en-US" w:eastAsia="en-US" w:bidi="ar-SA"/>
        </w:rPr>
        <w:t xml:space="preserve">  The </w:t>
      </w:r>
      <w:r>
        <w:rPr>
          <w:rFonts w:ascii="arial" w:eastAsia="arial" w:hAnsi="arial" w:cs="arial"/>
          <w:i/>
          <w:color w:val="000000"/>
          <w:sz w:val="20"/>
          <w:lang w:val="en-US" w:eastAsia="en-US" w:bidi="ar-SA"/>
        </w:rPr>
        <w:t>voir dire</w:t>
      </w:r>
      <w:r>
        <w:rPr>
          <w:rFonts w:ascii="arial" w:eastAsia="arial" w:hAnsi="arial" w:cs="arial"/>
          <w:color w:val="000000"/>
          <w:sz w:val="20"/>
          <w:lang w:val="en-US" w:eastAsia="en-US" w:bidi="ar-SA"/>
        </w:rPr>
        <w:t xml:space="preserve"> will deal not only with the question of bias, but also Mr. Wood's expertise. The plaintiffs have submitted that he is not qualified to give certain opinions that are found in his report. The defendants concede that is so in relation to the cause of the accident. Whether by education, training or experience he is qualified to give his remaining opinions cannot be determined from his résumé alone. Those are matters to be canvassed on the </w:t>
      </w:r>
      <w:r>
        <w:rPr>
          <w:rFonts w:ascii="arial" w:eastAsia="arial" w:hAnsi="arial" w:cs="arial"/>
          <w:i/>
          <w:color w:val="000000"/>
          <w:sz w:val="20"/>
          <w:lang w:val="en-US" w:eastAsia="en-US" w:bidi="ar-SA"/>
        </w:rPr>
        <w:t>voir dire</w:t>
      </w:r>
      <w:r>
        <w:rPr>
          <w:rFonts w:ascii="arial" w:eastAsia="arial" w:hAnsi="arial" w:cs="arial"/>
          <w:color w:val="000000"/>
          <w:sz w:val="20"/>
          <w:lang w:val="en-US" w:eastAsia="en-US" w:bidi="ar-SA"/>
        </w:rPr>
        <w:t xml:space="preserve"> if the defendants seek to have the balance of his report admitted.</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26</w:t>
      </w:r>
      <w:r>
        <w:rPr>
          <w:rFonts w:ascii="arial" w:eastAsia="arial" w:hAnsi="arial" w:cs="arial"/>
          <w:color w:val="000000"/>
          <w:sz w:val="20"/>
          <w:lang w:val="en-US" w:eastAsia="en-US" w:bidi="ar-SA"/>
        </w:rPr>
        <w:t>  The plaintiffs also submit that the report is inadmissible because Mr. Wood has not clearly stated the facts and assumptions upon which his opinion is based. While he could have done so more clearly, I am satisfied that the report adequately sets out the facts and assumptions upon which he bases his opinion and the report is not inadmissible on that ground.</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27</w:t>
      </w:r>
      <w:r>
        <w:rPr>
          <w:rFonts w:ascii="arial" w:eastAsia="arial" w:hAnsi="arial" w:cs="arial"/>
          <w:color w:val="000000"/>
          <w:sz w:val="20"/>
          <w:lang w:val="en-US" w:eastAsia="en-US" w:bidi="ar-SA"/>
        </w:rPr>
        <w:t xml:space="preserve">  The defendants will be entitled to tender Mr. Wood as a witness. The admissibility of his report will be determined following the </w:t>
      </w:r>
      <w:r>
        <w:rPr>
          <w:rFonts w:ascii="arial" w:eastAsia="arial" w:hAnsi="arial" w:cs="arial"/>
          <w:i/>
          <w:color w:val="000000"/>
          <w:sz w:val="20"/>
          <w:lang w:val="en-US" w:eastAsia="en-US" w:bidi="ar-SA"/>
        </w:rPr>
        <w:t>voir dire</w:t>
      </w:r>
      <w:r>
        <w:rPr>
          <w:rFonts w:ascii="arial" w:eastAsia="arial" w:hAnsi="arial" w:cs="arial"/>
          <w:color w:val="000000"/>
          <w:sz w:val="20"/>
          <w:lang w:val="en-US" w:eastAsia="en-US" w:bidi="ar-SA"/>
        </w:rPr>
        <w:t>.</w:t>
      </w:r>
    </w:p>
    <w:p>
      <w:pPr>
        <w:spacing w:line="260" w:lineRule="atLeast"/>
        <w:jc w:val="both"/>
        <w:rPr>
          <w:lang w:val="en-US" w:eastAsia="en-US" w:bidi="ar-SA"/>
        </w:rPr>
      </w:pPr>
      <w:r>
        <w:rPr>
          <w:lang w:val="en-US" w:eastAsia="en-US" w:bidi="ar-SA"/>
        </w:rPr>
        <w:br/>
      </w:r>
      <w:r>
        <w:rPr>
          <w:rFonts w:ascii="arial" w:eastAsia="arial" w:hAnsi="arial" w:cs="arial"/>
          <w:b/>
          <w:color w:val="000000"/>
          <w:sz w:val="20"/>
          <w:u w:val="single"/>
          <w:lang w:val="en-US" w:eastAsia="en-US" w:bidi="ar-SA"/>
        </w:rPr>
        <w:t>C. The Padmanapan Report</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28</w:t>
      </w:r>
      <w:r>
        <w:rPr>
          <w:rFonts w:ascii="arial" w:eastAsia="arial" w:hAnsi="arial" w:cs="arial"/>
          <w:color w:val="000000"/>
          <w:sz w:val="20"/>
          <w:lang w:val="en-US" w:eastAsia="en-US" w:bidi="ar-SA"/>
        </w:rPr>
        <w:t xml:space="preserve">  Expert opinion evidence is admissible only where a judge or jury are unable, due to the technical nature of the facts, to draw appropriate inferences. The defendants seek to call Ms. Padmanapan's statistical evidence in order to establish a causal connection between a failure to wear a seatbelt in the course of a rollover accident and increased injuries. In certain circumstances statistical evidence can be helpful in determining causation: </w:t>
      </w:r>
      <w:r>
        <w:rPr>
          <w:rFonts w:ascii="arial" w:eastAsia="arial" w:hAnsi="arial" w:cs="arial"/>
          <w:i/>
          <w:color w:val="000000"/>
          <w:sz w:val="20"/>
          <w:lang w:val="en-US" w:eastAsia="en-US" w:bidi="ar-SA"/>
        </w:rPr>
        <w:t>Laferrière v. Lawson</w:t>
      </w:r>
      <w:r>
        <w:rPr>
          <w:rFonts w:ascii="arial" w:eastAsia="arial" w:hAnsi="arial" w:cs="arial"/>
          <w:color w:val="000000"/>
          <w:sz w:val="20"/>
          <w:lang w:val="en-US" w:eastAsia="en-US" w:bidi="ar-SA"/>
        </w:rPr>
        <w:t xml:space="preserve">, </w:t>
      </w:r>
      <w:hyperlink r:id="rId269" w:history="1">
        <w:r>
          <w:rPr>
            <w:rFonts w:ascii="arial" w:eastAsia="arial" w:hAnsi="arial" w:cs="arial"/>
            <w:i/>
            <w:color w:val="0077CC"/>
            <w:sz w:val="20"/>
            <w:u w:val="single"/>
            <w:shd w:val="clear" w:color="auto" w:fill="FFFFFF"/>
            <w:lang w:val="en-US" w:eastAsia="en-US" w:bidi="ar-SA"/>
          </w:rPr>
          <w:t>[1991] 1 S.C.R. 541</w:t>
        </w:r>
      </w:hyperlink>
      <w:r>
        <w:rPr>
          <w:rFonts w:ascii="arial" w:eastAsia="arial" w:hAnsi="arial" w:cs="arial"/>
          <w:color w:val="000000"/>
          <w:sz w:val="20"/>
          <w:lang w:val="en-US" w:eastAsia="en-US" w:bidi="ar-SA"/>
        </w:rPr>
        <w:t>.</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29</w:t>
      </w:r>
      <w:r>
        <w:rPr>
          <w:rFonts w:ascii="arial" w:eastAsia="arial" w:hAnsi="arial" w:cs="arial"/>
          <w:color w:val="000000"/>
          <w:sz w:val="20"/>
          <w:lang w:val="en-US" w:eastAsia="en-US" w:bidi="ar-SA"/>
        </w:rPr>
        <w:t xml:space="preserve">  It has been long recognized in British Columbia that a party who fails to use an available seatbelt and sustains injuries more severe than if the seatbelt had been worn will be found to be contributory negligent: </w:t>
      </w:r>
      <w:r>
        <w:rPr>
          <w:rFonts w:ascii="arial" w:eastAsia="arial" w:hAnsi="arial" w:cs="arial"/>
          <w:i/>
          <w:color w:val="000000"/>
          <w:sz w:val="20"/>
          <w:lang w:val="en-US" w:eastAsia="en-US" w:bidi="ar-SA"/>
        </w:rPr>
        <w:t>Yuan et al. v. Farstad</w:t>
      </w:r>
      <w:r>
        <w:rPr>
          <w:rFonts w:ascii="arial" w:eastAsia="arial" w:hAnsi="arial" w:cs="arial"/>
          <w:color w:val="000000"/>
          <w:sz w:val="20"/>
          <w:lang w:val="en-US" w:eastAsia="en-US" w:bidi="ar-SA"/>
        </w:rPr>
        <w:t xml:space="preserve"> </w:t>
      </w:r>
      <w:hyperlink r:id="rId270" w:history="1">
        <w:r>
          <w:rPr>
            <w:rFonts w:ascii="arial" w:eastAsia="arial" w:hAnsi="arial" w:cs="arial"/>
            <w:i/>
            <w:color w:val="0077CC"/>
            <w:sz w:val="20"/>
            <w:u w:val="single"/>
            <w:shd w:val="clear" w:color="auto" w:fill="FFFFFF"/>
            <w:lang w:val="en-US" w:eastAsia="en-US" w:bidi="ar-SA"/>
          </w:rPr>
          <w:t>(1967), 66 D.L.R. (2d) 295</w:t>
        </w:r>
      </w:hyperlink>
      <w:r>
        <w:rPr>
          <w:rFonts w:ascii="arial" w:eastAsia="arial" w:hAnsi="arial" w:cs="arial"/>
          <w:color w:val="000000"/>
          <w:sz w:val="20"/>
          <w:lang w:val="en-US" w:eastAsia="en-US" w:bidi="ar-SA"/>
        </w:rPr>
        <w:t xml:space="preserve"> (B.C.S.C.); </w:t>
      </w:r>
      <w:r>
        <w:rPr>
          <w:rFonts w:ascii="arial" w:eastAsia="arial" w:hAnsi="arial" w:cs="arial"/>
          <w:i/>
          <w:color w:val="000000"/>
          <w:sz w:val="20"/>
          <w:lang w:val="en-US" w:eastAsia="en-US" w:bidi="ar-SA"/>
        </w:rPr>
        <w:t>Gagnon v. Beaulieu,</w:t>
      </w:r>
      <w:r>
        <w:rPr>
          <w:rFonts w:ascii="arial" w:eastAsia="arial" w:hAnsi="arial" w:cs="arial"/>
          <w:color w:val="000000"/>
          <w:sz w:val="20"/>
          <w:lang w:val="en-US" w:eastAsia="en-US" w:bidi="ar-SA"/>
        </w:rPr>
        <w:t xml:space="preserve"> </w:t>
      </w:r>
      <w:hyperlink r:id="rId271" w:history="1">
        <w:r>
          <w:rPr>
            <w:rFonts w:ascii="arial" w:eastAsia="arial" w:hAnsi="arial" w:cs="arial"/>
            <w:i/>
            <w:color w:val="0077CC"/>
            <w:sz w:val="20"/>
            <w:u w:val="single"/>
            <w:shd w:val="clear" w:color="auto" w:fill="FFFFFF"/>
            <w:lang w:val="en-US" w:eastAsia="en-US" w:bidi="ar-SA"/>
          </w:rPr>
          <w:t>[1977] 1 W.W.R. 702</w:t>
        </w:r>
      </w:hyperlink>
      <w:r>
        <w:rPr>
          <w:rFonts w:ascii="arial" w:eastAsia="arial" w:hAnsi="arial" w:cs="arial"/>
          <w:color w:val="000000"/>
          <w:sz w:val="20"/>
          <w:lang w:val="en-US" w:eastAsia="en-US" w:bidi="ar-SA"/>
        </w:rPr>
        <w:t xml:space="preserve"> (B.C.S.C.).</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30</w:t>
      </w:r>
      <w:r>
        <w:rPr>
          <w:rFonts w:ascii="arial" w:eastAsia="arial" w:hAnsi="arial" w:cs="arial"/>
          <w:color w:val="000000"/>
          <w:sz w:val="20"/>
          <w:lang w:val="en-US" w:eastAsia="en-US" w:bidi="ar-SA"/>
        </w:rPr>
        <w:t xml:space="preserve">  While there appears to have been statistical evidence led in </w:t>
      </w:r>
      <w:r>
        <w:rPr>
          <w:rFonts w:ascii="arial" w:eastAsia="arial" w:hAnsi="arial" w:cs="arial"/>
          <w:i/>
          <w:color w:val="000000"/>
          <w:sz w:val="20"/>
          <w:lang w:val="en-US" w:eastAsia="en-US" w:bidi="ar-SA"/>
        </w:rPr>
        <w:t>Yuan</w:t>
      </w:r>
      <w:r>
        <w:rPr>
          <w:rFonts w:ascii="arial" w:eastAsia="arial" w:hAnsi="arial" w:cs="arial"/>
          <w:color w:val="000000"/>
          <w:sz w:val="20"/>
          <w:lang w:val="en-US" w:eastAsia="en-US" w:bidi="ar-SA"/>
        </w:rPr>
        <w:t xml:space="preserve"> and in </w:t>
      </w:r>
      <w:r>
        <w:rPr>
          <w:rFonts w:ascii="arial" w:eastAsia="arial" w:hAnsi="arial" w:cs="arial"/>
          <w:i/>
          <w:color w:val="000000"/>
          <w:sz w:val="20"/>
          <w:lang w:val="en-US" w:eastAsia="en-US" w:bidi="ar-SA"/>
        </w:rPr>
        <w:t>Gagnon,</w:t>
      </w:r>
      <w:r>
        <w:rPr>
          <w:rFonts w:ascii="arial" w:eastAsia="arial" w:hAnsi="arial" w:cs="arial"/>
          <w:color w:val="000000"/>
          <w:sz w:val="20"/>
          <w:lang w:val="en-US" w:eastAsia="en-US" w:bidi="ar-SA"/>
        </w:rPr>
        <w:t xml:space="preserve"> subsequent cases have held that such evidence is not necessary. In </w:t>
      </w:r>
      <w:r>
        <w:rPr>
          <w:rFonts w:ascii="arial" w:eastAsia="arial" w:hAnsi="arial" w:cs="arial"/>
          <w:i/>
          <w:color w:val="000000"/>
          <w:sz w:val="20"/>
          <w:lang w:val="en-US" w:eastAsia="en-US" w:bidi="ar-SA"/>
        </w:rPr>
        <w:t>Lakhani (Guardian ad litem of) v. Samson,</w:t>
      </w:r>
      <w:r>
        <w:rPr>
          <w:rFonts w:ascii="arial" w:eastAsia="arial" w:hAnsi="arial" w:cs="arial"/>
          <w:color w:val="000000"/>
          <w:sz w:val="20"/>
          <w:lang w:val="en-US" w:eastAsia="en-US" w:bidi="ar-SA"/>
        </w:rPr>
        <w:t xml:space="preserve"> </w:t>
      </w:r>
      <w:hyperlink r:id="rId272" w:history="1">
        <w:r>
          <w:rPr>
            <w:rFonts w:ascii="arial" w:eastAsia="arial" w:hAnsi="arial" w:cs="arial"/>
            <w:i/>
            <w:color w:val="0077CC"/>
            <w:sz w:val="20"/>
            <w:u w:val="single"/>
            <w:shd w:val="clear" w:color="auto" w:fill="FFFFFF"/>
            <w:lang w:val="en-US" w:eastAsia="en-US" w:bidi="ar-SA"/>
          </w:rPr>
          <w:t>[1982] B.C.J. No. 397</w:t>
        </w:r>
      </w:hyperlink>
      <w:r>
        <w:rPr>
          <w:rFonts w:ascii="arial" w:eastAsia="arial" w:hAnsi="arial" w:cs="arial"/>
          <w:color w:val="000000"/>
          <w:sz w:val="20"/>
          <w:lang w:val="en-US" w:eastAsia="en-US" w:bidi="ar-SA"/>
        </w:rPr>
        <w:t xml:space="preserve"> (S.C.) McEachern C.J.S.C. (as he then was) noted at para. 3:</w:t>
      </w:r>
      <w:r>
        <w:rPr>
          <w:lang w:val="en-US" w:eastAsia="en-US" w:bidi="ar-SA"/>
        </w:rPr>
        <w:cr/>
      </w:r>
    </w:p>
    <w:p>
      <w:pPr>
        <w:spacing w:line="260" w:lineRule="atLeast"/>
        <w:ind w:left="720"/>
        <w:rPr>
          <w:lang w:val="en-US" w:eastAsia="en-US" w:bidi="ar-SA"/>
        </w:rPr>
      </w:pPr>
      <w:r>
        <w:rPr>
          <w:rFonts w:ascii="arial" w:eastAsia="arial" w:hAnsi="arial" w:cs="arial"/>
          <w:color w:val="000000"/>
          <w:sz w:val="20"/>
          <w:lang w:val="en-US" w:eastAsia="en-US" w:bidi="ar-SA"/>
        </w:rPr>
        <w:t>I reject the suggestion that engineering evidence is required in these cases. The court is not required to leave its common sense in the hall outside the courtroom, and the evidence is clear that upon impact in both cases the Plaintiff's upper body was flung or thrown forward striking the dashboard or the steering wheel. And common sense tells me that the restraint of a shoulder harness would have prevented that, and therefore some of the injury from having occurred.</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31</w:t>
      </w:r>
      <w:r>
        <w:rPr>
          <w:rFonts w:ascii="arial" w:eastAsia="arial" w:hAnsi="arial" w:cs="arial"/>
          <w:color w:val="000000"/>
          <w:sz w:val="20"/>
          <w:lang w:val="en-US" w:eastAsia="en-US" w:bidi="ar-SA"/>
        </w:rPr>
        <w:t xml:space="preserve">  To succeed on the seatbelt defence, the onus will be on the defendants to establish upon a balance of probabilities that the use of a functioning seatbelt would have avoided, or minimized Ms. Spehar's injuries: </w:t>
      </w:r>
      <w:r>
        <w:rPr>
          <w:rFonts w:ascii="arial" w:eastAsia="arial" w:hAnsi="arial" w:cs="arial"/>
          <w:i/>
          <w:color w:val="000000"/>
          <w:sz w:val="20"/>
          <w:lang w:val="en-US" w:eastAsia="en-US" w:bidi="ar-SA"/>
        </w:rPr>
        <w:t>Harrison v. Brown</w:t>
      </w:r>
      <w:r>
        <w:rPr>
          <w:rFonts w:ascii="arial" w:eastAsia="arial" w:hAnsi="arial" w:cs="arial"/>
          <w:color w:val="000000"/>
          <w:sz w:val="20"/>
          <w:lang w:val="en-US" w:eastAsia="en-US" w:bidi="ar-SA"/>
        </w:rPr>
        <w:t xml:space="preserve">, </w:t>
      </w:r>
      <w:hyperlink r:id="rId273" w:history="1">
        <w:r>
          <w:rPr>
            <w:rFonts w:ascii="arial" w:eastAsia="arial" w:hAnsi="arial" w:cs="arial"/>
            <w:i/>
            <w:color w:val="0077CC"/>
            <w:sz w:val="20"/>
            <w:u w:val="single"/>
            <w:shd w:val="clear" w:color="auto" w:fill="FFFFFF"/>
            <w:lang w:val="en-US" w:eastAsia="en-US" w:bidi="ar-SA"/>
          </w:rPr>
          <w:t>[1987] 1 W.W.R. 212</w:t>
        </w:r>
      </w:hyperlink>
      <w:r>
        <w:rPr>
          <w:rFonts w:ascii="arial" w:eastAsia="arial" w:hAnsi="arial" w:cs="arial"/>
          <w:color w:val="000000"/>
          <w:sz w:val="20"/>
          <w:lang w:val="en-US" w:eastAsia="en-US" w:bidi="ar-SA"/>
        </w:rPr>
        <w:t xml:space="preserve"> (B.C.S.C.); </w:t>
      </w:r>
      <w:r>
        <w:rPr>
          <w:rFonts w:ascii="arial" w:eastAsia="arial" w:hAnsi="arial" w:cs="arial"/>
          <w:i/>
          <w:color w:val="000000"/>
          <w:sz w:val="20"/>
          <w:lang w:val="en-US" w:eastAsia="en-US" w:bidi="ar-SA"/>
        </w:rPr>
        <w:t>Terracciano (Guardian ad litem of) v. Etheridge</w:t>
      </w:r>
      <w:r>
        <w:rPr>
          <w:rFonts w:ascii="arial" w:eastAsia="arial" w:hAnsi="arial" w:cs="arial"/>
          <w:color w:val="000000"/>
          <w:sz w:val="20"/>
          <w:lang w:val="en-US" w:eastAsia="en-US" w:bidi="ar-SA"/>
        </w:rPr>
        <w:t xml:space="preserve"> </w:t>
      </w:r>
      <w:hyperlink r:id="rId274" w:history="1">
        <w:r>
          <w:rPr>
            <w:rFonts w:ascii="arial" w:eastAsia="arial" w:hAnsi="arial" w:cs="arial"/>
            <w:i/>
            <w:color w:val="0077CC"/>
            <w:sz w:val="20"/>
            <w:u w:val="single"/>
            <w:shd w:val="clear" w:color="auto" w:fill="FFFFFF"/>
            <w:lang w:val="en-US" w:eastAsia="en-US" w:bidi="ar-SA"/>
          </w:rPr>
          <w:t>(1997), 33 B.C.L.R. (3d) 328</w:t>
        </w:r>
      </w:hyperlink>
      <w:r>
        <w:rPr>
          <w:rFonts w:ascii="arial" w:eastAsia="arial" w:hAnsi="arial" w:cs="arial"/>
          <w:color w:val="000000"/>
          <w:sz w:val="20"/>
          <w:lang w:val="en-US" w:eastAsia="en-US" w:bidi="ar-SA"/>
        </w:rPr>
        <w:t xml:space="preserve"> (S.C.).</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32</w:t>
      </w:r>
      <w:r>
        <w:rPr>
          <w:rFonts w:ascii="arial" w:eastAsia="arial" w:hAnsi="arial" w:cs="arial"/>
          <w:color w:val="000000"/>
          <w:sz w:val="20"/>
          <w:lang w:val="en-US" w:eastAsia="en-US" w:bidi="ar-SA"/>
        </w:rPr>
        <w:t xml:space="preserve">  The statistical evidence to be led from Ms. Padmanapan is, in my opinion, not necessary and will not assist me as trier of fact in determining the issue of contributory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If the evidence is not necessary, it does not meet the test of admissibility.</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33</w:t>
      </w:r>
      <w:r>
        <w:rPr>
          <w:rFonts w:ascii="arial" w:eastAsia="arial" w:hAnsi="arial" w:cs="arial"/>
          <w:color w:val="000000"/>
          <w:sz w:val="20"/>
          <w:lang w:val="en-US" w:eastAsia="en-US" w:bidi="ar-SA"/>
        </w:rPr>
        <w:t>  The exclusion of the seatbelt portion of Ms. Padmanapan's report is premised upon my present understanding as to the basis upon which admission of that report is sought. If the basis for admission of the report changes, perhaps because of evidence the plaintiffs lead at trial, or otherwise, the defendants are at liberty when Ms. Padmanapan testifies to apply for reconsideration of this ruling.</w:t>
      </w:r>
    </w:p>
    <w:p>
      <w:pPr>
        <w:spacing w:line="260" w:lineRule="atLeast"/>
        <w:jc w:val="both"/>
        <w:rPr>
          <w:lang w:val="en-US" w:eastAsia="en-US" w:bidi="ar-SA"/>
        </w:rPr>
      </w:pPr>
      <w:r>
        <w:rPr>
          <w:lang w:val="en-US" w:eastAsia="en-US" w:bidi="ar-SA"/>
        </w:rPr>
        <w:br/>
      </w:r>
      <w:r>
        <w:rPr>
          <w:rFonts w:ascii="arial" w:eastAsia="arial" w:hAnsi="arial" w:cs="arial"/>
          <w:b/>
          <w:color w:val="000000"/>
          <w:sz w:val="20"/>
          <w:u w:val="single"/>
          <w:lang w:val="en-US" w:eastAsia="en-US" w:bidi="ar-SA"/>
        </w:rPr>
        <w:t>SUMMARY</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34</w:t>
      </w:r>
      <w:r>
        <w:rPr>
          <w:rFonts w:ascii="arial" w:eastAsia="arial" w:hAnsi="arial" w:cs="arial"/>
          <w:color w:val="000000"/>
          <w:sz w:val="20"/>
          <w:lang w:val="en-US" w:eastAsia="en-US" w:bidi="ar-SA"/>
        </w:rPr>
        <w:t xml:space="preserve">  The plaintiffs' application to exclude Mr. Wood's report is dismissed. The admissibility of his report will be determined following a </w:t>
      </w:r>
      <w:r>
        <w:rPr>
          <w:rFonts w:ascii="arial" w:eastAsia="arial" w:hAnsi="arial" w:cs="arial"/>
          <w:i/>
          <w:color w:val="000000"/>
          <w:sz w:val="20"/>
          <w:lang w:val="en-US" w:eastAsia="en-US" w:bidi="ar-SA"/>
        </w:rPr>
        <w:t>voir dire</w:t>
      </w:r>
      <w:r>
        <w:rPr>
          <w:rFonts w:ascii="arial" w:eastAsia="arial" w:hAnsi="arial" w:cs="arial"/>
          <w:color w:val="000000"/>
          <w:sz w:val="20"/>
          <w:lang w:val="en-US" w:eastAsia="en-US" w:bidi="ar-SA"/>
        </w:rPr>
        <w:t xml:space="preserve"> at trial. Ms. Padmanapan's statistical analysis is presently inadmissible.</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35</w:t>
      </w:r>
      <w:r>
        <w:rPr>
          <w:rFonts w:ascii="arial" w:eastAsia="arial" w:hAnsi="arial" w:cs="arial"/>
          <w:color w:val="000000"/>
          <w:sz w:val="20"/>
          <w:lang w:val="en-US" w:eastAsia="en-US" w:bidi="ar-SA"/>
        </w:rPr>
        <w:t>  Costs of the application will be in the cause.</w:t>
      </w:r>
    </w:p>
    <w:p>
      <w:pPr>
        <w:spacing w:line="260" w:lineRule="atLeast"/>
        <w:jc w:val="both"/>
        <w:rPr>
          <w:lang w:val="en-US" w:eastAsia="en-US" w:bidi="ar-SA"/>
        </w:rPr>
      </w:pPr>
      <w:r>
        <w:rPr>
          <w:lang w:val="en-US" w:eastAsia="en-US" w:bidi="ar-SA"/>
        </w:rPr>
        <w:br/>
      </w:r>
      <w:r>
        <w:rPr>
          <w:rFonts w:ascii="arial" w:eastAsia="arial" w:hAnsi="arial" w:cs="arial"/>
          <w:color w:val="000000"/>
          <w:sz w:val="20"/>
          <w:lang w:val="en-US" w:eastAsia="en-US" w:bidi="ar-SA"/>
        </w:rPr>
        <w:t>R.B.T. GOEPEL J.</w:t>
      </w:r>
      <w:r>
        <w:rPr>
          <w:lang w:val="en-US" w:eastAsia="en-US" w:bidi="ar-SA"/>
        </w:rPr>
        <w:cr/>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72" style="position:absolute;z-index:251819008" from="0,10pt" to="512pt,10pt" strokecolor="black" strokeweight="1pt">
            <v:stroke linestyle="single"/>
          </v:line>
        </w:pict>
      </w:r>
      <w:r>
        <w:rPr>
          <w:b/>
          <w:color w:val="767676"/>
          <w:sz w:val="16"/>
          <w:lang w:val="en-US" w:eastAsia="en-US" w:bidi="ar-SA"/>
        </w:rPr>
        <w:t>End of Document</w:t>
      </w:r>
    </w:p>
    <w:p>
      <w:pPr>
        <w:rPr>
          <w:rFonts w:ascii="arial" w:eastAsia="arial" w:hAnsi="arial" w:cs="arial"/>
          <w:sz w:val="20"/>
          <w:lang w:val="en-US" w:eastAsia="en-US" w:bidi="ar-SA"/>
        </w:rPr>
        <w:sectPr>
          <w:headerReference w:type="even" r:id="rId275"/>
          <w:headerReference w:type="default" r:id="rId276"/>
          <w:footerReference w:type="even" r:id="rId277"/>
          <w:footerReference w:type="default" r:id="rId278"/>
          <w:headerReference w:type="first" r:id="rId279"/>
          <w:footerReference w:type="first" r:id="rId280"/>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eastAsia="arial" w:hAnsi="Arial" w:cs="Arial"/>
          <w:b/>
          <w:bCs/>
          <w:kern w:val="32"/>
          <w:sz w:val="32"/>
          <w:szCs w:val="32"/>
          <w:lang w:val="en-US" w:eastAsia="en-US" w:bidi="ar-SA"/>
        </w:rPr>
      </w:pPr>
      <w:hyperlink r:id="rId281" w:history="1">
        <w:r>
          <w:rPr>
            <w:rFonts w:ascii="arial" w:eastAsia="arial" w:hAnsi="arial" w:cs="arial"/>
            <w:b/>
            <w:bCs/>
            <w:i/>
            <w:color w:val="0077CC"/>
            <w:kern w:val="32"/>
            <w:sz w:val="28"/>
            <w:szCs w:val="32"/>
            <w:u w:val="single"/>
            <w:shd w:val="clear" w:color="auto" w:fill="FFFFFF"/>
            <w:lang w:val="en-US" w:eastAsia="en-US" w:bidi="ar-SA"/>
          </w:rPr>
          <w:t>British Columbia (Attorney General) v. Perry Ridge Water Users Assn., [2000] B.C.J. No. 1226</w:t>
        </w:r>
      </w:hyperlink>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Judgments</w:t>
      </w:r>
    </w:p>
    <w:p>
      <w:pPr>
        <w:rPr>
          <w:rFonts w:ascii="arial" w:eastAsia="arial" w:hAnsi="arial" w:cs="arial"/>
          <w:sz w:val="20"/>
          <w:lang w:val="en-US" w:eastAsia="en-US" w:bidi="ar-SA"/>
        </w:rPr>
      </w:pP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Nelson, British Columbia</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McEwan J.</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Heard: November 8, 1999.</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Judgment: June 16, 2000.</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Nelson Registry No. 6907T</w:t>
      </w:r>
    </w:p>
    <w:p>
      <w:pPr>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r>
        <w:rPr>
          <w:rFonts w:ascii="arial" w:eastAsia="arial" w:hAnsi="arial" w:cs="arial"/>
          <w:b/>
          <w:color w:val="000000"/>
          <w:sz w:val="20"/>
          <w:lang w:val="en-US" w:eastAsia="en-US" w:bidi="ar-SA"/>
        </w:rPr>
        <w:t>[2000] B.C.J. No. 1226</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2000 BCSC 940</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48 C.P.C. (4th) 380</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70 L.C.R. 110</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97 A.C.W.S. (3d) 934</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2000 CarswellBC 1267</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[2000] B.C.T.C. 392</w:t>
      </w:r>
    </w:p>
    <w:p>
      <w:pPr>
        <w:spacing w:before="120" w:line="260" w:lineRule="atLeast"/>
        <w:rPr>
          <w:rFonts w:ascii="arial" w:eastAsia="arial" w:hAnsi="arial" w:cs="arial"/>
          <w:sz w:val="20"/>
          <w:lang w:val="en-US" w:eastAsia="en-US" w:bidi="ar-SA"/>
        </w:rPr>
      </w:pPr>
      <w:r>
        <w:rPr>
          <w:rFonts w:ascii="arial" w:eastAsia="arial" w:hAnsi="arial" w:cs="arial"/>
          <w:color w:val="000000"/>
          <w:sz w:val="20"/>
          <w:lang w:val="en-US" w:eastAsia="en-US" w:bidi="ar-SA"/>
        </w:rPr>
        <w:t>Between The Attorney General for British Columbia and Her Majesty the Queen in Right of the Province of British Columbia, plaintiffs, and Perry Ridge Water Users Association, Guenther Retterath, Frank Nixon, Austin Greengrass, Pam Stevenson, Sandy Blackie, John Doe and Jane Doe, defendants</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(46 paras.)</w:t>
      </w:r>
    </w:p>
    <w:p>
      <w:pPr>
        <w:keepNext/>
        <w:spacing w:before="12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Case Summary</w:t>
      </w:r>
    </w:p>
    <w:p>
      <w:pPr>
        <w:spacing w:line="60" w:lineRule="exact"/>
        <w:rPr>
          <w:rFonts w:ascii="arial" w:eastAsia="arial" w:hAnsi="arial" w:cs="arial"/>
          <w:sz w:val="20"/>
          <w:lang w:val="en-US" w:eastAsia="en-US" w:bidi="ar-SA"/>
        </w:rPr>
      </w:pPr>
      <w:r>
        <w:pict>
          <v:line id="_x0000_s1073" style="position:absolute;z-index:251668480"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bookmarkStart w:id="59" w:name="Keywords_8"/>
      <w:bookmarkEnd w:id="59"/>
      <w:r>
        <w:rPr>
          <w:rFonts w:ascii="arial" w:eastAsia="arial" w:hAnsi="arial" w:cs="arial"/>
          <w:b/>
          <w:color w:val="000000"/>
          <w:sz w:val="20"/>
          <w:lang w:val="en-US" w:eastAsia="en-US" w:bidi="ar-SA"/>
        </w:rPr>
        <w:t>Practice — Actions, commencement of — Writ of summons — Nullity — Crown — Crown lands.</w:t>
      </w:r>
    </w:p>
    <w:p>
      <w:pPr>
        <w:rPr>
          <w:rFonts w:ascii="arial" w:eastAsia="arial" w:hAnsi="arial" w:cs="arial"/>
          <w:sz w:val="20"/>
          <w:lang w:val="en-US" w:eastAsia="en-US" w:bidi="ar-SA"/>
        </w:rPr>
      </w:pPr>
    </w:p>
    <w:tbl>
      <w:tblPr>
        <w:tblStyle w:val="TableNormal"/>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
      <w:tblGrid>
        <w:gridCol w:w="10225"/>
      </w:tblGrid>
      <w:tr>
        <w:tblPrEx>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Ex>
        <w:tc>
          <w:tcPr/>
          <w:p>
            <w:pPr>
              <w:rPr>
                <w:rFonts w:ascii="arial" w:eastAsia="arial" w:hAnsi="arial" w:cs="arial"/>
                <w:sz w:val="20"/>
                <w:lang w:val="en-US" w:eastAsia="en-US" w:bidi="ar-SA"/>
              </w:rPr>
            </w:pPr>
            <w:bookmarkStart w:id="60" w:name="Case Summary_7"/>
            <w:bookmarkEnd w:id="60"/>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Application by the property owners, the Perry Ridge Water Users Assn., for a declaration that the writ of summons was a nullity and for summary judgment. The Attorney General of British Columbia instituted proceedings against the Association with respect to the obstruction of road building activities that it was attempting to undertake on Crown land. The Crown took legal possession of the property in 1984 and commenced building in 1997. The writ of summons was filed along with a detailed statement of claim. The entire mid-section of the form of the writ of summons that was prescribed by the British Columbia Supreme Court Rules was missing. The names and addresses of the Association members, the invocation of the sovereign and the memoranda were missing. A statement of defence and counter-claim was filed in March 1998. It sought a dismissal of the claim and various forms of declaratory relief and damages for nuisance,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and breach of trust. The Association currently sought a declaration that the writ of summons was a nullity and that the action should be struck. </w:t>
            </w:r>
            <w:r>
              <w:rPr>
                <w:rFonts w:ascii="arial" w:eastAsia="arial" w:hAnsi="arial" w:cs="arial"/>
                <w:sz w:val="20"/>
                <w:lang w:val="en-US" w:eastAsia="en-US" w:bidi="ar-SA"/>
              </w:rPr>
              <w:cr/>
            </w:r>
          </w:p>
          <w:p>
            <w:pPr>
              <w:spacing w:before="120" w:line="260" w:lineRule="atLeast"/>
              <w:ind w:left="240"/>
              <w:jc w:val="both"/>
              <w:rPr>
                <w:rFonts w:ascii="arial" w:eastAsia="arial" w:hAnsi="arial" w:cs="arial"/>
                <w:sz w:val="20"/>
                <w:lang w:val="en-US" w:eastAsia="en-US" w:bidi="ar-SA"/>
              </w:rPr>
            </w:pPr>
            <w:bookmarkStart w:id="61" w:name="Holdings of Court_7"/>
            <w:bookmarkEnd w:id="61"/>
            <w:r>
              <w:rPr>
                <w:rFonts w:ascii="arial" w:eastAsia="arial" w:hAnsi="arial" w:cs="arial"/>
                <w:color w:val="000000"/>
                <w:sz w:val="20"/>
                <w:lang w:val="en-US" w:eastAsia="en-US" w:bidi="ar-SA"/>
              </w:rPr>
              <w:t>HELD: Application dismissed.</w:t>
            </w:r>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The writ of summons was not a nullity. The Royal command was not the foundation of the court's jurisdiction. A writ emanating from the Registry was the basis of the court's jurisdiction and the invocation of the sovereign was descriptive of the authority under which the writ was issued. Failure to include the Royal Command did not render the writ null and void for lack of jurisdiction, although it was irregular in that it failed to describe the authority under which the writ was issued in terms of the form prescribed in the British Columbia Supreme Court Rules. Further, the Association filed an appearance and had since taken an active role in the proceeding. There was no demonstrated confusion or prejudice that arose from the deficiencies in the writ. Finally, the Crown had a legal right to build or improve roads on the land in question. </w:t>
            </w:r>
            <w:r>
              <w:rPr>
                <w:rFonts w:ascii="arial" w:eastAsia="arial" w:hAnsi="arial" w:cs="arial"/>
                <w:sz w:val="20"/>
                <w:lang w:val="en-US" w:eastAsia="en-US" w:bidi="ar-SA"/>
              </w:rPr>
              <w:cr/>
            </w:r>
          </w:p>
          <w:p>
            <w:pPr>
              <w:rPr>
                <w:rFonts w:ascii="arial" w:eastAsia="arial" w:hAnsi="arial" w:cs="arial"/>
                <w:sz w:val="20"/>
                <w:lang w:val="en-US" w:eastAsia="en-US" w:bidi="ar-SA"/>
              </w:rPr>
            </w:pPr>
          </w:p>
        </w:tc>
      </w:tr>
    </w:tbl>
    <w:p>
      <w:pPr>
        <w:jc w:val="both"/>
        <w:rPr>
          <w:rFonts w:ascii="arial" w:eastAsia="arial" w:hAnsi="arial" w:cs="arial"/>
          <w:sz w:val="20"/>
          <w:lang w:val="en-US" w:eastAsia="en-US" w:bidi="ar-SA"/>
        </w:rPr>
      </w:pPr>
      <w:bookmarkStart w:id="62" w:name="Legislation Cited_4"/>
      <w:bookmarkEnd w:id="62"/>
      <w:r>
        <w:rPr>
          <w:rFonts w:ascii="arial" w:eastAsia="arial" w:hAnsi="arial" w:cs="arial"/>
          <w:sz w:val="20"/>
          <w:lang w:val="en-US" w:eastAsia="en-US" w:bidi="ar-SA"/>
        </w:rPr>
        <w:br/>
      </w:r>
    </w:p>
    <w:p>
      <w:pPr>
        <w:keepNext/>
        <w:spacing w:before="24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Statutes, Regulations and Rules Cited:</w:t>
      </w:r>
    </w:p>
    <w:p>
      <w:pPr>
        <w:spacing w:line="60" w:lineRule="exact"/>
        <w:rPr>
          <w:rFonts w:ascii="arial" w:eastAsia="arial" w:hAnsi="arial" w:cs="arial"/>
          <w:sz w:val="20"/>
          <w:lang w:val="en-US" w:eastAsia="en-US" w:bidi="ar-SA"/>
        </w:rPr>
      </w:pPr>
      <w:r>
        <w:pict>
          <v:line id="_x0000_s1074" style="position:absolute;z-index:251719680"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 Rules, Rule 2, 18A.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Forest Act, R.S.B.C. 1960, c. 153, s. 147.</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Forest Act, S.B.C. 1978, c. 23.</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Forest Act, s. 102(1)(b).</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Highway Act, R.S.B.C. 1960, c. 172, s. 9.</w:t>
      </w:r>
      <w:r>
        <w:rPr>
          <w:rFonts w:ascii="arial" w:eastAsia="arial" w:hAnsi="arial" w:cs="arial"/>
          <w:sz w:val="20"/>
          <w:lang w:val="en-US" w:eastAsia="en-US" w:bidi="ar-SA"/>
        </w:rPr>
        <w:cr/>
      </w:r>
    </w:p>
    <w:p>
      <w:pPr>
        <w:keepNext/>
        <w:spacing w:before="240" w:line="340" w:lineRule="atLeast"/>
        <w:rPr>
          <w:rFonts w:ascii="arial" w:eastAsia="arial" w:hAnsi="arial" w:cs="arial"/>
          <w:sz w:val="20"/>
          <w:lang w:val="en-US" w:eastAsia="en-US" w:bidi="ar-SA"/>
        </w:rPr>
      </w:pPr>
      <w:bookmarkStart w:id="63" w:name="Counsel_8"/>
      <w:bookmarkEnd w:id="63"/>
      <w:r>
        <w:rPr>
          <w:rFonts w:ascii="arial" w:eastAsia="arial" w:hAnsi="arial" w:cs="arial"/>
          <w:b/>
          <w:color w:val="000000"/>
          <w:sz w:val="28"/>
          <w:lang w:val="en-US" w:eastAsia="en-US" w:bidi="ar-SA"/>
        </w:rPr>
        <w:t>Counsel</w:t>
      </w:r>
    </w:p>
    <w:p>
      <w:pPr>
        <w:spacing w:line="60" w:lineRule="exact"/>
        <w:rPr>
          <w:rFonts w:ascii="arial" w:eastAsia="arial" w:hAnsi="arial" w:cs="arial"/>
          <w:sz w:val="20"/>
          <w:lang w:val="en-US" w:eastAsia="en-US" w:bidi="ar-SA"/>
        </w:rPr>
      </w:pPr>
      <w:r>
        <w:pict>
          <v:line id="_x0000_s1075" style="position:absolute;z-index:251770880"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J.J.L. Hunter, Q.C., for the plaintiffs. K. McGee, for the defendants.</w:t>
      </w:r>
      <w:r>
        <w:rPr>
          <w:rFonts w:ascii="arial" w:eastAsia="arial" w:hAnsi="arial" w:cs="arial"/>
          <w:sz w:val="20"/>
          <w:lang w:val="en-US" w:eastAsia="en-US" w:bidi="ar-SA"/>
        </w:rPr>
        <w:cr/>
      </w:r>
    </w:p>
    <w:p>
      <w:pPr>
        <w:spacing w:after="240"/>
        <w:rPr>
          <w:rFonts w:ascii="arial" w:eastAsia="arial" w:hAnsi="arial" w:cs="arial"/>
          <w:sz w:val="20"/>
          <w:lang w:val="en-US" w:eastAsia="en-US" w:bidi="ar-SA"/>
        </w:rPr>
      </w:pPr>
      <w:bookmarkStart w:id="64" w:name="Judgment_9"/>
      <w:bookmarkEnd w:id="64"/>
      <w:r>
        <w:pict>
          <v:line id="_x0000_s1076" style="position:absolute;z-index:251820032" from="0,12pt" to="512pt,12pt" strokecolor="#009ddb" strokeweight="1.5pt">
            <v:stroke linestyle="single"/>
          </v:line>
        </w:pict>
      </w:r>
    </w:p>
    <w:p>
      <w:pPr>
        <w:rPr>
          <w:rFonts w:ascii="arial" w:eastAsia="arial" w:hAnsi="arial" w:cs="arial"/>
          <w:sz w:val="20"/>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1937"/>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rFonts w:ascii="arial" w:eastAsia="arial" w:hAnsi="arial" w:cs="arial"/>
                <w:sz w:val="20"/>
                <w:lang w:val="en-US" w:eastAsia="en-US" w:bidi="ar-SA"/>
              </w:rPr>
            </w:pPr>
            <w:bookmarkStart w:id="65" w:name="McEWAN J."/>
            <w:bookmarkEnd w:id="65"/>
            <w:r>
              <w:rPr>
                <w:rFonts w:ascii="arial" w:eastAsia="arial" w:hAnsi="arial" w:cs="arial"/>
                <w:b/>
                <w:color w:val="000000"/>
                <w:sz w:val="30"/>
                <w:lang w:val="en-US" w:eastAsia="en-US" w:bidi="ar-SA"/>
              </w:rPr>
              <w:t>McEWAN J.</w:t>
            </w:r>
          </w:p>
        </w:tc>
      </w:tr>
    </w:tbl>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Two applications are before the court:</w:t>
      </w:r>
      <w:r>
        <w:rPr>
          <w:rFonts w:ascii="arial" w:eastAsia="arial" w:hAnsi="arial" w:cs="arial"/>
          <w:sz w:val="20"/>
          <w:lang w:val="en-US" w:eastAsia="en-US" w:bidi="ar-SA"/>
        </w:rPr>
        <w:cr/>
      </w:r>
    </w:p>
    <w:p>
      <w:pPr>
        <w:numPr>
          <w:numId w:val="8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defendants seek a declaration that the writ of summons issued in this proceeding is a nullity;</w:t>
      </w:r>
    </w:p>
    <w:p>
      <w:pPr>
        <w:numPr>
          <w:numId w:val="8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plaintiffs seek judgment pursuant to Rule 18A on an issue raised in the pleadings, specifically whether land on which the Perry Ridge Forest Service Road is located was in fact acquired by the Provincial Crown in 1984, and whether it was land upon which the plaintiff was entitled to construct a road.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For obvious reasons, I will deal with the nullity issue first.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The Writ of Summons issued on July 23, 1997 was filed along with a detailed statement of claim. The Writ bears the names and addresses of the plaintiffs and moves straight from there to the office address of the plaintiffs' solicitor and to the following endorsement: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Plaintiff's claim is for:</w:t>
      </w:r>
    </w:p>
    <w:p>
      <w:pPr>
        <w:numPr>
          <w:numId w:val="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 declaration that the activities of the Defendants, in obstructing and otherwise hindering and impeding surveying and road building activities which were to commence on July 14, 1997 on Crown land located on the south side of the Little Slocan Forest Service Road, at a point between kilometre 6 and 7 (approximately 5 kilometres south-west of the village of Slocan, B.C.) constitutes a public nuisance and a trespass to land;</w:t>
      </w:r>
    </w:p>
    <w:p>
      <w:pPr>
        <w:numPr>
          <w:numId w:val="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An interlocutory injunction to restrain the Defendants, and others, from obstructing and otherwise interfering with the surveying and road building activities of the Ministry of Forests and its contractors which activities are to take place entirely upon land owned by the Provincial Crown;</w:t>
      </w:r>
    </w:p>
    <w:p>
      <w:pPr>
        <w:numPr>
          <w:numId w:val="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 permanent injunction restraining the Defendants, and others, from obstructing and otherwise hindering and impeding surveying and road building activities;</w:t>
      </w:r>
    </w:p>
    <w:p>
      <w:pPr>
        <w:numPr>
          <w:numId w:val="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Damages for trespass and/or public nuisance;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Plaintiff's claim arises from the activities of the Defendants, which activities commenced at approximately 6 a.m. on July 14, 1997, and continue as of the time of the filing of this Writ. The Plaintiffs also claim their costs of this action, pre-judgment interest, and such further and other relief as to this Honourable Court may seem just.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The whole mid-section of the form of writ of summons prescribed by the Rules of Court is missing, including all of the following:</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(Name and address of each defendant)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ELIZABETH THE SECOND, by the Grace of God, of the United Kingdom Canada and Her other Realms and Territories, Queen, Head of the Commonwealth, Defender of the Faith.</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To the defendant(s):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TAKE NOTICE that this action has be commenced against you by the plaintiff(s) for the claim(s) set out in this writ.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IF YOU INTEND TO DEFEND this action, or if you have a set off or counterclaim that you wish to have taken into account at the trial, YOU MUST</w:t>
      </w:r>
    </w:p>
    <w:p>
      <w:pPr>
        <w:numPr>
          <w:numId w:val="3"/>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GIVE NOTICE of your intention by filing a form entitled "Appearance" in the above registry of this court, at the address shown below, within the Time for Appearance provided for below and YOU MUST ALSO DELIVER a copy of the Appearance to the plaintiff's address for delivery, which is set out in this writ, and</w:t>
      </w:r>
    </w:p>
    <w:p>
      <w:pPr>
        <w:numPr>
          <w:numId w:val="3"/>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if a statement of claim is provided with this writ of summon or is later served on or delivered to you, FILE a Statement of Defence in the above registry of this court within the Time for Defence provided for below and DELIVER a copy of the Statement of Defence to the plaintiff's address for delivery.</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YOU OR YOUR SOLICITOR may file the Appearance and the Statement of Defence. You may obtain a form of Appearance at the registry.</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JUDGMENT MAY BE TAKEN AGAINST YOU IF</w:t>
      </w:r>
    </w:p>
    <w:p>
      <w:pPr>
        <w:numPr>
          <w:numId w:val="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YOU FAIL to file the Appearance within the Time for Appearance provided for below, or</w:t>
      </w:r>
    </w:p>
    <w:p>
      <w:pPr>
        <w:numPr>
          <w:numId w:val="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YOU FAIL to file the Statement of Defence within the Time for Defence provided for below.</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TIME FOR APPEARANCE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If this writ is served on a person in British Columbia, the time for appearance by that person is 7 days form the service (not including the day of service).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If this writ is served on a person outside British Columbia, the time for appearance by that person after service, is 21 days in the case of a person residing anywhere within Canada, 28 days in the case of a person residing in the United States of America, and 42 days in the case of a person residing elsewhere.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[or, if the time for appearance has been set by order of the court, within that time.]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TIME FOR DEFENCE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 Statement of defence must be filed and delivered to the plaintiff within 14 days after the later of</w:t>
      </w:r>
    </w:p>
    <w:p>
      <w:pPr>
        <w:numPr>
          <w:numId w:val="5"/>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 time that the Statement of Claim is served on you (whether with this writ of summons or otherwise) or is delivered to you in accordance with the Rules of Court, and</w:t>
      </w:r>
    </w:p>
    <w:p>
      <w:pPr>
        <w:numPr>
          <w:numId w:val="5"/>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 end of the Time for Appearance provided for above.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[or, if the time for defence has been set by order of the court, within that time.]</w:t>
      </w:r>
    </w:p>
    <w:p>
      <w:pPr>
        <w:numPr>
          <w:numId w:val="6"/>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The address of the registry is:</w:t>
      </w:r>
    </w:p>
    <w:p>
      <w:pPr>
        <w:numPr>
          <w:numId w:val="6"/>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The plaintiff's ADDRESS FOR DELIVERY is:</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Fax number for delivery (if any):</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[from Form 1]</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xml:space="preserve">  Despite the fact that the writ was not properly served, certain of the persons affected by the action instructed a solicitor to enter an Appearance. A Statement of Defence and Counter-Claim was entered on March 2, 1998. It sought dismissal of the plaintiffs' claim and various forms of declaratory relief and damages in nuisance and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and for breach of trust.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In the meantime this court, per Mr. Justice Parrett, had been persuaded, on the plaintiffs' motion, to issue an interlocutory injunction restraining the defendants and "any other person to whose notice [the] order may come" from "molesting, obstructing, or in any other way physically interfering with activities on the subject road", on certain conditions.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Notwithstanding the Order, there were protests, and an enforcement order issued August 1, 1997. Thereafter, in a series of hearings, a number of "persons to whose notice" the order had come were punished by way of contempt proceedings for defying the court order.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On November 14, 1997, Mr. Justice Parrett was persuaded to set aside the injunction on the basis that the court had been misled by omissions in the materials originally put before him.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There has been no other significant progress in this litigation until these motions.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The defendants acknowledge that the defect in the writ has come late to their attention. They nevertheless submit that the writ is incurable and that the actions should be struck out.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The defendants' argument is grounded on the definition of a Writ of Summons: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"WRIT OF SUMMONS - A writ issued by a court in order to compel the defendant to appear if he wishes to reply to the charge made against him; a basic method for commencing court proceedings n civil matters. "A writ of summons is a document which issues out of the court in the Queen's name, containing a brief statement of the plaintiff's claim against the defendant. It is addressed t the defendant and commands him to appear within a specified time and warns that in default the plaintiff may obtain a judgment" G. Watson &amp; N. Williams, Canadian Civil Procedure 4-2 (2d ed. 1977).</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In the Oxford Companion to the Law, Walker, 1980, p. 1309 a Writ is said to consist of three parts: The Body; The Memoranda; and The Endorsements. The Body is the title, the reference number, the name of the court and the parties, and includes the summons to appear. It also includes the date and place of issue. The Memoranda includes such matters as a notice of time for service, place of service, time for entry of an appearance and the plaintiffs' and solicitor's address for same. The Endorsement is, of course, the summary of the claim.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The Writ issued in this case is missing the names and addresses of the defendants, the invocation of the sovereign and the memoranda.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The defendants cite, among others, the following propositions: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"All lawful Jurisdiction is derived from and must be traced to Royal Authority" London Corpn. v. Cox [1867] L.R. 2 H.L. 239</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root principle of the English law about Jurisdiction is that the judges stand in the place of the Sovereign in whose name they administer justice." John Russell &amp; Co. v. Coyzer et al [1916] 2 A.C. 298</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"Since the title of Her Majesty has been determined and proclaimed it should be followed carefully" St. Johns Motors v. Martin </w:t>
      </w:r>
      <w:hyperlink r:id="rId282" w:history="1">
        <w:r>
          <w:rPr>
            <w:rFonts w:ascii="arial" w:eastAsia="arial" w:hAnsi="arial" w:cs="arial"/>
            <w:i/>
            <w:color w:val="0077CC"/>
            <w:sz w:val="20"/>
            <w:u w:val="single"/>
            <w:shd w:val="clear" w:color="auto" w:fill="FFFFFF"/>
            <w:lang w:val="en-US" w:eastAsia="en-US" w:bidi="ar-SA"/>
          </w:rPr>
          <w:t>(1957), 8 D.L.R. (2d) p. 53</w:t>
        </w:r>
      </w:hyperlink>
      <w:r>
        <w:rPr>
          <w:rFonts w:ascii="arial" w:eastAsia="arial" w:hAnsi="arial" w:cs="arial"/>
          <w:color w:val="000000"/>
          <w:sz w:val="20"/>
          <w:lang w:val="en-US" w:eastAsia="en-US" w:bidi="ar-SA"/>
        </w:rPr>
        <w:t xml:space="preserve"> S.J. Co. Court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"Form 1 is a printed form. By its content, the greetings to the defendant, or defendants, come from Her Majesty the Queen. It is not the plaintiff who gives notice of suit to the defendant but rather Her Majesty the Queen." Saxton vs. Christie et al, </w:t>
      </w:r>
      <w:hyperlink r:id="rId283" w:history="1">
        <w:r>
          <w:rPr>
            <w:rFonts w:ascii="arial" w:eastAsia="arial" w:hAnsi="arial" w:cs="arial"/>
            <w:i/>
            <w:color w:val="0077CC"/>
            <w:sz w:val="20"/>
            <w:u w:val="single"/>
            <w:shd w:val="clear" w:color="auto" w:fill="FFFFFF"/>
            <w:lang w:val="en-US" w:eastAsia="en-US" w:bidi="ar-SA"/>
          </w:rPr>
          <w:t>[1997] B.C.J. No. 842</w:t>
        </w:r>
      </w:hyperlink>
      <w:r>
        <w:rPr>
          <w:rFonts w:ascii="arial" w:eastAsia="arial" w:hAnsi="arial" w:cs="arial"/>
          <w:color w:val="000000"/>
          <w:sz w:val="20"/>
          <w:lang w:val="en-US" w:eastAsia="en-US" w:bidi="ar-SA"/>
        </w:rPr>
        <w:t>, C840186 Vancouver B.C.S.C. (1997)</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w:t>
      </w:r>
      <w:r>
        <w:rPr>
          <w:rFonts w:ascii="arial" w:eastAsia="arial" w:hAnsi="arial" w:cs="arial"/>
          <w:color w:val="000000"/>
          <w:sz w:val="20"/>
          <w:lang w:val="en-US" w:eastAsia="en-US" w:bidi="ar-SA"/>
        </w:rPr>
        <w:t>  The defendants also cite a passage from Blackstone, Commentaries on the Law of England, 1989 at p. 1244 to the following effect: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King's writ was a "mandatory letter from the king, in</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 parchment, sealed with his great seal...." and "that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 there should be no proceedings in common pleas before the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 king's justices without his original writ: because they</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 held it unfit that those justices, being only the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 substitutes of the crown, should take cognizance of</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 anything but what was thus expressly referred to their</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 judgment". (Page 1244)</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 Commentaries on the Laws of England, Sir William</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 Blackstone 1998</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w:t>
      </w:r>
      <w:r>
        <w:rPr>
          <w:rFonts w:ascii="arial" w:eastAsia="arial" w:hAnsi="arial" w:cs="arial"/>
          <w:color w:val="000000"/>
          <w:sz w:val="20"/>
          <w:lang w:val="en-US" w:eastAsia="en-US" w:bidi="ar-SA"/>
        </w:rPr>
        <w:t>  They submit, on the basis of these authorities, that the Royal Command is the foundation of the court's jurisdiction and that without it the Writ is null.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w:t>
      </w:r>
      <w:r>
        <w:rPr>
          <w:rFonts w:ascii="arial" w:eastAsia="arial" w:hAnsi="arial" w:cs="arial"/>
          <w:color w:val="000000"/>
          <w:sz w:val="20"/>
          <w:lang w:val="en-US" w:eastAsia="en-US" w:bidi="ar-SA"/>
        </w:rPr>
        <w:t>  The plaintiff's response to this argument is that the jurisdiction of the court in Canada comes from the Constitution and that: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 . . The argument of the Defendants would return us to the period prior to responsible government. While as a matter of legal history jurisdiction to dispense justice in the royal courts can be traced to the Sovereign, that historical exercise of Crown prerogative authority has been overtaken by the Constitution Act, 1867, conferring jurisdiction over the administration of justice to the provincial legislature (s. 92(14)). The Legislature has exercised that constitutional authority by enacting Supreme Court Act, </w:t>
      </w:r>
      <w:r>
        <w:rPr>
          <w:rFonts w:ascii="arial" w:eastAsia="arial" w:hAnsi="arial" w:cs="arial"/>
          <w:i/>
          <w:color w:val="000000"/>
          <w:sz w:val="20"/>
          <w:lang w:val="en-US" w:eastAsia="en-US" w:bidi="ar-SA"/>
        </w:rPr>
        <w:t>R.S.B.C. 1996 c. 443</w:t>
      </w:r>
      <w:r>
        <w:rPr>
          <w:rFonts w:ascii="arial" w:eastAsia="arial" w:hAnsi="arial" w:cs="arial"/>
          <w:color w:val="000000"/>
          <w:sz w:val="20"/>
          <w:lang w:val="en-US" w:eastAsia="en-US" w:bidi="ar-SA"/>
        </w:rPr>
        <w:t xml:space="preserve">, the Court Rules Act, </w:t>
      </w:r>
      <w:r>
        <w:rPr>
          <w:rFonts w:ascii="arial" w:eastAsia="arial" w:hAnsi="arial" w:cs="arial"/>
          <w:i/>
          <w:color w:val="000000"/>
          <w:sz w:val="20"/>
          <w:lang w:val="en-US" w:eastAsia="en-US" w:bidi="ar-SA"/>
        </w:rPr>
        <w:t>R.S.B.C. 1996, c. 80</w:t>
      </w:r>
      <w:r>
        <w:rPr>
          <w:rFonts w:ascii="arial" w:eastAsia="arial" w:hAnsi="arial" w:cs="arial"/>
          <w:color w:val="000000"/>
          <w:sz w:val="20"/>
          <w:lang w:val="en-US" w:eastAsia="en-US" w:bidi="ar-SA"/>
        </w:rPr>
        <w:t xml:space="preserve">, and pursuant to that Act, the Rules of Court, </w:t>
      </w:r>
      <w:r>
        <w:rPr>
          <w:rFonts w:ascii="arial" w:eastAsia="arial" w:hAnsi="arial" w:cs="arial"/>
          <w:i/>
          <w:color w:val="000000"/>
          <w:sz w:val="20"/>
          <w:lang w:val="en-US" w:eastAsia="en-US" w:bidi="ar-SA"/>
        </w:rPr>
        <w:t>B.C. Reg. 221/90</w:t>
      </w:r>
      <w:r>
        <w:rPr>
          <w:rFonts w:ascii="arial" w:eastAsia="arial" w:hAnsi="arial" w:cs="arial"/>
          <w:color w:val="000000"/>
          <w:sz w:val="20"/>
          <w:lang w:val="en-US" w:eastAsia="en-US" w:bidi="ar-SA"/>
        </w:rPr>
        <w:t>. Pursuant to these Acts and Rules it is no longer necessary to invoke the authority of the Sovereign in order to confer jurisdiction on the Supreme Court of British Columbia.</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 . The Supreme Court Act continues the Supreme Court of British Columbia (s. 2(1)) and the court, "...continues to be a court of original jurisdiction and has jurisdiction in all cases, civil and criminal, arising in British Columbia", (s. 9(1)). This Act does not require the invocation of Sovereign authority to confer jurisdiction on the Supreme Court. Indeed, the Legislature's express continuation of the Supreme Court as a court of original jurisdiction with jurisdiction over all cases has effectively abolished or overtaken any previously existing Crown prerogative authority with respect to dispensing justice in the Province, and has replaced it with constitutional statutory authority. The source of the authority is the Constitution and the Legislature, not the Sovereign.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w:t>
      </w:r>
      <w:r>
        <w:rPr>
          <w:rFonts w:ascii="arial" w:eastAsia="arial" w:hAnsi="arial" w:cs="arial"/>
          <w:color w:val="000000"/>
          <w:sz w:val="20"/>
          <w:lang w:val="en-US" w:eastAsia="en-US" w:bidi="ar-SA"/>
        </w:rPr>
        <w:t>  Having reviewed the authorities cited by the defendants, I do not think the Royal Command is, in any case, the foundation of the court's jurisdiction. I think a Writ emanating from the Registry is the basis of the court's jurisdiction, and that the invocation of the sovereign is essentially descriptive of the authority under which the writ is issued. Failure to include the Royal Command does not render the writ null and void for lack of jurisdiction, although it is irregular in that it fails to describe the authority under which the writ is issued in terms of the form prescribed in the Rules of Court.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w:t>
      </w:r>
      <w:r>
        <w:rPr>
          <w:rFonts w:ascii="arial" w:eastAsia="arial" w:hAnsi="arial" w:cs="arial"/>
          <w:color w:val="000000"/>
          <w:sz w:val="20"/>
          <w:lang w:val="en-US" w:eastAsia="en-US" w:bidi="ar-SA"/>
        </w:rPr>
        <w:t>  The rules include Rule 2:</w:t>
      </w:r>
      <w:r>
        <w:rPr>
          <w:rFonts w:ascii="arial" w:eastAsia="arial" w:hAnsi="arial" w:cs="arial"/>
          <w:sz w:val="20"/>
          <w:lang w:val="en-US" w:eastAsia="en-US" w:bidi="ar-SA"/>
        </w:rPr>
        <w:cr/>
      </w:r>
    </w:p>
    <w:p>
      <w:pPr>
        <w:numPr>
          <w:numId w:val="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Unless the court otherwise orders, a failure to comply with these rules shall be treated as a irregularity and does not nullify a proceeding, a step taken or any document or order made in the proceeding.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w:t>
      </w:r>
      <w:r>
        <w:rPr>
          <w:rFonts w:ascii="arial" w:eastAsia="arial" w:hAnsi="arial" w:cs="arial"/>
          <w:color w:val="000000"/>
          <w:sz w:val="20"/>
          <w:lang w:val="en-US" w:eastAsia="en-US" w:bidi="ar-SA"/>
        </w:rPr>
        <w:t xml:space="preserve">  The Rules provide an illustration that negates the defendant's position. A Petition to the Court is a form of procedure by which injunctive relief can be obtained (see: Great Canadian Casino Co. v. Surrey (City) </w:t>
      </w:r>
      <w:hyperlink r:id="rId284" w:history="1">
        <w:r>
          <w:rPr>
            <w:rFonts w:ascii="arial" w:eastAsia="arial" w:hAnsi="arial" w:cs="arial"/>
            <w:i/>
            <w:color w:val="0077CC"/>
            <w:sz w:val="20"/>
            <w:u w:val="single"/>
            <w:shd w:val="clear" w:color="auto" w:fill="FFFFFF"/>
            <w:lang w:val="en-US" w:eastAsia="en-US" w:bidi="ar-SA"/>
          </w:rPr>
          <w:t>(1998), 45 M.P.L.R. (2d) 261</w:t>
        </w:r>
      </w:hyperlink>
      <w:r>
        <w:rPr>
          <w:rFonts w:ascii="arial" w:eastAsia="arial" w:hAnsi="arial" w:cs="arial"/>
          <w:color w:val="000000"/>
          <w:sz w:val="20"/>
          <w:lang w:val="en-US" w:eastAsia="en-US" w:bidi="ar-SA"/>
        </w:rPr>
        <w:t xml:space="preserve"> (B.C.S.C.)). It does not invoke the sovereign (see Form 3). A proceeding incorrectly commenced by a Petition may be converted into an action under the Rules (see Temple Sholom v. I.C.B.C. </w:t>
      </w:r>
      <w:hyperlink r:id="rId285" w:history="1">
        <w:r>
          <w:rPr>
            <w:rFonts w:ascii="arial" w:eastAsia="arial" w:hAnsi="arial" w:cs="arial"/>
            <w:i/>
            <w:color w:val="0077CC"/>
            <w:sz w:val="20"/>
            <w:u w:val="single"/>
            <w:shd w:val="clear" w:color="auto" w:fill="FFFFFF"/>
            <w:lang w:val="en-US" w:eastAsia="en-US" w:bidi="ar-SA"/>
          </w:rPr>
          <w:t>(1986), 8 B.C.L.R. (2d) 130</w:t>
        </w:r>
      </w:hyperlink>
      <w:r>
        <w:rPr>
          <w:rFonts w:ascii="arial" w:eastAsia="arial" w:hAnsi="arial" w:cs="arial"/>
          <w:color w:val="000000"/>
          <w:sz w:val="20"/>
          <w:lang w:val="en-US" w:eastAsia="en-US" w:bidi="ar-SA"/>
        </w:rPr>
        <w:t xml:space="preserve"> (C.A.). When this happens, in practice, no Writ is ever issued, but the jurisdiction of the court is not affected. This would not be possible if, as the defendants assert, the invocation of the sovereign is a jurisdictional prerequisite. The Writ is not, by reasons of that omission, a nullity.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w:t>
      </w:r>
      <w:r>
        <w:rPr>
          <w:rFonts w:ascii="arial" w:eastAsia="arial" w:hAnsi="arial" w:cs="arial"/>
          <w:color w:val="000000"/>
          <w:sz w:val="20"/>
          <w:lang w:val="en-US" w:eastAsia="en-US" w:bidi="ar-SA"/>
        </w:rPr>
        <w:t xml:space="preserve">  The question remains whether, apart from that defect, the writ is otherwise so insufficient as to be a nullity. The starting point for such considerations in British Columbia is, I think, International Forest Products Ltd. v. Moody </w:t>
      </w:r>
      <w:hyperlink r:id="rId286" w:history="1">
        <w:r>
          <w:rPr>
            <w:rFonts w:ascii="arial" w:eastAsia="arial" w:hAnsi="arial" w:cs="arial"/>
            <w:i/>
            <w:color w:val="0077CC"/>
            <w:sz w:val="20"/>
            <w:u w:val="single"/>
            <w:shd w:val="clear" w:color="auto" w:fill="FFFFFF"/>
            <w:lang w:val="en-US" w:eastAsia="en-US" w:bidi="ar-SA"/>
          </w:rPr>
          <w:t>(1997), 36 B.C.L.R. (3d) 257</w:t>
        </w:r>
      </w:hyperlink>
      <w:r>
        <w:rPr>
          <w:rFonts w:ascii="arial" w:eastAsia="arial" w:hAnsi="arial" w:cs="arial"/>
          <w:color w:val="000000"/>
          <w:sz w:val="20"/>
          <w:lang w:val="en-US" w:eastAsia="en-US" w:bidi="ar-SA"/>
        </w:rPr>
        <w:t xml:space="preserve"> (C.A.). There, McEachern, C.J.B.C., quoted Mussell v. Cronhelm, </w:t>
      </w:r>
      <w:hyperlink r:id="rId287" w:history="1">
        <w:r>
          <w:rPr>
            <w:rFonts w:ascii="arial" w:eastAsia="arial" w:hAnsi="arial" w:cs="arial"/>
            <w:i/>
            <w:color w:val="0077CC"/>
            <w:sz w:val="20"/>
            <w:u w:val="single"/>
            <w:shd w:val="clear" w:color="auto" w:fill="FFFFFF"/>
            <w:lang w:val="en-US" w:eastAsia="en-US" w:bidi="ar-SA"/>
          </w:rPr>
          <w:t>(1994), 87 B.C.L.R. (2d) 197</w:t>
        </w:r>
      </w:hyperlink>
      <w:r>
        <w:rPr>
          <w:rFonts w:ascii="arial" w:eastAsia="arial" w:hAnsi="arial" w:cs="arial"/>
          <w:color w:val="000000"/>
          <w:sz w:val="20"/>
          <w:lang w:val="en-US" w:eastAsia="en-US" w:bidi="ar-SA"/>
        </w:rPr>
        <w:t xml:space="preserve"> (C.A.) quoting Lord Denning in Harkness v. Bell's Asbestos and Engineering Ltd., [1996] 3 All E.R. 843 at 845-6, respecting the English rule analogous to Rule 2:</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This new rule does away with the old distinction between nullities and irregularities. Every omission or mistake in practice or procedure is henceforward to be regarded as an irregularity which the court can and should rectify so long as it can do so without injustice. It can at last be asserted that</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"it is not possible... for an honest litigant in Her Majesty's Supreme Court to be defeated by any mere technicality, any slip, any mistaken step in his litigation."</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That could not be said in 1963; see Re Pritchard (decd.) [[1963] All ER 873 at 879, [1963] Ch. 505 at 518]; but it can be in 1966. The new rule does it.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w:t>
      </w:r>
      <w:r>
        <w:rPr>
          <w:rFonts w:ascii="arial" w:eastAsia="arial" w:hAnsi="arial" w:cs="arial"/>
          <w:color w:val="000000"/>
          <w:sz w:val="20"/>
          <w:lang w:val="en-US" w:eastAsia="en-US" w:bidi="ar-SA"/>
        </w:rPr>
        <w:t>  Here the Writ is seriously defective. I am not called upon to address whether a valid objection might have been taken to it before the defendants had taken any steps in the proceeding. The fact is, however, that the defendants filed an Appearance and have since taken an active role in this proceeding. There is no demonstrated confusion or prejudice arising from the deficiencies in the writ as such. On the authority of International Forest Products Ltd. v. Moody (supra) I am of the view that the writ is irregular but not a nullity, and may be cured by amendment.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w:t>
      </w:r>
      <w:r>
        <w:rPr>
          <w:rFonts w:ascii="arial" w:eastAsia="arial" w:hAnsi="arial" w:cs="arial"/>
          <w:color w:val="000000"/>
          <w:sz w:val="20"/>
          <w:lang w:val="en-US" w:eastAsia="en-US" w:bidi="ar-SA"/>
        </w:rPr>
        <w:t xml:space="preserve">  In appropriate circumstances, the court can treat an irregularity as waived (see: Cook v. K &amp; H Holdings Ltd, </w:t>
      </w:r>
      <w:hyperlink r:id="rId288" w:history="1">
        <w:r>
          <w:rPr>
            <w:rFonts w:ascii="arial" w:eastAsia="arial" w:hAnsi="arial" w:cs="arial"/>
            <w:i/>
            <w:color w:val="0077CC"/>
            <w:sz w:val="20"/>
            <w:u w:val="single"/>
            <w:shd w:val="clear" w:color="auto" w:fill="FFFFFF"/>
            <w:lang w:val="en-US" w:eastAsia="en-US" w:bidi="ar-SA"/>
          </w:rPr>
          <w:t>[1991] B.C.J. No. 946</w:t>
        </w:r>
      </w:hyperlink>
      <w:r>
        <w:rPr>
          <w:rFonts w:ascii="arial" w:eastAsia="arial" w:hAnsi="arial" w:cs="arial"/>
          <w:color w:val="000000"/>
          <w:sz w:val="20"/>
          <w:lang w:val="en-US" w:eastAsia="en-US" w:bidi="ar-SA"/>
        </w:rPr>
        <w:t>, [1991] B.C.W.L.D. 1287 (C.A.).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w:t>
      </w:r>
      <w:r>
        <w:rPr>
          <w:rFonts w:ascii="arial" w:eastAsia="arial" w:hAnsi="arial" w:cs="arial"/>
          <w:color w:val="000000"/>
          <w:sz w:val="20"/>
          <w:lang w:val="en-US" w:eastAsia="en-US" w:bidi="ar-SA"/>
        </w:rPr>
        <w:t>  Here, there is no suggestion that tactical reasons are behind the delay in bringing objection to the form of the writ, and it is clear that until the defect came to the defendants' attention they regarded the action as valid. In the circumstances I see no utility in ordering an amendment, the defect having in effect been waived, although counsel shall be at liberty to amend within 30 days of this order should they deem it appropriate to do so.</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w:t>
      </w:r>
      <w:r>
        <w:rPr>
          <w:rFonts w:ascii="arial" w:eastAsia="arial" w:hAnsi="arial" w:cs="arial"/>
          <w:color w:val="000000"/>
          <w:sz w:val="20"/>
          <w:lang w:val="en-US" w:eastAsia="en-US" w:bidi="ar-SA"/>
        </w:rPr>
        <w:t>  I now turn to the second issue.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w:t>
      </w:r>
      <w:r>
        <w:rPr>
          <w:rFonts w:ascii="arial" w:eastAsia="arial" w:hAnsi="arial" w:cs="arial"/>
          <w:color w:val="000000"/>
          <w:sz w:val="20"/>
          <w:lang w:val="en-US" w:eastAsia="en-US" w:bidi="ar-SA"/>
        </w:rPr>
        <w:t>  The plaintiff seeks a declaration on an issue raised in the pleadings, specifically whether it acquired the land on which the Perry Ridge Forest Service road is located in 1984 and had the right to carry out the road building that it commenced in July 1997.</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w:t>
      </w:r>
      <w:r>
        <w:rPr>
          <w:rFonts w:ascii="arial" w:eastAsia="arial" w:hAnsi="arial" w:cs="arial"/>
          <w:color w:val="000000"/>
          <w:sz w:val="20"/>
          <w:lang w:val="en-US" w:eastAsia="en-US" w:bidi="ar-SA"/>
        </w:rPr>
        <w:t>  The Provincial Crown owns the subject lands at the present time. A legal survey filed in 1998 establishes this. Before 1998 there was no survey, and there was an error in previous boundary line descriptions which meant that drawings of the road the Provincial Crown purported to take in 1984 incorrectly located it on maps tied in to the mis-described boundary line.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w:t>
      </w:r>
      <w:r>
        <w:rPr>
          <w:rFonts w:ascii="arial" w:eastAsia="arial" w:hAnsi="arial" w:cs="arial"/>
          <w:color w:val="000000"/>
          <w:sz w:val="20"/>
          <w:lang w:val="en-US" w:eastAsia="en-US" w:bidi="ar-SA"/>
        </w:rPr>
        <w:t>  The defendants' pleadings raise an issue as to whether the Crown acquired any interest in the land prior to the 1998 survey, or whether, because of the error in description, it acquired land other than where the road was actually placed "on the ground".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w:t>
      </w:r>
      <w:r>
        <w:rPr>
          <w:rFonts w:ascii="arial" w:eastAsia="arial" w:hAnsi="arial" w:cs="arial"/>
          <w:color w:val="000000"/>
          <w:sz w:val="20"/>
          <w:lang w:val="en-US" w:eastAsia="en-US" w:bidi="ar-SA"/>
        </w:rPr>
        <w:t>  The plaintiffs break this down into three issues:</w:t>
      </w:r>
      <w:r>
        <w:rPr>
          <w:rFonts w:ascii="arial" w:eastAsia="arial" w:hAnsi="arial" w:cs="arial"/>
          <w:sz w:val="20"/>
          <w:lang w:val="en-US" w:eastAsia="en-US" w:bidi="ar-SA"/>
        </w:rPr>
        <w:cr/>
      </w:r>
    </w:p>
    <w:p>
      <w:pPr>
        <w:numPr>
          <w:numId w:val="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whether the legal character of the taking of land in 1984 amounts to ownership sufficient to support construction of a road without further formalities.</w:t>
      </w:r>
    </w:p>
    <w:p>
      <w:pPr>
        <w:numPr>
          <w:numId w:val="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whether the land that was acquired in 1984 for the Perry Ridge Forest Service Road was the same land where road constructions occurred in 1997; and</w:t>
      </w:r>
    </w:p>
    <w:p>
      <w:pPr>
        <w:numPr>
          <w:numId w:val="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whether there is any legal significance to the fact that the road construction commenced before the legal survey was registered in the Land Title Office.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w:t>
      </w:r>
      <w:r>
        <w:rPr>
          <w:rFonts w:ascii="arial" w:eastAsia="arial" w:hAnsi="arial" w:cs="arial"/>
          <w:color w:val="000000"/>
          <w:sz w:val="20"/>
          <w:lang w:val="en-US" w:eastAsia="en-US" w:bidi="ar-SA"/>
        </w:rPr>
        <w:t>  The first issue involves a consideration of the nature of the Crown's right to take private land for forest service roads in 1984, when the Crown purported to do so in respect of the Perry Ridge Forest Service Road. The authority at the time was the Forest Act, s. 102(1)(b):</w:t>
      </w:r>
      <w:r>
        <w:rPr>
          <w:rFonts w:ascii="arial" w:eastAsia="arial" w:hAnsi="arial" w:cs="arial"/>
          <w:sz w:val="20"/>
          <w:lang w:val="en-US" w:eastAsia="en-US" w:bidi="ar-SA"/>
        </w:rPr>
        <w:cr/>
      </w:r>
    </w:p>
    <w:p>
      <w:pPr>
        <w:numPr>
          <w:numId w:val="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Minister may, for the purpose of providing access to timber or for any other purpose consistent with this Act.</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 . .</w:t>
      </w:r>
    </w:p>
    <w:p>
      <w:pPr>
        <w:numPr>
          <w:numId w:val="10"/>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u w:val="single"/>
          <w:lang w:val="en-US" w:eastAsia="en-US" w:bidi="ar-SA"/>
        </w:rPr>
        <w:t>enter on and take possession</w:t>
      </w:r>
      <w:r>
        <w:rPr>
          <w:rFonts w:ascii="arial" w:eastAsia="arial" w:hAnsi="arial" w:cs="arial"/>
          <w:color w:val="000000"/>
          <w:sz w:val="20"/>
          <w:lang w:val="en-US" w:eastAsia="en-US" w:bidi="ar-SA"/>
        </w:rPr>
        <w:t xml:space="preserve"> of private land, and of roads and trails on private land . . .</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9410"/>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9216"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[emphasis added]</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31</w:t>
      </w:r>
      <w:r>
        <w:rPr>
          <w:rFonts w:ascii="arial" w:eastAsia="arial" w:hAnsi="arial" w:cs="arial"/>
          <w:color w:val="000000"/>
          <w:sz w:val="20"/>
          <w:lang w:val="en-US" w:eastAsia="en-US" w:bidi="ar-SA"/>
        </w:rPr>
        <w:t>  Pursuant to this power it was the practice of the Ministry to enter on the land and take possession followed by publication of a notice in the B.C. Gazette. Compensation was paid for takings of more than 5% of a landowner's land. Legal surveys were sometimes, but not always, performed when time permitted, although there is no statutory requirement for such a survey.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w:t>
      </w:r>
      <w:r>
        <w:rPr>
          <w:rFonts w:ascii="arial" w:eastAsia="arial" w:hAnsi="arial" w:cs="arial"/>
          <w:color w:val="000000"/>
          <w:sz w:val="20"/>
          <w:lang w:val="en-US" w:eastAsia="en-US" w:bidi="ar-SA"/>
        </w:rPr>
        <w:t>  The defendants submit that the authority granted to the Minister in section 102 "to enter on and take possession of private land . . ." is not supported elsewhere in the Legislation by any obvious mechanism transferring title or ownership. They point out that the earlier legislation setting out the Minister's power to "enter and take possession" (section 147 of the previous Forest Act (R.S.B.C. 1960 c. 153)), incorporated by reference section 9 of the Highway Act (R.S.B.C. 1960, c. 172) to the following effect: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9. The entry by the Minister, his agents, servants, or workmen, as in section 8 mentioned, for the purpose of taking possession of any roads or lands operates as a complete extinguishment of every title and claim to the roads or lands so entered upon and taken possession of. R.S. 1948, c. 144, s. 9.</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w:t>
      </w:r>
      <w:r>
        <w:rPr>
          <w:rFonts w:ascii="arial" w:eastAsia="arial" w:hAnsi="arial" w:cs="arial"/>
          <w:color w:val="000000"/>
          <w:sz w:val="20"/>
          <w:lang w:val="en-US" w:eastAsia="en-US" w:bidi="ar-SA"/>
        </w:rPr>
        <w:t>  The section was not incorporated into the Forest Act that followed (S.B.C. 1978, c. 23), from which s. 102 is taken. The defendants submit, on the principles of statutory interpretation, that the omission justifies an inference that the legislature must have intended s. 102 to authorize the taking of something less than the previous statute permitted. They further argue - with reference to 1971 Law Reform Commission reports that suggested procedural reform in the registration and notice practices associated with such interests -- that s. 102 should be viewed as transitional to the subsequent Expropriation Act and as incapable of vesting title or ownership in the Crown.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34</w:t>
      </w:r>
      <w:r>
        <w:rPr>
          <w:rFonts w:ascii="arial" w:eastAsia="arial" w:hAnsi="arial" w:cs="arial"/>
          <w:color w:val="000000"/>
          <w:sz w:val="20"/>
          <w:lang w:val="en-US" w:eastAsia="en-US" w:bidi="ar-SA"/>
        </w:rPr>
        <w:t>  I do not think this is right, whether or not "ownership" or "fee simple" are precisely the correct words to use for the interest acquired.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35</w:t>
      </w:r>
      <w:r>
        <w:rPr>
          <w:rFonts w:ascii="arial" w:eastAsia="arial" w:hAnsi="arial" w:cs="arial"/>
          <w:color w:val="000000"/>
          <w:sz w:val="20"/>
          <w:lang w:val="en-US" w:eastAsia="en-US" w:bidi="ar-SA"/>
        </w:rPr>
        <w:t xml:space="preserve">  I am satisfied on the authorities that the right of the Crown to "enter and take possession" is a right of expropriation (see eg: Hougen v. Minister of Highways </w:t>
      </w:r>
      <w:hyperlink r:id="rId289" w:history="1">
        <w:r>
          <w:rPr>
            <w:rFonts w:ascii="arial" w:eastAsia="arial" w:hAnsi="arial" w:cs="arial"/>
            <w:i/>
            <w:color w:val="0077CC"/>
            <w:sz w:val="20"/>
            <w:u w:val="single"/>
            <w:shd w:val="clear" w:color="auto" w:fill="FFFFFF"/>
            <w:lang w:val="en-US" w:eastAsia="en-US" w:bidi="ar-SA"/>
          </w:rPr>
          <w:t>(1984), 13 D.L.R. (4th) 106</w:t>
        </w:r>
      </w:hyperlink>
      <w:r>
        <w:rPr>
          <w:rFonts w:ascii="arial" w:eastAsia="arial" w:hAnsi="arial" w:cs="arial"/>
          <w:color w:val="000000"/>
          <w:sz w:val="20"/>
          <w:lang w:val="en-US" w:eastAsia="en-US" w:bidi="ar-SA"/>
        </w:rPr>
        <w:t xml:space="preserve">, </w:t>
      </w:r>
      <w:hyperlink r:id="rId289" w:history="1">
        <w:r>
          <w:rPr>
            <w:rFonts w:ascii="arial" w:eastAsia="arial" w:hAnsi="arial" w:cs="arial"/>
            <w:i/>
            <w:color w:val="0077CC"/>
            <w:sz w:val="20"/>
            <w:u w:val="single"/>
            <w:shd w:val="clear" w:color="auto" w:fill="FFFFFF"/>
            <w:lang w:val="en-US" w:eastAsia="en-US" w:bidi="ar-SA"/>
          </w:rPr>
          <w:t>31 L.C.R. 1</w:t>
        </w:r>
      </w:hyperlink>
      <w:r>
        <w:rPr>
          <w:rFonts w:ascii="arial" w:eastAsia="arial" w:hAnsi="arial" w:cs="arial"/>
          <w:color w:val="000000"/>
          <w:sz w:val="20"/>
          <w:lang w:val="en-US" w:eastAsia="en-US" w:bidi="ar-SA"/>
        </w:rPr>
        <w:t xml:space="preserve"> (B.C.S.C.).</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36</w:t>
      </w:r>
      <w:r>
        <w:rPr>
          <w:rFonts w:ascii="arial" w:eastAsia="arial" w:hAnsi="arial" w:cs="arial"/>
          <w:color w:val="000000"/>
          <w:sz w:val="20"/>
          <w:lang w:val="en-US" w:eastAsia="en-US" w:bidi="ar-SA"/>
        </w:rPr>
        <w:t>  The expropriation material to this action involves land which was, at the time of the entry, owned by a man named Innis Cooper. He was compensated for the land that was taken. No doubt has been cast in this proceeding as to what land the parties understood had been taken, and there is no evidence casting doubt on, or suggesting any limitation on, the interest that was taken.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37</w:t>
      </w:r>
      <w:r>
        <w:rPr>
          <w:rFonts w:ascii="arial" w:eastAsia="arial" w:hAnsi="arial" w:cs="arial"/>
          <w:color w:val="000000"/>
          <w:sz w:val="20"/>
          <w:lang w:val="en-US" w:eastAsia="en-US" w:bidi="ar-SA"/>
        </w:rPr>
        <w:t>  I am therefore satisfied that in 1997 the Crown had the legal right to build or improve roads on the land it took in 1984.</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38</w:t>
      </w:r>
      <w:r>
        <w:rPr>
          <w:rFonts w:ascii="arial" w:eastAsia="arial" w:hAnsi="arial" w:cs="arial"/>
          <w:color w:val="000000"/>
          <w:sz w:val="20"/>
          <w:lang w:val="en-US" w:eastAsia="en-US" w:bidi="ar-SA"/>
        </w:rPr>
        <w:t>  The second question is whether the activity that occurred in 1997, that was the subject of protests, actually occurred on the land that had been acquired by the Crown in 1984.</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39</w:t>
      </w:r>
      <w:r>
        <w:rPr>
          <w:rFonts w:ascii="arial" w:eastAsia="arial" w:hAnsi="arial" w:cs="arial"/>
          <w:color w:val="000000"/>
          <w:sz w:val="20"/>
          <w:lang w:val="en-US" w:eastAsia="en-US" w:bidi="ar-SA"/>
        </w:rPr>
        <w:t>  This is in issue because in 1996 a survey of the eastern boundary of the property, lot 3812, conducted for purposes unrelated to this case, showed that that line was 47 metres "out". Because the engineering drawings prepared by the Ministry and outlining the road are "tied in" to the old survey boundary, the suggestion is that where the road is and where it is authorized to be are two different things.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40</w:t>
      </w:r>
      <w:r>
        <w:rPr>
          <w:rFonts w:ascii="arial" w:eastAsia="arial" w:hAnsi="arial" w:cs="arial"/>
          <w:color w:val="000000"/>
          <w:sz w:val="20"/>
          <w:lang w:val="en-US" w:eastAsia="en-US" w:bidi="ar-SA"/>
        </w:rPr>
        <w:t>  Jerome Hango, the surveyor who first noted the error, filed two affidavits in this proceeding. He suggested, first of all, that it is possible to tie the existing road into the drawing by reference to a "cattle guard" shown on the drawings. I am of the view that, while this might well be the case, it does, at bottom, involve an inference that may be unreliable. It is not, in any event, the most persuasive argument in favour of the Crown's position.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41</w:t>
      </w:r>
      <w:r>
        <w:rPr>
          <w:rFonts w:ascii="arial" w:eastAsia="arial" w:hAnsi="arial" w:cs="arial"/>
          <w:color w:val="000000"/>
          <w:sz w:val="20"/>
          <w:lang w:val="en-US" w:eastAsia="en-US" w:bidi="ar-SA"/>
        </w:rPr>
        <w:t xml:space="preserve">  The law is that where there is conflict between the description of an interest in land in the registry or elsewhere and what was intended to the conveyed or taken "on the ground", the situation on the ground prevails. The principle was expressed by MacPhillips, J.A. in MacDonald v. Knudsen </w:t>
      </w:r>
      <w:hyperlink r:id="rId290" w:history="1">
        <w:r>
          <w:rPr>
            <w:rFonts w:ascii="arial" w:eastAsia="arial" w:hAnsi="arial" w:cs="arial"/>
            <w:i/>
            <w:color w:val="0077CC"/>
            <w:sz w:val="20"/>
            <w:u w:val="single"/>
            <w:shd w:val="clear" w:color="auto" w:fill="FFFFFF"/>
            <w:lang w:val="en-US" w:eastAsia="en-US" w:bidi="ar-SA"/>
          </w:rPr>
          <w:t>(1928), 40 B.C.R. 25</w:t>
        </w:r>
      </w:hyperlink>
      <w:r>
        <w:rPr>
          <w:rFonts w:ascii="arial" w:eastAsia="arial" w:hAnsi="arial" w:cs="arial"/>
          <w:color w:val="000000"/>
          <w:sz w:val="20"/>
          <w:lang w:val="en-US" w:eastAsia="en-US" w:bidi="ar-SA"/>
        </w:rPr>
        <w:t xml:space="preserve"> (C.A.) at pp. 34-35:</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 . that which must control is what was intended to by conveyed upon the ground and to those facts the law must adapt itself. That is, the definition as to boundaries must be based upon the actual fact, i.e. the declared and proved position of the posts fixed in the ground.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(See also: Mark's Service Centre Ltd. v. Henderson, </w:t>
      </w:r>
      <w:hyperlink r:id="rId291" w:history="1">
        <w:r>
          <w:rPr>
            <w:rFonts w:ascii="arial" w:eastAsia="arial" w:hAnsi="arial" w:cs="arial"/>
            <w:i/>
            <w:color w:val="0077CC"/>
            <w:sz w:val="20"/>
            <w:u w:val="single"/>
            <w:shd w:val="clear" w:color="auto" w:fill="FFFFFF"/>
            <w:lang w:val="en-US" w:eastAsia="en-US" w:bidi="ar-SA"/>
          </w:rPr>
          <w:t>[1996] B.C.J. No. 1222</w:t>
        </w:r>
      </w:hyperlink>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42</w:t>
      </w:r>
      <w:r>
        <w:rPr>
          <w:rFonts w:ascii="arial" w:eastAsia="arial" w:hAnsi="arial" w:cs="arial"/>
          <w:color w:val="000000"/>
          <w:sz w:val="20"/>
          <w:lang w:val="en-US" w:eastAsia="en-US" w:bidi="ar-SA"/>
        </w:rPr>
        <w:t>  Here there is no suggestion that the road itself is in a place other than where it was intended to be, or that it covers land other than that for which the present owner's predecessor received compensation. The argument is that the alignment of the engineering drawings of the road to the incorrectly surveyed boundary line has the legal effect of altering what the Crown "entered and took possession of" and of what the original parties understood, such that the road on the ground is really on unexpropriated land.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43</w:t>
      </w:r>
      <w:r>
        <w:rPr>
          <w:rFonts w:ascii="arial" w:eastAsia="arial" w:hAnsi="arial" w:cs="arial"/>
          <w:color w:val="000000"/>
          <w:sz w:val="20"/>
          <w:lang w:val="en-US" w:eastAsia="en-US" w:bidi="ar-SA"/>
        </w:rPr>
        <w:t>  There is no suggestion that the road is or was ever intended to be anywhere else than where it is. Once the old survey error is explained the correct location of the road is evident. The defendants offer no authority for the proposition that the law is so abstract in this context as to put description ahead of actuality.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44</w:t>
      </w:r>
      <w:r>
        <w:rPr>
          <w:rFonts w:ascii="arial" w:eastAsia="arial" w:hAnsi="arial" w:cs="arial"/>
          <w:color w:val="000000"/>
          <w:sz w:val="20"/>
          <w:lang w:val="en-US" w:eastAsia="en-US" w:bidi="ar-SA"/>
        </w:rPr>
        <w:t>  I am accordingly satisfied that the land that was acquired in 1984 is the land where the road construction occurred in 1997.</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45</w:t>
      </w:r>
      <w:r>
        <w:rPr>
          <w:rFonts w:ascii="arial" w:eastAsia="arial" w:hAnsi="arial" w:cs="arial"/>
          <w:color w:val="000000"/>
          <w:sz w:val="20"/>
          <w:lang w:val="en-US" w:eastAsia="en-US" w:bidi="ar-SA"/>
        </w:rPr>
        <w:t>  On the issue of the timing of the filing of the legal survey in 1998 after the protests had taken place, although it had substantially been completed in 1996, I am unable to draw any inference that has any legal implication. The Crown was not required to file a legal survey at all. In the absence of such a requirement, the timing has no particular significance.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46</w:t>
      </w:r>
      <w:r>
        <w:rPr>
          <w:rFonts w:ascii="arial" w:eastAsia="arial" w:hAnsi="arial" w:cs="arial"/>
          <w:color w:val="000000"/>
          <w:sz w:val="20"/>
          <w:lang w:val="en-US" w:eastAsia="en-US" w:bidi="ar-SA"/>
        </w:rPr>
        <w:t>  The plaintiffs' application is allowed. The land upon which the plaintiffs began construction in July 1997 was land which had been acquired by the Provincial Crown in 1984.</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McEWAN J.</w:t>
      </w:r>
      <w:r>
        <w:rPr>
          <w:rFonts w:ascii="arial" w:eastAsia="arial" w:hAnsi="arial" w:cs="arial"/>
          <w:sz w:val="20"/>
          <w:lang w:val="en-US" w:eastAsia="en-US" w:bidi="ar-SA"/>
        </w:rPr>
        <w:cr/>
      </w:r>
    </w:p>
    <w:p>
      <w:pPr>
        <w:rPr>
          <w:rFonts w:ascii="arial" w:eastAsia="arial" w:hAnsi="arial" w:cs="arial"/>
          <w:sz w:val="20"/>
          <w:lang w:val="en-US" w:eastAsia="en-US" w:bidi="ar-SA"/>
        </w:rPr>
      </w:pPr>
    </w:p>
    <w:p>
      <w:pPr>
        <w:ind w:left="200"/>
        <w:rPr>
          <w:rFonts w:ascii="arial" w:eastAsia="arial" w:hAnsi="arial" w:cs="arial"/>
          <w:sz w:val="20"/>
          <w:lang w:val="en-US" w:eastAsia="en-US" w:bidi="ar-SA"/>
        </w:rPr>
        <w:sectPr>
          <w:type w:val="continuous"/>
          <w:pgMar w:top="840" w:right="1000" w:bottom="840" w:left="1000" w:header="400" w:footer="400"/>
          <w:pgNumType w:fmt="decimal"/>
          <w:cols w:space="720"/>
        </w:sectPr>
      </w:pPr>
      <w:r>
        <w:rPr>
          <w:rFonts w:ascii="arial" w:eastAsia="arial" w:hAnsi="arial" w:cs="arial"/>
          <w:sz w:val="20"/>
          <w:lang w:val="en-US" w:eastAsia="en-US" w:bidi="ar-SA"/>
        </w:rPr>
        <w:br/>
      </w:r>
      <w:r>
        <w:pict>
          <v:line id="_x0000_s1077" style="position:absolute;z-index:251866112" from="0,10pt" to="512pt,10pt" strokecolor="black" strokeweight="1pt">
            <v:stroke linestyle="single"/>
          </v:line>
        </w:pict>
      </w:r>
      <w:r>
        <w:rPr>
          <w:b/>
          <w:color w:val="767676"/>
          <w:sz w:val="16"/>
          <w:lang w:val="en-US" w:eastAsia="en-US" w:bidi="ar-SA"/>
        </w:rPr>
        <w:t>End of Document</w:t>
      </w:r>
    </w:p>
    <w:p>
      <w:pPr>
        <w:rPr>
          <w:rFonts w:ascii="arial" w:eastAsia="arial" w:hAnsi="arial" w:cs="arial"/>
          <w:sz w:val="20"/>
          <w:lang w:val="en-US" w:eastAsia="en-US" w:bidi="ar-SA"/>
        </w:rPr>
        <w:sectPr>
          <w:headerReference w:type="even" r:id="rId292"/>
          <w:headerReference w:type="default" r:id="rId293"/>
          <w:footerReference w:type="even" r:id="rId294"/>
          <w:footerReference w:type="default" r:id="rId295"/>
          <w:headerReference w:type="first" r:id="rId296"/>
          <w:footerReference w:type="first" r:id="rId297"/>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eastAsia="arial" w:hAnsi="Arial" w:cs="Arial"/>
          <w:b/>
          <w:bCs/>
          <w:kern w:val="32"/>
          <w:sz w:val="32"/>
          <w:szCs w:val="32"/>
          <w:lang w:val="en-US" w:eastAsia="en-US" w:bidi="ar-SA"/>
        </w:rPr>
      </w:pPr>
      <w:hyperlink r:id="rId298" w:history="1">
        <w:r>
          <w:rPr>
            <w:rFonts w:ascii="arial" w:eastAsia="arial" w:hAnsi="arial" w:cs="arial"/>
            <w:b/>
            <w:bCs/>
            <w:i/>
            <w:color w:val="0077CC"/>
            <w:kern w:val="32"/>
            <w:sz w:val="28"/>
            <w:szCs w:val="32"/>
            <w:u w:val="single"/>
            <w:shd w:val="clear" w:color="auto" w:fill="FFFFFF"/>
            <w:lang w:val="en-US" w:eastAsia="en-US" w:bidi="ar-SA"/>
          </w:rPr>
          <w:t>Cassidy v. Abbotsford (City) Police Department, [2001] B.C.J. No. 1210</w:t>
        </w:r>
      </w:hyperlink>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Judgments</w:t>
      </w:r>
    </w:p>
    <w:p>
      <w:pPr>
        <w:rPr>
          <w:rFonts w:ascii="arial" w:eastAsia="arial" w:hAnsi="arial" w:cs="arial"/>
          <w:sz w:val="20"/>
          <w:lang w:val="en-US" w:eastAsia="en-US" w:bidi="ar-SA"/>
        </w:rPr>
      </w:pP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New Westminster, British Columbia</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Master Nitikman</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Heard: August 22, 2000 and February 1, 2001.</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Judgment: May 29, 2001.</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New Westminster Registry No. S046232</w:t>
      </w:r>
    </w:p>
    <w:p>
      <w:pPr>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r>
        <w:rPr>
          <w:rFonts w:ascii="arial" w:eastAsia="arial" w:hAnsi="arial" w:cs="arial"/>
          <w:b/>
          <w:color w:val="000000"/>
          <w:sz w:val="20"/>
          <w:lang w:val="en-US" w:eastAsia="en-US" w:bidi="ar-SA"/>
        </w:rPr>
        <w:t>[2001] B.C.J. No. 1210</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2001 BCSC 760</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10 C.P.C. (5th) 291</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107 A.C.W.S. (3d) 206</w:t>
      </w:r>
    </w:p>
    <w:p>
      <w:pPr>
        <w:spacing w:before="120" w:line="260" w:lineRule="atLeast"/>
        <w:rPr>
          <w:rFonts w:ascii="arial" w:eastAsia="arial" w:hAnsi="arial" w:cs="arial"/>
          <w:sz w:val="20"/>
          <w:lang w:val="en-US" w:eastAsia="en-US" w:bidi="ar-SA"/>
        </w:rPr>
      </w:pPr>
      <w:r>
        <w:rPr>
          <w:rFonts w:ascii="arial" w:eastAsia="arial" w:hAnsi="arial" w:cs="arial"/>
          <w:color w:val="000000"/>
          <w:sz w:val="20"/>
          <w:lang w:val="en-US" w:eastAsia="en-US" w:bidi="ar-SA"/>
        </w:rPr>
        <w:t>Between Paul Gerald Cassidy, plaintiff, and Abbotsford Police Department, Attorney General of Canada, Constable Charnpal Kingra, Constable Paul Jack, Constable Jeremy Lane, Constable Thomas Wheatley, Constable John Doe, Constable John Doe, Constable John Doe, Chief Constable N. Berry Daniel, Constable Elly Sawchuk, Wendy Thompson, Randy Blair, and Rod Thompson, defendants</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(63 paras.)</w:t>
      </w:r>
    </w:p>
    <w:p>
      <w:pPr>
        <w:keepNext/>
        <w:spacing w:before="12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Case Summary</w:t>
      </w:r>
    </w:p>
    <w:p>
      <w:pPr>
        <w:spacing w:line="60" w:lineRule="exact"/>
        <w:rPr>
          <w:rFonts w:ascii="arial" w:eastAsia="arial" w:hAnsi="arial" w:cs="arial"/>
          <w:sz w:val="20"/>
          <w:lang w:val="en-US" w:eastAsia="en-US" w:bidi="ar-SA"/>
        </w:rPr>
      </w:pPr>
      <w:r>
        <w:pict>
          <v:line id="_x0000_s1078" style="position:absolute;z-index:251669504"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bookmarkStart w:id="66" w:name="Keywords_9"/>
      <w:bookmarkEnd w:id="66"/>
      <w:r>
        <w:rPr>
          <w:rFonts w:ascii="arial" w:eastAsia="arial" w:hAnsi="arial" w:cs="arial"/>
          <w:b/>
          <w:color w:val="000000"/>
          <w:sz w:val="20"/>
          <w:lang w:val="en-US" w:eastAsia="en-US" w:bidi="ar-SA"/>
        </w:rPr>
        <w:t>Limitation of actions — Bars, disallowance of defence — Scope of discretionary power — Practice — Parties — Adding or substituting parties — Application of limitation periods — Adding or substituting defendants — Considerations — Circumstances when allowed.</w:t>
      </w:r>
    </w:p>
    <w:p>
      <w:pPr>
        <w:rPr>
          <w:rFonts w:ascii="arial" w:eastAsia="arial" w:hAnsi="arial" w:cs="arial"/>
          <w:sz w:val="20"/>
          <w:lang w:val="en-US" w:eastAsia="en-US" w:bidi="ar-SA"/>
        </w:rPr>
      </w:pPr>
    </w:p>
    <w:tbl>
      <w:tblPr>
        <w:tblStyle w:val="TableNormal"/>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
      <w:tblGrid>
        <w:gridCol w:w="10225"/>
      </w:tblGrid>
      <w:tr>
        <w:tblPrEx>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Ex>
        <w:tc>
          <w:tcPr/>
          <w:p>
            <w:pPr>
              <w:rPr>
                <w:rFonts w:ascii="arial" w:eastAsia="arial" w:hAnsi="arial" w:cs="arial"/>
                <w:sz w:val="20"/>
                <w:lang w:val="en-US" w:eastAsia="en-US" w:bidi="ar-SA"/>
              </w:rPr>
            </w:pPr>
            <w:bookmarkStart w:id="67" w:name="Case Summary_8"/>
            <w:bookmarkEnd w:id="67"/>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Application by the plaintiff, Cassidy, to add three defendants to his action. The proposed defendants, the City of Abbotsford, Hacker Press, and Hollinger Canadian Newspaper, opposed the application on the ground that the limitation period had elapsed. Cassidy had commenced an action against the Abbotsford Police Department and several Constables for damages for wrongful arrest and imprisonment, personal injuries, loss of reputation, loss of credit and loss of business. Counsel later realized that the City of Abbotsford should have been added as a defendant. The City was aware of the action against the police and the City's solicitor had been involved in the defence of the action. Cassidy's counsel later determined that it was necessary to add as defendants the publishers of the two newspapers who had published the circumstances surrounding the action. They had also been earlier advised that Cassidy was considering legal action against them. The time between the expiry of the limitation periods and this application ranged between nine months and two years. </w:t>
            </w:r>
            <w:r>
              <w:rPr>
                <w:rFonts w:ascii="arial" w:eastAsia="arial" w:hAnsi="arial" w:cs="arial"/>
                <w:sz w:val="20"/>
                <w:lang w:val="en-US" w:eastAsia="en-US" w:bidi="ar-SA"/>
              </w:rPr>
              <w:cr/>
            </w:r>
          </w:p>
          <w:p>
            <w:pPr>
              <w:spacing w:before="120" w:line="260" w:lineRule="atLeast"/>
              <w:ind w:left="240"/>
              <w:jc w:val="both"/>
              <w:rPr>
                <w:rFonts w:ascii="arial" w:eastAsia="arial" w:hAnsi="arial" w:cs="arial"/>
                <w:sz w:val="20"/>
                <w:lang w:val="en-US" w:eastAsia="en-US" w:bidi="ar-SA"/>
              </w:rPr>
            </w:pPr>
            <w:bookmarkStart w:id="68" w:name="Holdings of Court_8"/>
            <w:bookmarkEnd w:id="68"/>
            <w:r>
              <w:rPr>
                <w:rFonts w:ascii="arial" w:eastAsia="arial" w:hAnsi="arial" w:cs="arial"/>
                <w:color w:val="000000"/>
                <w:sz w:val="20"/>
                <w:lang w:val="en-US" w:eastAsia="en-US" w:bidi="ar-SA"/>
              </w:rPr>
              <w:t>HELD: Application allowed.</w:t>
            </w:r>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The proposed defendants were not entirely unaware of the nature of the claim being advanced by Cassidy. All three had been made aware of the action prior to the expiry of the limitation period. The delay in adding them as defendants was attributed to the inattention of Cassidy's counsel. There would have been no actual prejudice to the proposed defendants and it was just and convenient to add them as parties notwithstanding that the limitation period had expired. Furthermore, the defendants lost the right to plead the limitation defence. </w:t>
            </w:r>
            <w:r>
              <w:rPr>
                <w:rFonts w:ascii="arial" w:eastAsia="arial" w:hAnsi="arial" w:cs="arial"/>
                <w:sz w:val="20"/>
                <w:lang w:val="en-US" w:eastAsia="en-US" w:bidi="ar-SA"/>
              </w:rPr>
              <w:cr/>
            </w:r>
          </w:p>
          <w:p>
            <w:pPr>
              <w:rPr>
                <w:rFonts w:ascii="arial" w:eastAsia="arial" w:hAnsi="arial" w:cs="arial"/>
                <w:sz w:val="20"/>
                <w:lang w:val="en-US" w:eastAsia="en-US" w:bidi="ar-SA"/>
              </w:rPr>
            </w:pPr>
          </w:p>
        </w:tc>
      </w:tr>
    </w:tbl>
    <w:p>
      <w:pPr>
        <w:jc w:val="both"/>
        <w:rPr>
          <w:rFonts w:ascii="arial" w:eastAsia="arial" w:hAnsi="arial" w:cs="arial"/>
          <w:sz w:val="20"/>
          <w:lang w:val="en-US" w:eastAsia="en-US" w:bidi="ar-SA"/>
        </w:rPr>
      </w:pPr>
      <w:bookmarkStart w:id="69" w:name="Legislation Cited_5"/>
      <w:bookmarkEnd w:id="69"/>
      <w:r>
        <w:rPr>
          <w:rFonts w:ascii="arial" w:eastAsia="arial" w:hAnsi="arial" w:cs="arial"/>
          <w:sz w:val="20"/>
          <w:lang w:val="en-US" w:eastAsia="en-US" w:bidi="ar-SA"/>
        </w:rPr>
        <w:br/>
      </w:r>
    </w:p>
    <w:p>
      <w:pPr>
        <w:keepNext/>
        <w:spacing w:before="24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Statutes, Regulations and Rules Cited:</w:t>
      </w:r>
    </w:p>
    <w:p>
      <w:pPr>
        <w:spacing w:line="60" w:lineRule="exact"/>
        <w:rPr>
          <w:rFonts w:ascii="arial" w:eastAsia="arial" w:hAnsi="arial" w:cs="arial"/>
          <w:sz w:val="20"/>
          <w:lang w:val="en-US" w:eastAsia="en-US" w:bidi="ar-SA"/>
        </w:rPr>
      </w:pPr>
      <w:r>
        <w:pict>
          <v:line id="_x0000_s1079" style="position:absolute;z-index:251720704"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 Rules, Rule 15(5).</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Police Act, ss. 20, 21.</w:t>
      </w:r>
      <w:r>
        <w:rPr>
          <w:rFonts w:ascii="arial" w:eastAsia="arial" w:hAnsi="arial" w:cs="arial"/>
          <w:sz w:val="20"/>
          <w:lang w:val="en-US" w:eastAsia="en-US" w:bidi="ar-SA"/>
        </w:rPr>
        <w:cr/>
      </w:r>
    </w:p>
    <w:p>
      <w:pPr>
        <w:keepNext/>
        <w:spacing w:before="240" w:line="340" w:lineRule="atLeast"/>
        <w:rPr>
          <w:rFonts w:ascii="arial" w:eastAsia="arial" w:hAnsi="arial" w:cs="arial"/>
          <w:sz w:val="20"/>
          <w:lang w:val="en-US" w:eastAsia="en-US" w:bidi="ar-SA"/>
        </w:rPr>
      </w:pPr>
      <w:bookmarkStart w:id="70" w:name="Counsel_9"/>
      <w:bookmarkEnd w:id="70"/>
      <w:r>
        <w:rPr>
          <w:rFonts w:ascii="arial" w:eastAsia="arial" w:hAnsi="arial" w:cs="arial"/>
          <w:b/>
          <w:color w:val="000000"/>
          <w:sz w:val="28"/>
          <w:lang w:val="en-US" w:eastAsia="en-US" w:bidi="ar-SA"/>
        </w:rPr>
        <w:t>Counsel</w:t>
      </w:r>
    </w:p>
    <w:p>
      <w:pPr>
        <w:spacing w:line="60" w:lineRule="exact"/>
        <w:rPr>
          <w:rFonts w:ascii="arial" w:eastAsia="arial" w:hAnsi="arial" w:cs="arial"/>
          <w:sz w:val="20"/>
          <w:lang w:val="en-US" w:eastAsia="en-US" w:bidi="ar-SA"/>
        </w:rPr>
      </w:pPr>
      <w:r>
        <w:pict>
          <v:line id="_x0000_s1080" style="position:absolute;z-index:251771904"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V. Critchley, agent for counsel for the plaintiff. J. Yardley, for all Constable defendants and City of Abbotsford defendant. D. van Beek, for the defendant Randy Blair and for proposed defendant Hacker Press, now known as Trinity (2000) Inc.</w:t>
      </w:r>
      <w:r>
        <w:rPr>
          <w:rFonts w:ascii="arial" w:eastAsia="arial" w:hAnsi="arial" w:cs="arial"/>
          <w:sz w:val="20"/>
          <w:lang w:val="en-US" w:eastAsia="en-US" w:bidi="ar-SA"/>
        </w:rPr>
        <w:cr/>
      </w:r>
    </w:p>
    <w:p>
      <w:pPr>
        <w:spacing w:after="240"/>
        <w:rPr>
          <w:rFonts w:ascii="arial" w:eastAsia="arial" w:hAnsi="arial" w:cs="arial"/>
          <w:sz w:val="20"/>
          <w:lang w:val="en-US" w:eastAsia="en-US" w:bidi="ar-SA"/>
        </w:rPr>
      </w:pPr>
      <w:bookmarkStart w:id="71" w:name="Judgment_10"/>
      <w:bookmarkEnd w:id="71"/>
      <w:r>
        <w:pict>
          <v:line id="_x0000_s1081" style="position:absolute;z-index:251821056" from="0,12pt" to="512pt,12pt" strokecolor="#009ddb" strokeweight="1.5pt">
            <v:stroke linestyle="single"/>
          </v:line>
        </w:pict>
      </w:r>
    </w:p>
    <w:p>
      <w:pPr>
        <w:rPr>
          <w:rFonts w:ascii="arial" w:eastAsia="arial" w:hAnsi="arial" w:cs="arial"/>
          <w:sz w:val="20"/>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3086"/>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rFonts w:ascii="arial" w:eastAsia="arial" w:hAnsi="arial" w:cs="arial"/>
                <w:sz w:val="20"/>
                <w:lang w:val="en-US" w:eastAsia="en-US" w:bidi="ar-SA"/>
              </w:rPr>
            </w:pPr>
            <w:bookmarkStart w:id="72" w:name="MASTER NITIKMAN"/>
            <w:bookmarkEnd w:id="72"/>
            <w:r>
              <w:rPr>
                <w:rFonts w:ascii="arial" w:eastAsia="arial" w:hAnsi="arial" w:cs="arial"/>
                <w:b/>
                <w:color w:val="000000"/>
                <w:sz w:val="30"/>
                <w:lang w:val="en-US" w:eastAsia="en-US" w:bidi="ar-SA"/>
              </w:rPr>
              <w:t>MASTER NITIKMAN</w:t>
            </w:r>
          </w:p>
        </w:tc>
      </w:tr>
    </w:tbl>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Nature of the application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This is the plaintiff's application to add three defendants to his action and amend his style of proceeding and statement of claim accordingly.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The proposed defendants are the City of Abbotsford, Hacker Press Ltd. and Hollinger Canadian Newspaper Ltd.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The City of Abbotsford and Hacker Press oppose the application essentially on the ground that limitation periods have elapsed and the loss of that defence will be prejudicial to them.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Hollinger takes no position with respect to this application.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The application was heard on August 22, 2000.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It is conceded that limitation periods in respect of all the proposed defendants had expired by the time the application to add them was brought. In the case of the two newspaper publishers, the limitation period had expired approximately nine months before the application and, with respect to the City of Abbotsford, two years prior to the application. Judgment was reserved.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Subsequent to the hearing, counsel sought leave to make further submissions to the court on the law. Submissions were heard on February 1, 2001. Judgment was reserved. My decision and reasons follow.</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Events leading to the initiation of the action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On November 15, 1997, the plaintiff and his son became involved in an altercation. A scuffle ensued and the police were called. The plaintiff was arrested and detained in jail until the following day.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On November 17, Constable Sawchuk of the Abbotsford police made a number of statements about the incident to representatives of the media, including reporters from the Abbotsford News and the Abbotsford Times.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Both newspapers published a story about the incident based on the information obtained at the briefing by Constable Sawchuk.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The plaintiff retained counsel to represent him in connection with the criminal charge brought against him for the alleged assault. After investigation, Abbotsford crown counsel entered a stay of proceedings against the plaintiff.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On January 12, 1998, plaintiff's counsel put the Abbotsford police department on notice that the plaintiff was considering civil litigation with regard to the November incident.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On January 19, the Abbotsford police department advised that the matter had been referred to the solicitor for the City of Abbotsford.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On March 31, plaintiff's counsel put the Abbotsford Times and the Abbotsford News on notice that the plaintiff was considering legal action against them.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w:t>
      </w:r>
      <w:r>
        <w:rPr>
          <w:rFonts w:ascii="arial" w:eastAsia="arial" w:hAnsi="arial" w:cs="arial"/>
          <w:color w:val="000000"/>
          <w:sz w:val="20"/>
          <w:lang w:val="en-US" w:eastAsia="en-US" w:bidi="ar-SA"/>
        </w:rPr>
        <w:t>  The Abbotsford News conveyed this information to counsel for Hacker Press Ltd. doing business as the Abbotsford News some time prior to April 14, 1998.</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w:t>
      </w:r>
      <w:r>
        <w:rPr>
          <w:rFonts w:ascii="arial" w:eastAsia="arial" w:hAnsi="arial" w:cs="arial"/>
          <w:color w:val="000000"/>
          <w:sz w:val="20"/>
          <w:lang w:val="en-US" w:eastAsia="en-US" w:bidi="ar-SA"/>
        </w:rPr>
        <w:t>  On April 16, 1998, the plaintiff filed a writ and statement of claim for, among other things, damages for wrongful arrest and imprisonment, personal injuries, loss of reputation, loss of credit and loss of business.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w:t>
      </w:r>
      <w:r>
        <w:rPr>
          <w:rFonts w:ascii="arial" w:eastAsia="arial" w:hAnsi="arial" w:cs="arial"/>
          <w:color w:val="000000"/>
          <w:sz w:val="20"/>
          <w:lang w:val="en-US" w:eastAsia="en-US" w:bidi="ar-SA"/>
        </w:rPr>
        <w:t>  Statements of defence for all of the named defendants were filed by September 1998.</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w:t>
      </w:r>
      <w:r>
        <w:rPr>
          <w:rFonts w:ascii="arial" w:eastAsia="arial" w:hAnsi="arial" w:cs="arial"/>
          <w:color w:val="000000"/>
          <w:sz w:val="20"/>
          <w:lang w:val="en-US" w:eastAsia="en-US" w:bidi="ar-SA"/>
        </w:rPr>
        <w:t>  Counsel for Hacker Press Ltd. is counsel of record for Randy Blair. Mr. Blair is the publisher of the Abbotsford News and one of the named defendants.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w:t>
      </w:r>
      <w:r>
        <w:rPr>
          <w:rFonts w:ascii="arial" w:eastAsia="arial" w:hAnsi="arial" w:cs="arial"/>
          <w:color w:val="000000"/>
          <w:sz w:val="20"/>
          <w:lang w:val="en-US" w:eastAsia="en-US" w:bidi="ar-SA"/>
        </w:rPr>
        <w:t>  The parties have exchanged lists of documents. The defendant constables with the exception of Chief Constable Daniel have been examined for discovery. Chief Constable Daniel was released from the action in or about December 1998.</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The grounds for this application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w:t>
      </w:r>
      <w:r>
        <w:rPr>
          <w:rFonts w:ascii="arial" w:eastAsia="arial" w:hAnsi="arial" w:cs="arial"/>
          <w:color w:val="000000"/>
          <w:sz w:val="20"/>
          <w:lang w:val="en-US" w:eastAsia="en-US" w:bidi="ar-SA"/>
        </w:rPr>
        <w:t>  In April 1998, counsel for the Abbotsford Police Department and the defendant constables, referred plaintiff's counsel to s.21 of the Police Act and asked that the plaintiff's claim against the individual constables be dismissed.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w:t>
      </w:r>
      <w:r>
        <w:rPr>
          <w:rFonts w:ascii="arial" w:eastAsia="arial" w:hAnsi="arial" w:cs="arial"/>
          <w:color w:val="000000"/>
          <w:sz w:val="20"/>
          <w:lang w:val="en-US" w:eastAsia="en-US" w:bidi="ar-SA"/>
        </w:rPr>
        <w:t>  The relevant subsections of the Police Act are 20 (1) and 21(2)(3) and (4).</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Liability for torts</w:t>
      </w:r>
    </w:p>
    <w:p>
      <w:pPr>
        <w:numPr>
          <w:numId w:val="8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Subject to an agreement under section 18(1) and 23(2),</w:t>
      </w:r>
    </w:p>
    <w:p>
      <w:pPr>
        <w:numPr>
          <w:numId w:val="2"/>
        </w:numPr>
        <w:tabs>
          <w:tab w:val="clear" w:pos="1480"/>
          <w:tab w:val="num" w:pos="2200"/>
        </w:tabs>
        <w:spacing w:before="120" w:line="260" w:lineRule="atLeast"/>
        <w:ind w:left="2200"/>
        <w:jc w:val="both"/>
        <w:rPr>
          <w:rFonts w:ascii="arial" w:eastAsia="arial" w:hAnsi="arial" w:cs="arial"/>
          <w:sz w:val="20"/>
          <w:lang w:val="en-US" w:eastAsia="en-US" w:bidi="ar-SA"/>
        </w:rPr>
      </w:pPr>
      <w:r>
        <w:rPr>
          <w:rFonts w:ascii="arial" w:eastAsia="arial" w:hAnsi="arial" w:cs="arial"/>
          <w:color w:val="000000"/>
          <w:sz w:val="20"/>
          <w:lang w:val="en-US" w:eastAsia="en-US" w:bidi="ar-SA"/>
        </w:rPr>
        <w:t>a municipality is jointly and severally liable for a tort that is committed by any of its municipal constables, special municipal constables, designated constables, enforcement officers, bylaw enforcement officers of employees of its municipal police board, if any, if the tort is committed in the performance of that person's duties, ...</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Personal liability</w:t>
      </w:r>
    </w:p>
    <w:p>
      <w:pPr>
        <w:numPr>
          <w:numId w:val="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No action for damages lies against a police officer or any other person appointed under this Act for anything said or done or omitted to be said or done by him or her in the performance or intended performance of his or her duty or in the exercise of his or her power or for any alleged neglect or default in the performance or intended performance of his or her duty or exercise of his or her power.</w:t>
      </w:r>
    </w:p>
    <w:p>
      <w:pPr>
        <w:numPr>
          <w:numId w:val="4"/>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Subsection (2) does not provide a defence if</w:t>
      </w:r>
    </w:p>
    <w:p>
      <w:pPr>
        <w:numPr>
          <w:numId w:val="5"/>
        </w:numPr>
        <w:tabs>
          <w:tab w:val="clear" w:pos="1840"/>
          <w:tab w:val="num" w:pos="2200"/>
        </w:tabs>
        <w:spacing w:before="120" w:line="260" w:lineRule="atLeast"/>
        <w:ind w:left="220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police officer or other person appointed under this Act has, in relation to the conduct that is the subject matter of action, been guilty of dishonesty, gross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or malicious or wilful misconduct, or</w:t>
      </w:r>
    </w:p>
    <w:p>
      <w:pPr>
        <w:numPr>
          <w:numId w:val="5"/>
        </w:numPr>
        <w:tabs>
          <w:tab w:val="clear" w:pos="1840"/>
          <w:tab w:val="num" w:pos="2200"/>
        </w:tabs>
        <w:spacing w:before="120" w:line="260" w:lineRule="atLeast"/>
        <w:ind w:left="2200"/>
        <w:jc w:val="both"/>
        <w:rPr>
          <w:rFonts w:ascii="arial" w:eastAsia="arial" w:hAnsi="arial" w:cs="arial"/>
          <w:sz w:val="20"/>
          <w:lang w:val="en-US" w:eastAsia="en-US" w:bidi="ar-SA"/>
        </w:rPr>
      </w:pPr>
      <w:r>
        <w:rPr>
          <w:rFonts w:ascii="arial" w:eastAsia="arial" w:hAnsi="arial" w:cs="arial"/>
          <w:color w:val="000000"/>
          <w:sz w:val="20"/>
          <w:lang w:val="en-US" w:eastAsia="en-US" w:bidi="ar-SA"/>
        </w:rPr>
        <w:t>the cause of action is libel or slander.</w:t>
      </w:r>
    </w:p>
    <w:p>
      <w:pPr>
        <w:numPr>
          <w:numId w:val="6"/>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Subsection (2) does not absolve any of the following, if they would have been liable had this section not been in force, from vicarious liability arising out of a tort committed by the police officer or other person referred to in that subsection:</w:t>
      </w:r>
    </w:p>
    <w:p>
      <w:pPr>
        <w:numPr>
          <w:numId w:val="7"/>
        </w:numPr>
        <w:tabs>
          <w:tab w:val="clear" w:pos="1120"/>
          <w:tab w:val="num" w:pos="2200"/>
        </w:tabs>
        <w:spacing w:before="120" w:line="260" w:lineRule="atLeast"/>
        <w:ind w:left="2200"/>
        <w:jc w:val="both"/>
        <w:rPr>
          <w:rFonts w:ascii="arial" w:eastAsia="arial" w:hAnsi="arial" w:cs="arial"/>
          <w:sz w:val="20"/>
          <w:lang w:val="en-US" w:eastAsia="en-US" w:bidi="ar-SA"/>
        </w:rPr>
      </w:pPr>
      <w:r>
        <w:rPr>
          <w:rFonts w:ascii="arial" w:eastAsia="arial" w:hAnsi="arial" w:cs="arial"/>
          <w:color w:val="000000"/>
          <w:sz w:val="20"/>
          <w:lang w:val="en-US" w:eastAsia="en-US" w:bidi="ar-SA"/>
        </w:rPr>
        <w:t>a municipality, in the case of a tort committed by any of its municipal constables, special municipal constable, designated constables, enforcement officers, bylaw enforcement officers or an employee of its municipal police board, if any;</w:t>
      </w:r>
    </w:p>
    <w:p>
      <w:pPr>
        <w:numPr>
          <w:numId w:val="7"/>
        </w:numPr>
        <w:tabs>
          <w:tab w:val="clear" w:pos="1120"/>
          <w:tab w:val="num" w:pos="2200"/>
        </w:tabs>
        <w:spacing w:before="120" w:line="260" w:lineRule="atLeast"/>
        <w:ind w:left="2200"/>
        <w:jc w:val="both"/>
        <w:rPr>
          <w:rFonts w:ascii="arial" w:eastAsia="arial" w:hAnsi="arial" w:cs="arial"/>
          <w:sz w:val="20"/>
          <w:lang w:val="en-US" w:eastAsia="en-US" w:bidi="ar-SA"/>
        </w:rPr>
      </w:pPr>
      <w:r>
        <w:rPr>
          <w:rFonts w:ascii="arial" w:eastAsia="arial" w:hAnsi="arial" w:cs="arial"/>
          <w:color w:val="000000"/>
          <w:sz w:val="20"/>
          <w:lang w:val="en-US" w:eastAsia="en-US" w:bidi="ar-SA"/>
        </w:rPr>
        <w:t>a regional district, government corporation or prescribed entity, in the case of a tort committed by any of its designated constables or enforcement officers;</w:t>
      </w:r>
    </w:p>
    <w:p>
      <w:pPr>
        <w:numPr>
          <w:numId w:val="7"/>
        </w:numPr>
        <w:tabs>
          <w:tab w:val="clear" w:pos="1120"/>
          <w:tab w:val="num" w:pos="2200"/>
        </w:tabs>
        <w:spacing w:before="120" w:line="260" w:lineRule="atLeast"/>
        <w:ind w:left="2200"/>
        <w:jc w:val="both"/>
        <w:rPr>
          <w:rFonts w:ascii="arial" w:eastAsia="arial" w:hAnsi="arial" w:cs="arial"/>
          <w:sz w:val="20"/>
          <w:lang w:val="en-US" w:eastAsia="en-US" w:bidi="ar-SA"/>
        </w:rPr>
      </w:pPr>
      <w:r>
        <w:rPr>
          <w:rFonts w:ascii="arial" w:eastAsia="arial" w:hAnsi="arial" w:cs="arial"/>
          <w:color w:val="000000"/>
          <w:sz w:val="20"/>
          <w:lang w:val="en-US" w:eastAsia="en-US" w:bidi="ar-SA"/>
        </w:rPr>
        <w:t>the minister, in a case to which section 11 applies.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w:t>
      </w:r>
      <w:r>
        <w:rPr>
          <w:rFonts w:ascii="arial" w:eastAsia="arial" w:hAnsi="arial" w:cs="arial"/>
          <w:color w:val="000000"/>
          <w:sz w:val="20"/>
          <w:lang w:val="en-US" w:eastAsia="en-US" w:bidi="ar-SA"/>
        </w:rPr>
        <w:t>  Plaintiff's counsel says he did not direct his mind to s. 21 of the Police Act. He assumed that the issue raised by counsel for the Abbotsford Police Department and the constables related only to the issue of costs.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w:t>
      </w:r>
      <w:r>
        <w:rPr>
          <w:rFonts w:ascii="arial" w:eastAsia="arial" w:hAnsi="arial" w:cs="arial"/>
          <w:color w:val="000000"/>
          <w:sz w:val="20"/>
          <w:lang w:val="en-US" w:eastAsia="en-US" w:bidi="ar-SA"/>
        </w:rPr>
        <w:t>  About a year and a half later, in December 1999, plaintiff's counsel realized that the City of Abbotsford should be added as a defendant and served counsel for the City with notice of this application.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w:t>
      </w:r>
      <w:r>
        <w:rPr>
          <w:rFonts w:ascii="arial" w:eastAsia="arial" w:hAnsi="arial" w:cs="arial"/>
          <w:color w:val="000000"/>
          <w:sz w:val="20"/>
          <w:lang w:val="en-US" w:eastAsia="en-US" w:bidi="ar-SA"/>
        </w:rPr>
        <w:t>  Shortly thereafter, the plaintiff retained independent counsel who determined, in or about March 2000, that it was necessary to add as defendants to the action the two companies responsible for publication of the Abbotsford News and the Abbotsford Times.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w:t>
      </w:r>
      <w:r>
        <w:rPr>
          <w:rFonts w:ascii="arial" w:eastAsia="arial" w:hAnsi="arial" w:cs="arial"/>
          <w:color w:val="000000"/>
          <w:sz w:val="20"/>
          <w:lang w:val="en-US" w:eastAsia="en-US" w:bidi="ar-SA"/>
        </w:rPr>
        <w:t>  On May 24, 2000, counsel for the individual publishers were advised of the plaintiff's intention to add the publishers to the action. The application and material in support was delivered to the various parties on June 29, 2000.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The Issues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w:t>
      </w:r>
      <w:r>
        <w:rPr>
          <w:rFonts w:ascii="arial" w:eastAsia="arial" w:hAnsi="arial" w:cs="arial"/>
          <w:color w:val="000000"/>
          <w:sz w:val="20"/>
          <w:lang w:val="en-US" w:eastAsia="en-US" w:bidi="ar-SA"/>
        </w:rPr>
        <w:t>  Given that limitation periods have lapsed, is it nevertheless just and convenient in all of the circumstances to add the proposed new defendants?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w:t>
      </w:r>
      <w:r>
        <w:rPr>
          <w:rFonts w:ascii="arial" w:eastAsia="arial" w:hAnsi="arial" w:cs="arial"/>
          <w:color w:val="000000"/>
          <w:sz w:val="20"/>
          <w:lang w:val="en-US" w:eastAsia="en-US" w:bidi="ar-SA"/>
        </w:rPr>
        <w:t>  Can the court order the addition of the defendants without prejudice to their right to raise the limitation defence?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Discussion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w:t>
      </w:r>
      <w:r>
        <w:rPr>
          <w:rFonts w:ascii="arial" w:eastAsia="arial" w:hAnsi="arial" w:cs="arial"/>
          <w:color w:val="000000"/>
          <w:sz w:val="20"/>
          <w:lang w:val="en-US" w:eastAsia="en-US" w:bidi="ar-SA"/>
        </w:rPr>
        <w:t xml:space="preserve">  Master Bolton's decision in Takenaka v. Stanley </w:t>
      </w:r>
      <w:hyperlink r:id="rId299" w:history="1">
        <w:r>
          <w:rPr>
            <w:rFonts w:ascii="arial" w:eastAsia="arial" w:hAnsi="arial" w:cs="arial"/>
            <w:i/>
            <w:color w:val="0077CC"/>
            <w:sz w:val="20"/>
            <w:u w:val="single"/>
            <w:shd w:val="clear" w:color="auto" w:fill="FFFFFF"/>
            <w:lang w:val="en-US" w:eastAsia="en-US" w:bidi="ar-SA"/>
          </w:rPr>
          <w:t>2000 BCSC 242</w:t>
        </w:r>
      </w:hyperlink>
      <w:r>
        <w:rPr>
          <w:rFonts w:ascii="arial" w:eastAsia="arial" w:hAnsi="arial" w:cs="arial"/>
          <w:color w:val="000000"/>
          <w:sz w:val="20"/>
          <w:lang w:val="en-US" w:eastAsia="en-US" w:bidi="ar-SA"/>
        </w:rPr>
        <w:t xml:space="preserve">, </w:t>
      </w:r>
      <w:hyperlink r:id="rId299" w:history="1">
        <w:r>
          <w:rPr>
            <w:rFonts w:ascii="arial" w:eastAsia="arial" w:hAnsi="arial" w:cs="arial"/>
            <w:i/>
            <w:color w:val="0077CC"/>
            <w:sz w:val="20"/>
            <w:u w:val="single"/>
            <w:shd w:val="clear" w:color="auto" w:fill="FFFFFF"/>
            <w:lang w:val="en-US" w:eastAsia="en-US" w:bidi="ar-SA"/>
          </w:rPr>
          <w:t>[2000] B.C.J. No. 288</w:t>
        </w:r>
      </w:hyperlink>
      <w:r>
        <w:rPr>
          <w:rFonts w:ascii="arial" w:eastAsia="arial" w:hAnsi="arial" w:cs="arial"/>
          <w:color w:val="000000"/>
          <w:sz w:val="20"/>
          <w:lang w:val="en-US" w:eastAsia="en-US" w:bidi="ar-SA"/>
        </w:rPr>
        <w:t>, is most helpful. It summarizes the principles of law established by the leading cases in applications to add parties to a proceeding after expiry of limitation periods.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w:t>
      </w:r>
      <w:r>
        <w:rPr>
          <w:rFonts w:ascii="arial" w:eastAsia="arial" w:hAnsi="arial" w:cs="arial"/>
          <w:color w:val="000000"/>
          <w:sz w:val="20"/>
          <w:lang w:val="en-US" w:eastAsia="en-US" w:bidi="ar-SA"/>
        </w:rPr>
        <w:t>  Takenaka concerned a fire that destroyed two homes. It was alleged that the fire was caused by a defect in a child's toy manufactured by an Italian manufacturer and distributed by a Canadian and American distributor. The manufacturers and the distributors were the proposed new defendants.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w:t>
      </w:r>
      <w:r>
        <w:rPr>
          <w:rFonts w:ascii="arial" w:eastAsia="arial" w:hAnsi="arial" w:cs="arial"/>
          <w:color w:val="000000"/>
          <w:sz w:val="20"/>
          <w:lang w:val="en-US" w:eastAsia="en-US" w:bidi="ar-SA"/>
        </w:rPr>
        <w:t>  Distilling the principles of law contained in the leading cases, Master Bolton said: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considerations for the court are the length of the delay, prejudice to the respondents and the overriding question of what is just and convenient.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w:t>
      </w:r>
      <w:r>
        <w:rPr>
          <w:rFonts w:ascii="arial" w:eastAsia="arial" w:hAnsi="arial" w:cs="arial"/>
          <w:color w:val="000000"/>
          <w:sz w:val="20"/>
          <w:lang w:val="en-US" w:eastAsia="en-US" w:bidi="ar-SA"/>
        </w:rPr>
        <w:t xml:space="preserve">  In the case at bar, the time between the expiry of limitation periods and the application ranged between nine months and two years. In Takenaka, Master Bolton compared the delay of eleven months in that case to the delay in Mah v. City of Vancouver, </w:t>
      </w:r>
      <w:hyperlink r:id="rId300" w:history="1">
        <w:r>
          <w:rPr>
            <w:rFonts w:ascii="arial" w:eastAsia="arial" w:hAnsi="arial" w:cs="arial"/>
            <w:i/>
            <w:color w:val="0077CC"/>
            <w:sz w:val="20"/>
            <w:u w:val="single"/>
            <w:shd w:val="clear" w:color="auto" w:fill="FFFFFF"/>
            <w:lang w:val="en-US" w:eastAsia="en-US" w:bidi="ar-SA"/>
          </w:rPr>
          <w:t>2000 BCSC 41</w:t>
        </w:r>
      </w:hyperlink>
      <w:r>
        <w:rPr>
          <w:rFonts w:ascii="arial" w:eastAsia="arial" w:hAnsi="arial" w:cs="arial"/>
          <w:color w:val="000000"/>
          <w:sz w:val="20"/>
          <w:lang w:val="en-US" w:eastAsia="en-US" w:bidi="ar-SA"/>
        </w:rPr>
        <w:t xml:space="preserve">, </w:t>
      </w:r>
      <w:hyperlink r:id="rId300" w:history="1">
        <w:r>
          <w:rPr>
            <w:rFonts w:ascii="arial" w:eastAsia="arial" w:hAnsi="arial" w:cs="arial"/>
            <w:i/>
            <w:color w:val="0077CC"/>
            <w:sz w:val="20"/>
            <w:u w:val="single"/>
            <w:shd w:val="clear" w:color="auto" w:fill="FFFFFF"/>
            <w:lang w:val="en-US" w:eastAsia="en-US" w:bidi="ar-SA"/>
          </w:rPr>
          <w:t>[2000] B.C.J. No. 44</w:t>
        </w:r>
      </w:hyperlink>
      <w:r>
        <w:rPr>
          <w:rFonts w:ascii="arial" w:eastAsia="arial" w:hAnsi="arial" w:cs="arial"/>
          <w:color w:val="000000"/>
          <w:sz w:val="20"/>
          <w:lang w:val="en-US" w:eastAsia="en-US" w:bidi="ar-SA"/>
        </w:rPr>
        <w:t>, and said: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In absolute terms, the delay is comparable...But it is potentially much more serious from the point of view of actual notice to the defendants. The City of Vancouver knew at all material times of the general nature of the claim being made against it by Ms. Mah whereas the proposed defendants here were completely unaware ...</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w:t>
      </w:r>
      <w:r>
        <w:rPr>
          <w:rFonts w:ascii="arial" w:eastAsia="arial" w:hAnsi="arial" w:cs="arial"/>
          <w:color w:val="000000"/>
          <w:sz w:val="20"/>
          <w:lang w:val="en-US" w:eastAsia="en-US" w:bidi="ar-SA"/>
        </w:rPr>
        <w:t>  On the evidence, I am unable to conclude that the proposed defendants in the case at bar were entirely unaware of the nature of the claim being advanced by the plaintiff.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w:t>
      </w:r>
      <w:r>
        <w:rPr>
          <w:rFonts w:ascii="arial" w:eastAsia="arial" w:hAnsi="arial" w:cs="arial"/>
          <w:color w:val="000000"/>
          <w:sz w:val="20"/>
          <w:lang w:val="en-US" w:eastAsia="en-US" w:bidi="ar-SA"/>
        </w:rPr>
        <w:t>  In early 1998, the solicitor for the City of Abbotsford was made aware of the plaintiff's intention to bring civil proceedings against the police department. As noted above, it was the city's solicitor who referred plaintiff's counsel to s. 21 of the Police Act. In my view, it cannot be said that the City of Abbotsford has been caught completely unaware as were the proposed defendants in Takenaka.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34</w:t>
      </w:r>
      <w:r>
        <w:rPr>
          <w:rFonts w:ascii="arial" w:eastAsia="arial" w:hAnsi="arial" w:cs="arial"/>
          <w:color w:val="000000"/>
          <w:sz w:val="20"/>
          <w:lang w:val="en-US" w:eastAsia="en-US" w:bidi="ar-SA"/>
        </w:rPr>
        <w:t>  Similarly, the newspapers were notified in March 1998 that the plaintiff was considering legal action against them. The Abbotsford News directed the letter to counsel for Hacker Press. Counsel for Hacker Press is counsel of record for Randy Blair who is a named defendant as publisher of the Abbotsford News. On this evidence, I am equally unable to conclude that Hacker Press has been caught unawares.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35</w:t>
      </w:r>
      <w:r>
        <w:rPr>
          <w:rFonts w:ascii="arial" w:eastAsia="arial" w:hAnsi="arial" w:cs="arial"/>
          <w:color w:val="000000"/>
          <w:sz w:val="20"/>
          <w:lang w:val="en-US" w:eastAsia="en-US" w:bidi="ar-SA"/>
        </w:rPr>
        <w:t>  To put it as charitably as possible, the delay in this case must be attributed to the inattention of plaintiff's then counsel. But this was the case in Takenaka as well. Master Bolton found that the failure to include at least the Italian manufacturer of the toy was a serious error in judgement.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36</w:t>
      </w:r>
      <w:r>
        <w:rPr>
          <w:rFonts w:ascii="arial" w:eastAsia="arial" w:hAnsi="arial" w:cs="arial"/>
          <w:color w:val="000000"/>
          <w:sz w:val="20"/>
          <w:lang w:val="en-US" w:eastAsia="en-US" w:bidi="ar-SA"/>
        </w:rPr>
        <w:t>  Notwithstanding that the delay was considerable, Master Bolton considered the issue of prejudice resulting from the delay and the reason for the delay and concluded: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Putting aside any issues of actual prejudice in addition to the prejudice resulting from the loss of the cause of action or of the limitation defense, I am satisfied that the prejudice to a plaintiff in the former event will usually be greater than the prejudice to a defendant in the latter.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37</w:t>
      </w:r>
      <w:r>
        <w:rPr>
          <w:rFonts w:ascii="arial" w:eastAsia="arial" w:hAnsi="arial" w:cs="arial"/>
          <w:color w:val="000000"/>
          <w:sz w:val="20"/>
          <w:lang w:val="en-US" w:eastAsia="en-US" w:bidi="ar-SA"/>
        </w:rPr>
        <w:t xml:space="preserve">  The City of Abbotsford says it will be prejudiced as a result of the interplay of sections 20 and 21 of the Police Act. As matters stand, the City would only be defending the police constables for acts of gross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However, if added to the proceedings, the City would be vicariously liable if the court were to find the police constables guilty of simple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To put it another way, counsel submits that, if added as a defendant, the scope of the City's defence to the claim against the police constables will be changed dramatically and it will be deprived of a substantial statutory defence.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38</w:t>
      </w:r>
      <w:r>
        <w:rPr>
          <w:rFonts w:ascii="arial" w:eastAsia="arial" w:hAnsi="arial" w:cs="arial"/>
          <w:color w:val="000000"/>
          <w:sz w:val="20"/>
          <w:lang w:val="en-US" w:eastAsia="en-US" w:bidi="ar-SA"/>
        </w:rPr>
        <w:t xml:space="preserve">  Whether added as a defendant or not, the City will have to defend its police constables. The facts will be the same. The issue will be whether the facts support a finding of simple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as opposed to gross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In my view, this does not dramatically alter the scope of the City's defence.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39</w:t>
      </w:r>
      <w:r>
        <w:rPr>
          <w:rFonts w:ascii="arial" w:eastAsia="arial" w:hAnsi="arial" w:cs="arial"/>
          <w:color w:val="000000"/>
          <w:sz w:val="20"/>
          <w:lang w:val="en-US" w:eastAsia="en-US" w:bidi="ar-SA"/>
        </w:rPr>
        <w:t xml:space="preserve">  The City submits further that the plaintiff has an alternative remedy available namely, to sue his former counsel for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The City asks why it should be faced with a loss as a result of the former counsel's failures and omissions.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40</w:t>
      </w:r>
      <w:r>
        <w:rPr>
          <w:rFonts w:ascii="arial" w:eastAsia="arial" w:hAnsi="arial" w:cs="arial"/>
          <w:color w:val="000000"/>
          <w:sz w:val="20"/>
          <w:lang w:val="en-US" w:eastAsia="en-US" w:bidi="ar-SA"/>
        </w:rPr>
        <w:t xml:space="preserve">  In support of these positions, the City cites Haight-Smith v. Pyper, </w:t>
      </w:r>
      <w:hyperlink r:id="rId301" w:history="1">
        <w:r>
          <w:rPr>
            <w:rFonts w:ascii="arial" w:eastAsia="arial" w:hAnsi="arial" w:cs="arial"/>
            <w:i/>
            <w:color w:val="0077CC"/>
            <w:sz w:val="20"/>
            <w:u w:val="single"/>
            <w:shd w:val="clear" w:color="auto" w:fill="FFFFFF"/>
            <w:lang w:val="en-US" w:eastAsia="en-US" w:bidi="ar-SA"/>
          </w:rPr>
          <w:t>[1997] B.C.J. No. 271</w:t>
        </w:r>
      </w:hyperlink>
      <w:r>
        <w:rPr>
          <w:rFonts w:ascii="arial" w:eastAsia="arial" w:hAnsi="arial" w:cs="arial"/>
          <w:color w:val="000000"/>
          <w:sz w:val="20"/>
          <w:lang w:val="en-US" w:eastAsia="en-US" w:bidi="ar-SA"/>
        </w:rPr>
        <w:t>, Kamloops Registry No. 23013 (January 29, 1999) B.C.S.C. (Master). With respect, I do not agree that Haight-Smith stands for the proposition the City advances.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41</w:t>
      </w:r>
      <w:r>
        <w:rPr>
          <w:rFonts w:ascii="arial" w:eastAsia="arial" w:hAnsi="arial" w:cs="arial"/>
          <w:color w:val="000000"/>
          <w:sz w:val="20"/>
          <w:lang w:val="en-US" w:eastAsia="en-US" w:bidi="ar-SA"/>
        </w:rPr>
        <w:t>  In that case, Master Powers (as he then was) found that counsel had been inexcusably dilatory. It is clear from the decision that the finding of dilatory conduct led the court to the conclusion that it was not just and convenient to add the R.C.M.P. as a party to the proceeding. Moreover, the court held it was not necessary to add the R.C.M.P. (See paragraphs 14, 15 at page 3).</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42</w:t>
      </w:r>
      <w:r>
        <w:rPr>
          <w:rFonts w:ascii="arial" w:eastAsia="arial" w:hAnsi="arial" w:cs="arial"/>
          <w:color w:val="000000"/>
          <w:sz w:val="20"/>
          <w:lang w:val="en-US" w:eastAsia="en-US" w:bidi="ar-SA"/>
        </w:rPr>
        <w:t xml:space="preserve">  As to a finding of dilatory conduct, the Court of Appeal, in Teal Cedar Products (1997) Ltd. v. Dale Intermediaries Ltd., et al </w:t>
      </w:r>
      <w:hyperlink r:id="rId302" w:history="1">
        <w:r>
          <w:rPr>
            <w:rFonts w:ascii="arial" w:eastAsia="arial" w:hAnsi="arial" w:cs="arial"/>
            <w:i/>
            <w:color w:val="0077CC"/>
            <w:sz w:val="20"/>
            <w:u w:val="single"/>
            <w:shd w:val="clear" w:color="auto" w:fill="FFFFFF"/>
            <w:lang w:val="en-US" w:eastAsia="en-US" w:bidi="ar-SA"/>
          </w:rPr>
          <w:t>(1996), 19 BCLR (3d) 282</w:t>
        </w:r>
      </w:hyperlink>
      <w:r>
        <w:rPr>
          <w:rFonts w:ascii="arial" w:eastAsia="arial" w:hAnsi="arial" w:cs="arial"/>
          <w:color w:val="000000"/>
          <w:sz w:val="20"/>
          <w:lang w:val="en-US" w:eastAsia="en-US" w:bidi="ar-SA"/>
        </w:rPr>
        <w:t>, held, at page 299, that the discretion accorded by R. 15(5)(a)(iii) should not be fettered by a requirement that a plaintiff disprove voluntary dilatory conduct. With respect to necessary parties, it is my view that in the circumstances of this case, it is necessary to add the City of Abbotsford because of the vicarious liability provision in the Police Act.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43</w:t>
      </w:r>
      <w:r>
        <w:rPr>
          <w:rFonts w:ascii="arial" w:eastAsia="arial" w:hAnsi="arial" w:cs="arial"/>
          <w:color w:val="000000"/>
          <w:sz w:val="20"/>
          <w:lang w:val="en-US" w:eastAsia="en-US" w:bidi="ar-SA"/>
        </w:rPr>
        <w:t>  Hacker Press is now Trinity (2000) Inc. It is the publisher of both the Abbotsford News and the Abbotsford Times. Hacker Press says the plaintiff knew of its existence as the publisher in or about March 1998 when it sent the letter advising the two newspapers of the possibility of civil action against them.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44</w:t>
      </w:r>
      <w:r>
        <w:rPr>
          <w:rFonts w:ascii="arial" w:eastAsia="arial" w:hAnsi="arial" w:cs="arial"/>
          <w:color w:val="000000"/>
          <w:sz w:val="20"/>
          <w:lang w:val="en-US" w:eastAsia="en-US" w:bidi="ar-SA"/>
        </w:rPr>
        <w:t>  Hacker Press submits that where the plaintiff has early notice of the existence of a potential defendant and fails to act until the limitation period has expired, the length of the delay is a relevant factor in the determination of prejudice.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45</w:t>
      </w:r>
      <w:r>
        <w:rPr>
          <w:rFonts w:ascii="arial" w:eastAsia="arial" w:hAnsi="arial" w:cs="arial"/>
          <w:color w:val="000000"/>
          <w:sz w:val="20"/>
          <w:lang w:val="en-US" w:eastAsia="en-US" w:bidi="ar-SA"/>
        </w:rPr>
        <w:t>  The prejudice alleged is two-fold: first, the delay means that the company with whom Hacker Press recently amalgamated, will, as a matter of law, be required to assume any liability that may be found against Hacker Press; second, prejudice is presumed when limitation periods have passed and the presumed prejudice is the protection of a limitation period. Business people ought to be entitled to rely on this protection.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46</w:t>
      </w:r>
      <w:r>
        <w:rPr>
          <w:rFonts w:ascii="arial" w:eastAsia="arial" w:hAnsi="arial" w:cs="arial"/>
          <w:color w:val="000000"/>
          <w:sz w:val="20"/>
          <w:lang w:val="en-US" w:eastAsia="en-US" w:bidi="ar-SA"/>
        </w:rPr>
        <w:t xml:space="preserve">  In Tri-Line Expressways v. Ansari </w:t>
      </w:r>
      <w:hyperlink r:id="rId303" w:history="1">
        <w:r>
          <w:rPr>
            <w:rFonts w:ascii="arial" w:eastAsia="arial" w:hAnsi="arial" w:cs="arial"/>
            <w:i/>
            <w:color w:val="0077CC"/>
            <w:sz w:val="20"/>
            <w:u w:val="single"/>
            <w:shd w:val="clear" w:color="auto" w:fill="FFFFFF"/>
            <w:lang w:val="en-US" w:eastAsia="en-US" w:bidi="ar-SA"/>
          </w:rPr>
          <w:t>(1997) 30 B.C.L.R. (3d) 222</w:t>
        </w:r>
      </w:hyperlink>
      <w:r>
        <w:rPr>
          <w:rFonts w:ascii="arial" w:eastAsia="arial" w:hAnsi="arial" w:cs="arial"/>
          <w:color w:val="000000"/>
          <w:sz w:val="20"/>
          <w:lang w:val="en-US" w:eastAsia="en-US" w:bidi="ar-SA"/>
        </w:rPr>
        <w:t xml:space="preserve"> (B.C.C.A.) Justice Lambert, speaking for the court, said: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to the extent that unexplained delay may be thought to give rise to a presumption of prejudice, that presumption, which seems to have been first mentioned in Lui v. West Granville Manor Ltd.(1985), </w:t>
      </w:r>
      <w:hyperlink r:id="rId304" w:history="1">
        <w:r>
          <w:rPr>
            <w:rFonts w:ascii="arial" w:eastAsia="arial" w:hAnsi="arial" w:cs="arial"/>
            <w:i/>
            <w:color w:val="0077CC"/>
            <w:sz w:val="20"/>
            <w:u w:val="single"/>
            <w:shd w:val="clear" w:color="auto" w:fill="FFFFFF"/>
            <w:lang w:val="en-US" w:eastAsia="en-US" w:bidi="ar-SA"/>
          </w:rPr>
          <w:t>61 B.C.L.R. 315</w:t>
        </w:r>
      </w:hyperlink>
      <w:r>
        <w:rPr>
          <w:rFonts w:ascii="arial" w:eastAsia="arial" w:hAnsi="arial" w:cs="arial"/>
          <w:color w:val="000000"/>
          <w:sz w:val="20"/>
          <w:lang w:val="en-US" w:eastAsia="en-US" w:bidi="ar-SA"/>
        </w:rPr>
        <w:t xml:space="preserve"> (C.A.) ("Lui No.1"), ... should be confined to the same of context in which it was first mentioned, namely the context of third party proceedings against a new party on an entirely new cause of action.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47</w:t>
      </w:r>
      <w:r>
        <w:rPr>
          <w:rFonts w:ascii="arial" w:eastAsia="arial" w:hAnsi="arial" w:cs="arial"/>
          <w:color w:val="000000"/>
          <w:sz w:val="20"/>
          <w:lang w:val="en-US" w:eastAsia="en-US" w:bidi="ar-SA"/>
        </w:rPr>
        <w:t>  I am not persuaded that there is any actual prejudice to the proposed defendants. I agree with Master Bolton that as a matter of justice, the plaintiff should not lose a cause of action unless the prejudice to the proposed defendants is noteworthy and palpably clear. Accordingly, I find that it is just and convenient to add the proposed defendants notwithstanding that a limitation period has passed.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48</w:t>
      </w:r>
      <w:r>
        <w:rPr>
          <w:rFonts w:ascii="arial" w:eastAsia="arial" w:hAnsi="arial" w:cs="arial"/>
          <w:color w:val="000000"/>
          <w:sz w:val="20"/>
          <w:lang w:val="en-US" w:eastAsia="en-US" w:bidi="ar-SA"/>
        </w:rPr>
        <w:t>  The next issue for consideration is whether the defendants once added to the proceedings are entitled nevertheless to plead the limitation defence at trial.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49</w:t>
      </w:r>
      <w:r>
        <w:rPr>
          <w:rFonts w:ascii="arial" w:eastAsia="arial" w:hAnsi="arial" w:cs="arial"/>
          <w:color w:val="000000"/>
          <w:sz w:val="20"/>
          <w:lang w:val="en-US" w:eastAsia="en-US" w:bidi="ar-SA"/>
        </w:rPr>
        <w:t xml:space="preserve">  Counsel referred the court to van Halderen v. Campney &amp; Murphy, </w:t>
      </w:r>
      <w:hyperlink r:id="rId305" w:history="1">
        <w:r>
          <w:rPr>
            <w:rFonts w:ascii="arial" w:eastAsia="arial" w:hAnsi="arial" w:cs="arial"/>
            <w:i/>
            <w:color w:val="0077CC"/>
            <w:sz w:val="20"/>
            <w:u w:val="single"/>
            <w:shd w:val="clear" w:color="auto" w:fill="FFFFFF"/>
            <w:lang w:val="en-US" w:eastAsia="en-US" w:bidi="ar-SA"/>
          </w:rPr>
          <w:t>2000 BCCA 234</w:t>
        </w:r>
      </w:hyperlink>
      <w:r>
        <w:rPr>
          <w:rFonts w:ascii="arial" w:eastAsia="arial" w:hAnsi="arial" w:cs="arial"/>
          <w:color w:val="000000"/>
          <w:sz w:val="20"/>
          <w:lang w:val="en-US" w:eastAsia="en-US" w:bidi="ar-SA"/>
        </w:rPr>
        <w:t xml:space="preserve">, </w:t>
      </w:r>
      <w:hyperlink r:id="rId305" w:history="1">
        <w:r>
          <w:rPr>
            <w:rFonts w:ascii="arial" w:eastAsia="arial" w:hAnsi="arial" w:cs="arial"/>
            <w:i/>
            <w:color w:val="0077CC"/>
            <w:sz w:val="20"/>
            <w:u w:val="single"/>
            <w:shd w:val="clear" w:color="auto" w:fill="FFFFFF"/>
            <w:lang w:val="en-US" w:eastAsia="en-US" w:bidi="ar-SA"/>
          </w:rPr>
          <w:t>[2000] B.C.J. No. 706</w:t>
        </w:r>
      </w:hyperlink>
      <w:r>
        <w:rPr>
          <w:rFonts w:ascii="arial" w:eastAsia="arial" w:hAnsi="arial" w:cs="arial"/>
          <w:color w:val="000000"/>
          <w:sz w:val="20"/>
          <w:lang w:val="en-US" w:eastAsia="en-US" w:bidi="ar-SA"/>
        </w:rPr>
        <w:t xml:space="preserve">. The case concerned an allegation by the plaintiffs of professional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against three lawyers and their firm and one accountant and his firm. At the conclusion of the plaintiffs' case the defendants brought a no evidence motion on the grounds that part of the plaintiffs' claim against them was statute barred and the other part attracted no 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50</w:t>
      </w:r>
      <w:r>
        <w:rPr>
          <w:rFonts w:ascii="arial" w:eastAsia="arial" w:hAnsi="arial" w:cs="arial"/>
          <w:color w:val="000000"/>
          <w:sz w:val="20"/>
          <w:lang w:val="en-US" w:eastAsia="en-US" w:bidi="ar-SA"/>
        </w:rPr>
        <w:t>  The action began in 1994. In January 1997 the plaintiffs sought leave to amend their statement of claim by adding a new cause of action against the defendants. The plaintiffs were successful but failed to amend in the time allowed by the court. They sought a further order to amend. The defendants consented. Plaintiffs filed the amended statement of claim in March 1997. The defendants filed an amended statement of defence in May 1997 but did not refer to the Limitation Act or plead a limitation defence.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51</w:t>
      </w:r>
      <w:r>
        <w:rPr>
          <w:rFonts w:ascii="arial" w:eastAsia="arial" w:hAnsi="arial" w:cs="arial"/>
          <w:color w:val="000000"/>
          <w:sz w:val="20"/>
          <w:lang w:val="en-US" w:eastAsia="en-US" w:bidi="ar-SA"/>
        </w:rPr>
        <w:t>  Two weeks into the trial the defendants sought to amend their amended statement of defence by raising the limitation issue. The plaintiffs refused to consent necessitating an application to court for leave to amend. The plaintiffs opposed the motion essentially on the grounds that, having consented to the amendment, the defendants were estopped by conduct or res judicata on the limitations issue.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52</w:t>
      </w:r>
      <w:r>
        <w:rPr>
          <w:rFonts w:ascii="arial" w:eastAsia="arial" w:hAnsi="arial" w:cs="arial"/>
          <w:color w:val="000000"/>
          <w:sz w:val="20"/>
          <w:lang w:val="en-US" w:eastAsia="en-US" w:bidi="ar-SA"/>
        </w:rPr>
        <w:t xml:space="preserve">  At trial, </w:t>
      </w:r>
      <w:hyperlink r:id="rId306" w:history="1">
        <w:r>
          <w:rPr>
            <w:rFonts w:ascii="arial" w:eastAsia="arial" w:hAnsi="arial" w:cs="arial"/>
            <w:i/>
            <w:color w:val="0077CC"/>
            <w:sz w:val="20"/>
            <w:u w:val="single"/>
            <w:shd w:val="clear" w:color="auto" w:fill="FFFFFF"/>
            <w:lang w:val="en-US" w:eastAsia="en-US" w:bidi="ar-SA"/>
          </w:rPr>
          <w:t>[1997] B.C.J. No. 3138</w:t>
        </w:r>
      </w:hyperlink>
      <w:r>
        <w:rPr>
          <w:rFonts w:ascii="arial" w:eastAsia="arial" w:hAnsi="arial" w:cs="arial"/>
          <w:color w:val="000000"/>
          <w:sz w:val="20"/>
          <w:lang w:val="en-US" w:eastAsia="en-US" w:bidi="ar-SA"/>
        </w:rPr>
        <w:t>, Madam Justice Satanove said that it was always open to defendants to oppose allegations contained in amendments by amending the defence to the action, not by opposing the application to amend.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53</w:t>
      </w:r>
      <w:r>
        <w:rPr>
          <w:rFonts w:ascii="arial" w:eastAsia="arial" w:hAnsi="arial" w:cs="arial"/>
          <w:color w:val="000000"/>
          <w:sz w:val="20"/>
          <w:lang w:val="en-US" w:eastAsia="en-US" w:bidi="ar-SA"/>
        </w:rPr>
        <w:t>  Justice Satanove said that the authorities she referred to confirmed that: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a party's position with respect to the amendment of pleadings does not affect its right to defend those amendments at trial. Nor does a chambers judge's disposition of an application for leave to amend necessarily affect what is subsequently pleaded in response. Therefore it is irrelevant whether the plaintiffs... would have succeeded in a Section 4(4) of the Limitations Act argument or not. The defendants would still be entitled to raise a Limitations Act defence.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54</w:t>
      </w:r>
      <w:r>
        <w:rPr>
          <w:rFonts w:ascii="arial" w:eastAsia="arial" w:hAnsi="arial" w:cs="arial"/>
          <w:color w:val="000000"/>
          <w:sz w:val="20"/>
          <w:lang w:val="en-US" w:eastAsia="en-US" w:bidi="ar-SA"/>
        </w:rPr>
        <w:t>  Justice Satanove considered the issue of prejudice and held that the defendants would suffer by far the greater prejudice if the application to amend was not allowed. She said that removing a limitation defence from the defendants would be unjust and unfair.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55</w:t>
      </w:r>
      <w:r>
        <w:rPr>
          <w:rFonts w:ascii="arial" w:eastAsia="arial" w:hAnsi="arial" w:cs="arial"/>
          <w:color w:val="000000"/>
          <w:sz w:val="20"/>
          <w:lang w:val="en-US" w:eastAsia="en-US" w:bidi="ar-SA"/>
        </w:rPr>
        <w:t>  The plaintiffs appealed. With respect to the amendment issue, Madam Justice Huddart speaking for the court said: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[25] The appellants did not point directly to any error in principle or any consideration or an irrelevant factor, failure to consider a relevant factor, or overemphasis on some factor by the trial judge. They confined their submission to a recitation of authorities setting out the test for the granting of leave to amend to include a limitation defence. By reference to their factum and inference from the authorities to which their counsel referred I surmise the appellants are complaining the trial judge erred in principle when she allowed an amendment to plead a limitation defence that put the plaintiff "in an unfair position" without sufficient evidence "to support the means of knowledge test." (van Halderen v. Campney &amp; Murphy, </w:t>
      </w:r>
      <w:hyperlink r:id="rId305" w:history="1">
        <w:r>
          <w:rPr>
            <w:rFonts w:ascii="arial" w:eastAsia="arial" w:hAnsi="arial" w:cs="arial"/>
            <w:i/>
            <w:color w:val="0077CC"/>
            <w:sz w:val="20"/>
            <w:u w:val="single"/>
            <w:shd w:val="clear" w:color="auto" w:fill="FFFFFF"/>
            <w:lang w:val="en-US" w:eastAsia="en-US" w:bidi="ar-SA"/>
          </w:rPr>
          <w:t>2000 BCCA 234</w:t>
        </w:r>
      </w:hyperlink>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56</w:t>
      </w:r>
      <w:r>
        <w:rPr>
          <w:rFonts w:ascii="arial" w:eastAsia="arial" w:hAnsi="arial" w:cs="arial"/>
          <w:color w:val="000000"/>
          <w:sz w:val="20"/>
          <w:lang w:val="en-US" w:eastAsia="en-US" w:bidi="ar-SA"/>
        </w:rPr>
        <w:t>  The Court of Appeal refused to interfere with Justice Satanove's order granting leave to amend. The court found that the trial judge had exercised her discretion judicially when she held that the defendants would suffer far greater prejudice than the plaintiffs if their application to amend was not allowed.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57</w:t>
      </w:r>
      <w:r>
        <w:rPr>
          <w:rFonts w:ascii="arial" w:eastAsia="arial" w:hAnsi="arial" w:cs="arial"/>
          <w:color w:val="000000"/>
          <w:sz w:val="20"/>
          <w:lang w:val="en-US" w:eastAsia="en-US" w:bidi="ar-SA"/>
        </w:rPr>
        <w:t xml:space="preserve">  It is not apparent from the court of appeal decision what authorities the appellants referred to. But at trial I note that the plaintiffs did not refer Justice Satanove to Brito v. Wooley </w:t>
      </w:r>
      <w:hyperlink r:id="rId307" w:history="1">
        <w:r>
          <w:rPr>
            <w:rFonts w:ascii="arial" w:eastAsia="arial" w:hAnsi="arial" w:cs="arial"/>
            <w:i/>
            <w:color w:val="0077CC"/>
            <w:sz w:val="20"/>
            <w:u w:val="single"/>
            <w:shd w:val="clear" w:color="auto" w:fill="FFFFFF"/>
            <w:lang w:val="en-US" w:eastAsia="en-US" w:bidi="ar-SA"/>
          </w:rPr>
          <w:t>(1997), 15 CPC (4th) 255</w:t>
        </w:r>
      </w:hyperlink>
      <w:r>
        <w:rPr>
          <w:rFonts w:ascii="arial" w:eastAsia="arial" w:hAnsi="arial" w:cs="arial"/>
          <w:color w:val="000000"/>
          <w:sz w:val="20"/>
          <w:lang w:val="en-US" w:eastAsia="en-US" w:bidi="ar-SA"/>
        </w:rPr>
        <w:t xml:space="preserve">, a decision of Master Joyce (as he then was). And, while Justice Satanove did refer in passing to Lui v. West Granville ("Lui No. 2") </w:t>
      </w:r>
      <w:hyperlink r:id="rId308" w:history="1">
        <w:r>
          <w:rPr>
            <w:rFonts w:ascii="arial" w:eastAsia="arial" w:hAnsi="arial" w:cs="arial"/>
            <w:i/>
            <w:color w:val="0077CC"/>
            <w:sz w:val="20"/>
            <w:u w:val="single"/>
            <w:shd w:val="clear" w:color="auto" w:fill="FFFFFF"/>
            <w:lang w:val="en-US" w:eastAsia="en-US" w:bidi="ar-SA"/>
          </w:rPr>
          <w:t>(1987), 11 B.C.L.R. (2d) 273</w:t>
        </w:r>
      </w:hyperlink>
      <w:r>
        <w:rPr>
          <w:rFonts w:ascii="arial" w:eastAsia="arial" w:hAnsi="arial" w:cs="arial"/>
          <w:color w:val="000000"/>
          <w:sz w:val="20"/>
          <w:lang w:val="en-US" w:eastAsia="en-US" w:bidi="ar-SA"/>
        </w:rPr>
        <w:t xml:space="preserve"> (B.C.C.A.), she did not discuss the impact of that decision on the issue of the defendants' Limitation Act defence.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58</w:t>
      </w:r>
      <w:r>
        <w:rPr>
          <w:rFonts w:ascii="arial" w:eastAsia="arial" w:hAnsi="arial" w:cs="arial"/>
          <w:color w:val="000000"/>
          <w:sz w:val="20"/>
          <w:lang w:val="en-US" w:eastAsia="en-US" w:bidi="ar-SA"/>
        </w:rPr>
        <w:t>  Brito was a medical malpractice case. The plaintiffs were Elliott Neal Pawliuk Brito an infant suing by his Guardian Ad Litem, his mother Rosemary Pawliuk, and Rosemary Pawliuk. The Rule 15(5) application before Master Joyce was to add Dr. Ross as a defendant and Mr. Brito, the infant's father, as a plaintiff to the proceedings. Counsel for Dr. Ross opposed adding her to the action with respect to Rosemary Pawliuk's claim and that of her husband, if he was named as a plaintiff, on the grounds that a limitation period had passed. The named defendants opposed the addition of Brito as a plaintiff on the same ground.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59</w:t>
      </w:r>
      <w:r>
        <w:rPr>
          <w:rFonts w:ascii="arial" w:eastAsia="arial" w:hAnsi="arial" w:cs="arial"/>
          <w:color w:val="000000"/>
          <w:sz w:val="20"/>
          <w:lang w:val="en-US" w:eastAsia="en-US" w:bidi="ar-SA"/>
        </w:rPr>
        <w:t xml:space="preserve">  Master Joyce summarized the applicable legal principles derived from "Lui No.2" (supra), Cementation Co. (Can) Ltd. v. American Home Assurance Co. </w:t>
      </w:r>
      <w:hyperlink r:id="rId309" w:history="1">
        <w:r>
          <w:rPr>
            <w:rFonts w:ascii="arial" w:eastAsia="arial" w:hAnsi="arial" w:cs="arial"/>
            <w:i/>
            <w:color w:val="0077CC"/>
            <w:sz w:val="20"/>
            <w:u w:val="single"/>
            <w:shd w:val="clear" w:color="auto" w:fill="FFFFFF"/>
            <w:lang w:val="en-US" w:eastAsia="en-US" w:bidi="ar-SA"/>
          </w:rPr>
          <w:t>(1989), 37 BCLR (2d) 172</w:t>
        </w:r>
      </w:hyperlink>
      <w:r>
        <w:rPr>
          <w:rFonts w:ascii="arial" w:eastAsia="arial" w:hAnsi="arial" w:cs="arial"/>
          <w:color w:val="000000"/>
          <w:sz w:val="20"/>
          <w:lang w:val="en-US" w:eastAsia="en-US" w:bidi="ar-SA"/>
        </w:rPr>
        <w:t xml:space="preserve"> (C.A.) Teal Cedar Products (1977) Ltd. v. Dale Intermediaries Ltd. (supra), Tri-Line Expressways v. Ansari (supra). Of most relevance to the case at Bar are the following statements of legal principles:</w:t>
      </w:r>
      <w:r>
        <w:rPr>
          <w:rFonts w:ascii="arial" w:eastAsia="arial" w:hAnsi="arial" w:cs="arial"/>
          <w:sz w:val="20"/>
          <w:lang w:val="en-US" w:eastAsia="en-US" w:bidi="ar-SA"/>
        </w:rPr>
        <w:cr/>
      </w:r>
    </w:p>
    <w:p>
      <w:pPr>
        <w:numPr>
          <w:numId w:val="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addition of a party to an action under Rule 15(5) elimiates any limitation defence which might otherwise be available to the defendant if separate proceedings were brought: see Lui v. West Granville Manor Ltd. et al.</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 the proper approach to applications such as this is as follows:</w:t>
      </w:r>
    </w:p>
    <w:p>
      <w:pPr>
        <w:numPr>
          <w:numId w:val="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if it is conceded that there is an accrued limitation defence... then the question is whether or not it would be just and convenient to add the party notwithstanding that by doing so the defendant will lose the benefit of the limitation defence. If the answer to that question is yes, then the order should be made.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60</w:t>
      </w:r>
      <w:r>
        <w:rPr>
          <w:rFonts w:ascii="arial" w:eastAsia="arial" w:hAnsi="arial" w:cs="arial"/>
          <w:color w:val="000000"/>
          <w:sz w:val="20"/>
          <w:lang w:val="en-US" w:eastAsia="en-US" w:bidi="ar-SA"/>
        </w:rPr>
        <w:t xml:space="preserve">  Master Joyce followed Brito in Leach v. Ng, </w:t>
      </w:r>
      <w:hyperlink r:id="rId310" w:history="1">
        <w:r>
          <w:rPr>
            <w:rFonts w:ascii="arial" w:eastAsia="arial" w:hAnsi="arial" w:cs="arial"/>
            <w:i/>
            <w:color w:val="0077CC"/>
            <w:sz w:val="20"/>
            <w:u w:val="single"/>
            <w:shd w:val="clear" w:color="auto" w:fill="FFFFFF"/>
            <w:lang w:val="en-US" w:eastAsia="en-US" w:bidi="ar-SA"/>
          </w:rPr>
          <w:t>[1999] B.C.J. No. 3020</w:t>
        </w:r>
      </w:hyperlink>
      <w:r>
        <w:rPr>
          <w:rFonts w:ascii="arial" w:eastAsia="arial" w:hAnsi="arial" w:cs="arial"/>
          <w:color w:val="000000"/>
          <w:sz w:val="20"/>
          <w:lang w:val="en-US" w:eastAsia="en-US" w:bidi="ar-SA"/>
        </w:rPr>
        <w:t xml:space="preserve"> and found that it was just to make the order adding a defendant even if the result was to take away a limitation defence that might otherwise be available.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61</w:t>
      </w:r>
      <w:r>
        <w:rPr>
          <w:rFonts w:ascii="arial" w:eastAsia="arial" w:hAnsi="arial" w:cs="arial"/>
          <w:color w:val="000000"/>
          <w:sz w:val="20"/>
          <w:lang w:val="en-US" w:eastAsia="en-US" w:bidi="ar-SA"/>
        </w:rPr>
        <w:t>  In my view, Justice Satanove's decision at trial in van Halderen conflicts with the decision in Brito. As noted, however, Justice Satanove was not made aware of the decision in Brito. Nor, it appears, did the Court of Appeal have the benefit of argument by the appellants on the principles set out in that case based on Master Joyce's analysis of the authorities.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62</w:t>
      </w:r>
      <w:r>
        <w:rPr>
          <w:rFonts w:ascii="arial" w:eastAsia="arial" w:hAnsi="arial" w:cs="arial"/>
          <w:color w:val="000000"/>
          <w:sz w:val="20"/>
          <w:lang w:val="en-US" w:eastAsia="en-US" w:bidi="ar-SA"/>
        </w:rPr>
        <w:t>  In my respectful view, a decision to permit the addition of a defendant to a proceeding after a limitation period has passed must mean that the newly added defendant has lost the right to plead a limitation defence. That conclusion is implicit in the factors the court must consider in the exercise of its discretion under Rule 15(5): the length of the delay; the reasons for the delay; the prejudice that will accrue to the parties and the intended parties including the fact that a limitation defence has expired, and, finally, the justice and convenience in all of the circumstances of adding the proposed party even though in so doing the proposed party will be deprived of a defence otherwise open to him or her.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63</w:t>
      </w:r>
      <w:r>
        <w:rPr>
          <w:rFonts w:ascii="arial" w:eastAsia="arial" w:hAnsi="arial" w:cs="arial"/>
          <w:color w:val="000000"/>
          <w:sz w:val="20"/>
          <w:lang w:val="en-US" w:eastAsia="en-US" w:bidi="ar-SA"/>
        </w:rPr>
        <w:t>  The application to add the proposed defendants, amend the style of proceeding and the statement of claim accordingly, is granted.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MASTER NITIKMAN</w:t>
      </w:r>
      <w:r>
        <w:rPr>
          <w:rFonts w:ascii="arial" w:eastAsia="arial" w:hAnsi="arial" w:cs="arial"/>
          <w:sz w:val="20"/>
          <w:lang w:val="en-US" w:eastAsia="en-US" w:bidi="ar-SA"/>
        </w:rPr>
        <w:cr/>
      </w:r>
    </w:p>
    <w:p>
      <w:pPr>
        <w:rPr>
          <w:rFonts w:ascii="arial" w:eastAsia="arial" w:hAnsi="arial" w:cs="arial"/>
          <w:sz w:val="20"/>
          <w:lang w:val="en-US" w:eastAsia="en-US" w:bidi="ar-SA"/>
        </w:rPr>
      </w:pPr>
    </w:p>
    <w:p>
      <w:pPr>
        <w:ind w:left="200"/>
        <w:rPr>
          <w:rFonts w:ascii="arial" w:eastAsia="arial" w:hAnsi="arial" w:cs="arial"/>
          <w:sz w:val="20"/>
          <w:lang w:val="en-US" w:eastAsia="en-US" w:bidi="ar-SA"/>
        </w:rPr>
        <w:sectPr>
          <w:type w:val="continuous"/>
          <w:pgMar w:top="840" w:right="1000" w:bottom="840" w:left="1000" w:header="400" w:footer="400"/>
          <w:pgNumType w:fmt="decimal"/>
          <w:cols w:space="720"/>
        </w:sectPr>
      </w:pPr>
      <w:r>
        <w:rPr>
          <w:rFonts w:ascii="arial" w:eastAsia="arial" w:hAnsi="arial" w:cs="arial"/>
          <w:sz w:val="20"/>
          <w:lang w:val="en-US" w:eastAsia="en-US" w:bidi="ar-SA"/>
        </w:rPr>
        <w:br/>
      </w:r>
      <w:r>
        <w:pict>
          <v:line id="_x0000_s1082" style="position:absolute;z-index:251867136" from="0,10pt" to="512pt,10pt" strokecolor="black" strokeweight="1pt">
            <v:stroke linestyle="single"/>
          </v:line>
        </w:pict>
      </w:r>
      <w:r>
        <w:rPr>
          <w:b/>
          <w:color w:val="767676"/>
          <w:sz w:val="16"/>
          <w:lang w:val="en-US" w:eastAsia="en-US" w:bidi="ar-SA"/>
        </w:rPr>
        <w:t>End of Document</w:t>
      </w:r>
    </w:p>
    <w:p>
      <w:pPr>
        <w:rPr>
          <w:rFonts w:ascii="arial" w:eastAsia="arial" w:hAnsi="arial" w:cs="arial"/>
          <w:sz w:val="20"/>
          <w:lang w:val="en-US" w:eastAsia="en-US" w:bidi="ar-SA"/>
        </w:rPr>
        <w:sectPr>
          <w:headerReference w:type="even" r:id="rId311"/>
          <w:headerReference w:type="default" r:id="rId312"/>
          <w:footerReference w:type="even" r:id="rId313"/>
          <w:footerReference w:type="default" r:id="rId314"/>
          <w:headerReference w:type="first" r:id="rId315"/>
          <w:footerReference w:type="first" r:id="rId316"/>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eastAsia="arial" w:hAnsi="Arial" w:cs="Arial"/>
          <w:b/>
          <w:bCs/>
          <w:kern w:val="32"/>
          <w:sz w:val="32"/>
          <w:szCs w:val="32"/>
          <w:lang w:val="en-US" w:eastAsia="en-US" w:bidi="ar-SA"/>
        </w:rPr>
      </w:pPr>
      <w:hyperlink r:id="rId317" w:history="1">
        <w:r>
          <w:rPr>
            <w:rFonts w:ascii="arial" w:eastAsia="arial" w:hAnsi="arial" w:cs="arial"/>
            <w:b/>
            <w:bCs/>
            <w:i/>
            <w:color w:val="0077CC"/>
            <w:kern w:val="32"/>
            <w:sz w:val="28"/>
            <w:szCs w:val="32"/>
            <w:u w:val="single"/>
            <w:shd w:val="clear" w:color="auto" w:fill="FFFFFF"/>
            <w:lang w:val="en-US" w:eastAsia="en-US" w:bidi="ar-SA"/>
          </w:rPr>
          <w:t>Chapman v. Chapman, [2008] B.C.J. No. 1532</w:t>
        </w:r>
      </w:hyperlink>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Judgments</w:t>
      </w:r>
    </w:p>
    <w:p>
      <w:pPr>
        <w:rPr>
          <w:rFonts w:ascii="arial" w:eastAsia="arial" w:hAnsi="arial" w:cs="arial"/>
          <w:sz w:val="20"/>
          <w:lang w:val="en-US" w:eastAsia="en-US" w:bidi="ar-SA"/>
        </w:rPr>
      </w:pP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Vancouver, British Columbia</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P.J. Pearlman J. (In Chambers)</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Heard: July 24, 2008.</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Judgment: August 12, 2008.</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Docket: M043663</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Registry: Vancouver</w:t>
      </w:r>
    </w:p>
    <w:p>
      <w:pPr>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r>
        <w:rPr>
          <w:rFonts w:ascii="arial" w:eastAsia="arial" w:hAnsi="arial" w:cs="arial"/>
          <w:b/>
          <w:color w:val="000000"/>
          <w:sz w:val="20"/>
          <w:lang w:val="en-US" w:eastAsia="en-US" w:bidi="ar-SA"/>
        </w:rPr>
        <w:t>[2008] B.C.J. No. 1532</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2008 BCSC 1088</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66 C.C.L.I. (4th) 56</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2008 CarswellBC 1696</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171 A.C.W.S. (3d) 587</w:t>
      </w:r>
    </w:p>
    <w:p>
      <w:pPr>
        <w:spacing w:before="120" w:line="260" w:lineRule="atLeast"/>
        <w:rPr>
          <w:rFonts w:ascii="arial" w:eastAsia="arial" w:hAnsi="arial" w:cs="arial"/>
          <w:sz w:val="20"/>
          <w:lang w:val="en-US" w:eastAsia="en-US" w:bidi="ar-SA"/>
        </w:rPr>
      </w:pPr>
      <w:r>
        <w:rPr>
          <w:rFonts w:ascii="arial" w:eastAsia="arial" w:hAnsi="arial" w:cs="arial"/>
          <w:color w:val="000000"/>
          <w:sz w:val="20"/>
          <w:lang w:val="en-US" w:eastAsia="en-US" w:bidi="ar-SA"/>
        </w:rPr>
        <w:t>Between Linda Chapman, Plaintiff, and William Chapman and others, Defendants, and General Motors of Canada Limited, General Motors Corporation and John Doe Manufacturers, Third Parties</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(66 paras.)</w:t>
      </w:r>
    </w:p>
    <w:p>
      <w:pPr>
        <w:keepNext/>
        <w:spacing w:before="12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Case Summary</w:t>
      </w:r>
    </w:p>
    <w:p>
      <w:pPr>
        <w:spacing w:line="60" w:lineRule="exact"/>
        <w:rPr>
          <w:rFonts w:ascii="arial" w:eastAsia="arial" w:hAnsi="arial" w:cs="arial"/>
          <w:sz w:val="20"/>
          <w:lang w:val="en-US" w:eastAsia="en-US" w:bidi="ar-SA"/>
        </w:rPr>
      </w:pPr>
      <w:r>
        <w:pict>
          <v:line id="_x0000_s1083" style="position:absolute;z-index:251670528"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bookmarkStart w:id="73" w:name="Keywords_10"/>
      <w:bookmarkEnd w:id="73"/>
      <w:r>
        <w:rPr>
          <w:rFonts w:ascii="arial" w:eastAsia="arial" w:hAnsi="arial" w:cs="arial"/>
          <w:b/>
          <w:color w:val="000000"/>
          <w:sz w:val="20"/>
          <w:lang w:val="en-US" w:eastAsia="en-US" w:bidi="ar-SA"/>
        </w:rPr>
        <w:t>Civil litigation — Parties — Third party procedure — Striking out or setting aside — Injunctions — Preservation of property — Discovery — Inspection of property — Application by defendant for order that a 2005 Preservation Order respecting a vehicle be discharged nunc pro tunc on ground that he was not in possession of vehicle at time of order — Third party sought order for production of vehicle for inspection or to strike out third party claim — Plaintiff sued defendant, her father, for damages cause by single vehicle accident while she drove defendant's vehicle — Plaintiff alleged vehicle defective — Father stored vehicle on his property and it was stolen — Defendant's application allowed — Third party's application dismissed — Vehicle not in defendant's possession at time Preservation Order was made — Although third party prejudiced by loss of vehicle, loss not result of defendant's bad faith — Third party claim not hopeless.</w:t>
      </w:r>
    </w:p>
    <w:p>
      <w:pPr>
        <w:rPr>
          <w:rFonts w:ascii="arial" w:eastAsia="arial" w:hAnsi="arial" w:cs="arial"/>
          <w:sz w:val="20"/>
          <w:lang w:val="en-US" w:eastAsia="en-US" w:bidi="ar-SA"/>
        </w:rPr>
      </w:pPr>
    </w:p>
    <w:tbl>
      <w:tblPr>
        <w:tblStyle w:val="TableNormal"/>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
      <w:tblGrid>
        <w:gridCol w:w="10225"/>
      </w:tblGrid>
      <w:tr>
        <w:tblPrEx>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Ex>
        <w:tc>
          <w:tcPr/>
          <w:p>
            <w:pPr>
              <w:rPr>
                <w:rFonts w:ascii="arial" w:eastAsia="arial" w:hAnsi="arial" w:cs="arial"/>
                <w:sz w:val="20"/>
                <w:lang w:val="en-US" w:eastAsia="en-US" w:bidi="ar-SA"/>
              </w:rPr>
            </w:pPr>
            <w:bookmarkStart w:id="74" w:name="Case Summary_9"/>
            <w:bookmarkEnd w:id="74"/>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Application by the defendant for an order that a 2005 Preservation Order be discharged nunc pro tunc. The Preservation Order required the defendant to preserve the plaintiff's vehicle and defective components in their current condition until final disposition of this action. The defendant argued he established he did not have the vehicle in his possession at the time of the order. The third party, General Motors, opposed the application and sought an order dismissing the third party claim or requiring the defendant to produce the vehicle and defective components for inspection. The plaintiff sued for injuries sustained in a single vehicle accident. The vehicle was owned by her father, the defendant and manufactured by the third party. The plaintiff alleged the vehicle was defective and that the father failed to maintain it properly. The plaintiff's claim against General Motors was discontinued. After the accident, the father stored the vehicle on the grounds of his auto body repair shop where it was stolen b y unknown parties before the Preservation Order was made. General Motors argues that its ability to defend the Third Party claim had been severely prejudiced by the loss of the vehicle and that the third party claim should thus be dismissed. </w:t>
            </w:r>
            <w:r>
              <w:rPr>
                <w:rFonts w:ascii="arial" w:eastAsia="arial" w:hAnsi="arial" w:cs="arial"/>
                <w:sz w:val="20"/>
                <w:lang w:val="en-US" w:eastAsia="en-US" w:bidi="ar-SA"/>
              </w:rPr>
              <w:cr/>
            </w:r>
          </w:p>
          <w:p>
            <w:pPr>
              <w:spacing w:before="120" w:line="260" w:lineRule="atLeast"/>
              <w:ind w:left="240"/>
              <w:jc w:val="both"/>
              <w:rPr>
                <w:rFonts w:ascii="arial" w:eastAsia="arial" w:hAnsi="arial" w:cs="arial"/>
                <w:sz w:val="20"/>
                <w:lang w:val="en-US" w:eastAsia="en-US" w:bidi="ar-SA"/>
              </w:rPr>
            </w:pPr>
            <w:bookmarkStart w:id="75" w:name="Holdings of Court_9"/>
            <w:bookmarkEnd w:id="75"/>
            <w:r>
              <w:rPr>
                <w:rFonts w:ascii="arial" w:eastAsia="arial" w:hAnsi="arial" w:cs="arial"/>
                <w:color w:val="000000"/>
                <w:sz w:val="20"/>
                <w:lang w:val="en-US" w:eastAsia="en-US" w:bidi="ar-SA"/>
              </w:rPr>
              <w:t>HELD: Defendant's application allowed.</w:t>
            </w:r>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Third party's application dismissed. Based on the defendant's evidence, the vehicle was not in his possession at the time the Preservation Order was made. The plaintiff and third party adduced no evidence to suggest the vehicle was in the defendant's possession at the time the order was made or thereafter. Although General Motors established that it suffered prejudice as a result of the loss of the vehicle, that prejudice was not the result of any deliberate misconduct, bad faith, or deception by the defendant. This was not a clear case of vexatious or hopeless litigation or of a litigant otherwise unfairly using the court's process that would warrant the exercise of the court's discretion to strike out the Third Party claim now for abuse of process. </w:t>
            </w:r>
            <w:r>
              <w:rPr>
                <w:rFonts w:ascii="arial" w:eastAsia="arial" w:hAnsi="arial" w:cs="arial"/>
                <w:sz w:val="20"/>
                <w:lang w:val="en-US" w:eastAsia="en-US" w:bidi="ar-SA"/>
              </w:rPr>
              <w:cr/>
            </w:r>
          </w:p>
          <w:p>
            <w:pPr>
              <w:rPr>
                <w:rFonts w:ascii="arial" w:eastAsia="arial" w:hAnsi="arial" w:cs="arial"/>
                <w:sz w:val="20"/>
                <w:lang w:val="en-US" w:eastAsia="en-US" w:bidi="ar-SA"/>
              </w:rPr>
            </w:pPr>
          </w:p>
        </w:tc>
      </w:tr>
    </w:tbl>
    <w:p>
      <w:pPr>
        <w:jc w:val="both"/>
        <w:rPr>
          <w:rFonts w:ascii="arial" w:eastAsia="arial" w:hAnsi="arial" w:cs="arial"/>
          <w:sz w:val="20"/>
          <w:lang w:val="en-US" w:eastAsia="en-US" w:bidi="ar-SA"/>
        </w:rPr>
      </w:pPr>
      <w:bookmarkStart w:id="76" w:name="Legislation Cited_6"/>
      <w:bookmarkEnd w:id="76"/>
      <w:r>
        <w:rPr>
          <w:rFonts w:ascii="arial" w:eastAsia="arial" w:hAnsi="arial" w:cs="arial"/>
          <w:sz w:val="20"/>
          <w:lang w:val="en-US" w:eastAsia="en-US" w:bidi="ar-SA"/>
        </w:rPr>
        <w:br/>
      </w:r>
    </w:p>
    <w:p>
      <w:pPr>
        <w:keepNext/>
        <w:spacing w:before="24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Statutes, Regulations and Rules Cited:</w:t>
      </w:r>
    </w:p>
    <w:p>
      <w:pPr>
        <w:spacing w:line="60" w:lineRule="exact"/>
        <w:rPr>
          <w:rFonts w:ascii="arial" w:eastAsia="arial" w:hAnsi="arial" w:cs="arial"/>
          <w:sz w:val="20"/>
          <w:lang w:val="en-US" w:eastAsia="en-US" w:bidi="ar-SA"/>
        </w:rPr>
      </w:pPr>
      <w:r>
        <w:pict>
          <v:line id="_x0000_s1084" style="position:absolute;z-index:251721728"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Rules of Court, Rule 2(2)(d), Rule 2(5)(c), Rule 2(5)(c), Rule 2(5)(f), Rule 2(6), Rule 19(24)(d)</w:t>
      </w:r>
      <w:r>
        <w:rPr>
          <w:rFonts w:ascii="arial" w:eastAsia="arial" w:hAnsi="arial" w:cs="arial"/>
          <w:sz w:val="20"/>
          <w:lang w:val="en-US" w:eastAsia="en-US" w:bidi="ar-SA"/>
        </w:rPr>
        <w:cr/>
      </w:r>
    </w:p>
    <w:p>
      <w:pPr>
        <w:keepNext/>
        <w:spacing w:before="240" w:line="340" w:lineRule="atLeast"/>
        <w:rPr>
          <w:rFonts w:ascii="arial" w:eastAsia="arial" w:hAnsi="arial" w:cs="arial"/>
          <w:sz w:val="20"/>
          <w:lang w:val="en-US" w:eastAsia="en-US" w:bidi="ar-SA"/>
        </w:rPr>
      </w:pPr>
      <w:bookmarkStart w:id="77" w:name="Counsel_10"/>
      <w:bookmarkEnd w:id="77"/>
      <w:r>
        <w:rPr>
          <w:rFonts w:ascii="arial" w:eastAsia="arial" w:hAnsi="arial" w:cs="arial"/>
          <w:b/>
          <w:color w:val="000000"/>
          <w:sz w:val="28"/>
          <w:lang w:val="en-US" w:eastAsia="en-US" w:bidi="ar-SA"/>
        </w:rPr>
        <w:t>Counsel</w:t>
      </w:r>
    </w:p>
    <w:p>
      <w:pPr>
        <w:spacing w:line="60" w:lineRule="exact"/>
        <w:rPr>
          <w:rFonts w:ascii="arial" w:eastAsia="arial" w:hAnsi="arial" w:cs="arial"/>
          <w:sz w:val="20"/>
          <w:lang w:val="en-US" w:eastAsia="en-US" w:bidi="ar-SA"/>
        </w:rPr>
      </w:pPr>
      <w:r>
        <w:pict>
          <v:line id="_x0000_s1085" style="position:absolute;z-index:251772928"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Counsel for the Plaintiff: A.E. Maragos.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Counsel for the Defendant: C.M. Duplessis.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Counsel for the Third Parties: M.W. Bühler.</w:t>
      </w:r>
      <w:r>
        <w:rPr>
          <w:rFonts w:ascii="arial" w:eastAsia="arial" w:hAnsi="arial" w:cs="arial"/>
          <w:sz w:val="20"/>
          <w:lang w:val="en-US" w:eastAsia="en-US" w:bidi="ar-SA"/>
        </w:rPr>
        <w:cr/>
      </w:r>
    </w:p>
    <w:p>
      <w:pPr>
        <w:spacing w:after="240"/>
        <w:rPr>
          <w:rFonts w:ascii="arial" w:eastAsia="arial" w:hAnsi="arial" w:cs="arial"/>
          <w:sz w:val="20"/>
          <w:lang w:val="en-US" w:eastAsia="en-US" w:bidi="ar-SA"/>
        </w:rPr>
      </w:pPr>
      <w:bookmarkStart w:id="78" w:name="Judgment_11"/>
      <w:bookmarkEnd w:id="78"/>
      <w:r>
        <w:pict>
          <v:line id="_x0000_s1086" style="position:absolute;z-index:251822080" from="0,12pt" to="512pt,12pt" strokecolor="#009ddb" strokeweight="1.5pt">
            <v:stroke linestyle="single"/>
          </v:line>
        </w:pict>
      </w:r>
    </w:p>
    <w:p>
      <w:pPr>
        <w:spacing w:before="120" w:line="260" w:lineRule="atLeast"/>
        <w:jc w:val="center"/>
        <w:rPr>
          <w:rFonts w:ascii="arial" w:eastAsia="arial" w:hAnsi="arial" w:cs="arial"/>
          <w:sz w:val="20"/>
          <w:lang w:val="en-US" w:eastAsia="en-US" w:bidi="ar-SA"/>
        </w:rPr>
      </w:pPr>
      <w:r>
        <w:rPr>
          <w:rFonts w:ascii="arial" w:eastAsia="arial" w:hAnsi="arial" w:cs="arial"/>
          <w:b/>
          <w:color w:val="000000"/>
          <w:sz w:val="20"/>
          <w:lang w:val="en-US" w:eastAsia="en-US" w:bidi="ar-SA"/>
        </w:rPr>
        <w:t>Reasons for Judgment</w:t>
      </w:r>
      <w:r>
        <w:rPr>
          <w:rFonts w:ascii="arial" w:eastAsia="arial" w:hAnsi="arial" w:cs="arial"/>
          <w:sz w:val="20"/>
          <w:lang w:val="en-US" w:eastAsia="en-US" w:bidi="ar-SA"/>
        </w:rPr>
        <w:cr/>
      </w:r>
    </w:p>
    <w:p>
      <w:pPr>
        <w:rPr>
          <w:rFonts w:ascii="arial" w:eastAsia="arial" w:hAnsi="arial" w:cs="arial"/>
          <w:sz w:val="20"/>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2920"/>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rFonts w:ascii="arial" w:eastAsia="arial" w:hAnsi="arial" w:cs="arial"/>
                <w:sz w:val="20"/>
                <w:lang w:val="en-US" w:eastAsia="en-US" w:bidi="ar-SA"/>
              </w:rPr>
            </w:pPr>
            <w:bookmarkStart w:id="79" w:name="P.J. PEARLMAN J."/>
            <w:bookmarkEnd w:id="79"/>
            <w:r>
              <w:rPr>
                <w:rFonts w:ascii="arial" w:eastAsia="arial" w:hAnsi="arial" w:cs="arial"/>
                <w:b/>
                <w:color w:val="000000"/>
                <w:sz w:val="30"/>
                <w:lang w:val="en-US" w:eastAsia="en-US" w:bidi="ar-SA"/>
              </w:rPr>
              <w:t>P.J. PEARLMAN J.</w:t>
            </w:r>
          </w:p>
        </w:tc>
      </w:tr>
    </w:tbl>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Introduction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xml:space="preserve">  The defendant William Chapman applies pursuant to Rule 30 of the </w:t>
      </w:r>
      <w:r>
        <w:rPr>
          <w:rFonts w:ascii="arial" w:eastAsia="arial" w:hAnsi="arial" w:cs="arial"/>
          <w:b/>
          <w:i/>
          <w:color w:val="000000"/>
          <w:sz w:val="20"/>
          <w:lang w:val="en-US" w:eastAsia="en-US" w:bidi="ar-SA"/>
        </w:rPr>
        <w:t>Supreme Court Rules</w:t>
      </w:r>
      <w:r>
        <w:rPr>
          <w:rFonts w:ascii="arial" w:eastAsia="arial" w:hAnsi="arial" w:cs="arial"/>
          <w:color w:val="000000"/>
          <w:sz w:val="20"/>
          <w:lang w:val="en-US" w:eastAsia="en-US" w:bidi="ar-SA"/>
        </w:rPr>
        <w:t xml:space="preserve"> for an order that para. 2 of the order of Master Scarth, pronounced in this action on June 17, 2005 (the Preservation Order), be discharged </w:t>
      </w:r>
      <w:r>
        <w:rPr>
          <w:rFonts w:ascii="arial" w:eastAsia="arial" w:hAnsi="arial" w:cs="arial"/>
          <w:i/>
          <w:color w:val="000000"/>
          <w:sz w:val="20"/>
          <w:lang w:val="en-US" w:eastAsia="en-US" w:bidi="ar-SA"/>
        </w:rPr>
        <w:t>nunc pro tunc</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The relevant provisions of the Preservation Order are as follows:</w:t>
      </w:r>
      <w:r>
        <w:rPr>
          <w:rFonts w:ascii="arial" w:eastAsia="arial" w:hAnsi="arial" w:cs="arial"/>
          <w:sz w:val="20"/>
          <w:lang w:val="en-US" w:eastAsia="en-US" w:bidi="ar-SA"/>
        </w:rPr>
        <w:cr/>
      </w:r>
    </w:p>
    <w:p>
      <w:pPr>
        <w:numPr>
          <w:numId w:val="8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defendant, William Chapman, take all reasonable steps to preserve the Plaintiff's Vehicle and Defective Components (as those terms are defined in the statement of claim) except the throttle assembly referred to in paragraph 1, herein, in their current condition until the final determination of this proceeding, subject to the written agreement of all parties to this proceeding or further order of the court;</w:t>
      </w:r>
    </w:p>
    <w:p>
      <w:pPr>
        <w:numPr>
          <w:numId w:val="8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defendant, William Chapman, be at liberty to apply to the court to have paragraph 2, herein, discharged </w:t>
      </w:r>
      <w:r>
        <w:rPr>
          <w:rFonts w:ascii="arial" w:eastAsia="arial" w:hAnsi="arial" w:cs="arial"/>
          <w:i/>
          <w:color w:val="000000"/>
          <w:sz w:val="20"/>
          <w:lang w:val="en-US" w:eastAsia="en-US" w:bidi="ar-SA"/>
        </w:rPr>
        <w:t>nunc pro tunc</w:t>
      </w:r>
      <w:r>
        <w:rPr>
          <w:rFonts w:ascii="arial" w:eastAsia="arial" w:hAnsi="arial" w:cs="arial"/>
          <w:color w:val="000000"/>
          <w:sz w:val="20"/>
          <w:lang w:val="en-US" w:eastAsia="en-US" w:bidi="ar-SA"/>
        </w:rPr>
        <w:t xml:space="preserve"> in whole or in part on providing evidence satisfactory to the court that one or more of the Plaintiff's Vehicle and/or the Defective Components (as those terms are defined in the statement of claim) were in the possession of William Chapman on the date this order was pronounced;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The Defective Components, as defined in the plaintiff's Statement of Claim, are: the throttle assembly, door latch and hinge mechanism, and the seat belt assembly of the plaintiff's vehicle.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The third parties, General Motors of Canada Limited and General Motors Corporation (referred to collectively as "General Motors") oppose the defendant Chapman's application and apply for the following relief:</w:t>
      </w:r>
      <w:r>
        <w:rPr>
          <w:rFonts w:ascii="arial" w:eastAsia="arial" w:hAnsi="arial" w:cs="arial"/>
          <w:sz w:val="20"/>
          <w:lang w:val="en-US" w:eastAsia="en-US" w:bidi="ar-SA"/>
        </w:rPr>
        <w:cr/>
      </w:r>
    </w:p>
    <w:p>
      <w:pPr>
        <w:numPr>
          <w:numId w:val="2"/>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the Third Party Notice filed by the defendant, William Chapman, be dismissed;</w:t>
      </w:r>
    </w:p>
    <w:p>
      <w:pPr>
        <w:numPr>
          <w:numId w:val="2"/>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In the alternative, within seven days of the hearing of this application, William Chapman shall produce for inspection, the Plaintiff's Vehicle and Defective Components referred to in para. 2 of the order of the Court made June 17, 2005, failing which the Third Party Notice shall be dismissed; and</w:t>
      </w:r>
    </w:p>
    <w:p>
      <w:pPr>
        <w:numPr>
          <w:numId w:val="2"/>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costs.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Background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The plaintiff commenced this action on September 3, 2004. She claims damages for injuries she sustained in a single motor vehicle accident which she alleges occurred on September 4, 2002 on Highway 1, near Yale, British Columbia.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The plaintiff claims that at the time of the accident she was driving a Pontiac motor vehicle owned by her father, the defendant William Chapman, and designed and manufactured by the defendant General Motors. She pleads that the vehicle spontaneously accelerated and collided with a retaining wall.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The plaintiff maintains that she was wearing a seat belt, but that the force and angle of the collision were such that the driver's side door was torn from the vehicle, rendering the seat belt assembly ineffective and causing the plaintiff to be ejected from the vehicle.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In her Statement of Claim, the plaintiff alleges that the defendant William Chapman was negligent in permitting her to use the vehicle when he knew, or ought to have known, that the vehicle and its throttle assembly were defective, and in failing to maintain the vehicle.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The plaintiff also claimed against the General Motors defendants. In paragraph 12 of her Statement of Claim, she alleged that the General Motors defendants caused or contributed to the collision and her injuries by negligently designing, constructing and assembling the Defective Components.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xml:space="preserve">  On December 29, 2004, the defendant William Chapman filed his Statement of Defence. He denies liability, and alleges contributory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on the part of the plaintiff, including a failure to wear her seat belt. Mr. Chapman also pleads that the accident was caused or contributed to by the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of the General Motors defendants. He adopts the particulars of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alleged by the plaintiff against General Motors in her Statement of Claim.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xml:space="preserve">  On August 21, 2007, the defendant Chapman issued his Third Party Notice against the General Motors defendants, claiming an indemnity or contribution based on the particulars of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set out in para. 12 of the plaintiff's Statement of Claim.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On September 26, 2007, Master Scarth pronounced an order for the discontinuance of the plaintiff's claim against the General Motors defendants. The plaintiff consented to that order. Thus, the only remaining claim against General Motors is the Third Party claim of the defendant William Chapman.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The action is set for trial on October 18, 2008.</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Positions of the Parties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The defendant William Chapman submits that para. 2 of the Preservation Order should be discharged because he did not have the vehicle in his possession at the time that order was made. Counsel for Mr. Chapman argues that at the hearing before Master Scarth it was contemplated that his client might not have the vehicle. Mr. Chapman submits that he has now provided sufficient evidence to the Court to demonstrate that he was not in possession of the vehicle on June 17, 2005, and that he should therefore be released from the Preservation Order.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w:t>
      </w:r>
      <w:r>
        <w:rPr>
          <w:rFonts w:ascii="arial" w:eastAsia="arial" w:hAnsi="arial" w:cs="arial"/>
          <w:color w:val="000000"/>
          <w:sz w:val="20"/>
          <w:lang w:val="en-US" w:eastAsia="en-US" w:bidi="ar-SA"/>
        </w:rPr>
        <w:t>  Mr. Chapman also argues that he has not breached the Preservation Order, or engaged in any other conduct constituting an abuse of process of the court, and that General Motors' motion to strike out his Third Party claim should therefore be dismissed.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w:t>
      </w:r>
      <w:r>
        <w:rPr>
          <w:rFonts w:ascii="arial" w:eastAsia="arial" w:hAnsi="arial" w:cs="arial"/>
          <w:color w:val="000000"/>
          <w:sz w:val="20"/>
          <w:lang w:val="en-US" w:eastAsia="en-US" w:bidi="ar-SA"/>
        </w:rPr>
        <w:t>  General Motors submits that Mr. Chapman has failed to take reasonable steps to preserve the vehicle, and that Mr. Chapman's evidence regarding the alleged disappearance of the vehicle from his shop prior to June 17, 2005 is neither sufficient, nor sufficiently reliable, to support the discharge of the Preservation Order. Counsel for General Motors submits that the Third Party Notice should be dismissed for failure to comply with the Preservation Order and for Mr Chapman's failure to produce the vehicle for inspection by General Motors' expert. In the alternative, General Motors argues that if the court discharges para. 2 of the Preservation Order, the Third Party Notice should be struck. General Motors contends that in the particular circumstances of this case, Mr. Chapman's Third Party claim constitutes an abuse of process.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w:t>
      </w:r>
      <w:r>
        <w:rPr>
          <w:rFonts w:ascii="arial" w:eastAsia="arial" w:hAnsi="arial" w:cs="arial"/>
          <w:color w:val="000000"/>
          <w:sz w:val="20"/>
          <w:lang w:val="en-US" w:eastAsia="en-US" w:bidi="ar-SA"/>
        </w:rPr>
        <w:t>  General Motors submits that those circumstances include:</w:t>
      </w:r>
      <w:r>
        <w:rPr>
          <w:rFonts w:ascii="arial" w:eastAsia="arial" w:hAnsi="arial" w:cs="arial"/>
          <w:sz w:val="20"/>
          <w:lang w:val="en-US" w:eastAsia="en-US" w:bidi="ar-SA"/>
        </w:rPr>
        <w:cr/>
      </w:r>
    </w:p>
    <w:p>
      <w:pPr>
        <w:numPr>
          <w:numId w:val="3"/>
        </w:numPr>
        <w:tabs>
          <w:tab w:val="num" w:pos="1120"/>
          <w:tab w:val="clear" w:pos="184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the failure of the defendant, William Chapman, to take effective means to store and preserve the vehicle;</w:t>
      </w:r>
    </w:p>
    <w:p>
      <w:pPr>
        <w:numPr>
          <w:numId w:val="3"/>
        </w:numPr>
        <w:tabs>
          <w:tab w:val="num" w:pos="1120"/>
          <w:tab w:val="clear" w:pos="184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as a result of the disappearance of the vehicle while in the care and control of the defendant Chapman, General Motors' ability to defend the claim against it has been severely prejudiced, and</w:t>
      </w:r>
    </w:p>
    <w:p>
      <w:pPr>
        <w:numPr>
          <w:numId w:val="3"/>
        </w:numPr>
        <w:tabs>
          <w:tab w:val="num" w:pos="1120"/>
          <w:tab w:val="clear" w:pos="184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the Third Party claim against it is, at best, tenuous.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w:t>
      </w:r>
      <w:r>
        <w:rPr>
          <w:rFonts w:ascii="arial" w:eastAsia="arial" w:hAnsi="arial" w:cs="arial"/>
          <w:color w:val="000000"/>
          <w:sz w:val="20"/>
          <w:lang w:val="en-US" w:eastAsia="en-US" w:bidi="ar-SA"/>
        </w:rPr>
        <w:t>  The plaintiff opposes the application of Mr. Chapman, and does not oppose the application of General Motors for dismissal of the Third Party Notice.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Facts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w:t>
      </w:r>
      <w:r>
        <w:rPr>
          <w:rFonts w:ascii="arial" w:eastAsia="arial" w:hAnsi="arial" w:cs="arial"/>
          <w:color w:val="000000"/>
          <w:sz w:val="20"/>
          <w:lang w:val="en-US" w:eastAsia="en-US" w:bidi="ar-SA"/>
        </w:rPr>
        <w:t>  About two and one half months after the motor vehicle accident, on November 24, 2002, Mr. Chapman bought back the vehicle from the Insurance Corporation of British Columbia and stored it on the grounds of his auto body repair shop in Agassiz, British Columbia.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w:t>
      </w:r>
      <w:r>
        <w:rPr>
          <w:rFonts w:ascii="arial" w:eastAsia="arial" w:hAnsi="arial" w:cs="arial"/>
          <w:color w:val="000000"/>
          <w:sz w:val="20"/>
          <w:lang w:val="en-US" w:eastAsia="en-US" w:bidi="ar-SA"/>
        </w:rPr>
        <w:t>  In June 2003, the vehicle was inspected by Mr. David Little, an expert retained by the plaintiff, and by an expert retained by I.C.B.C. on behalf of Mr. Chapman. Mr. Little removed the throttle assembly from the vehicle, and remains in possession of that part of the vehicle.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w:t>
      </w:r>
      <w:r>
        <w:rPr>
          <w:rFonts w:ascii="arial" w:eastAsia="arial" w:hAnsi="arial" w:cs="arial"/>
          <w:color w:val="000000"/>
          <w:sz w:val="20"/>
          <w:lang w:val="en-US" w:eastAsia="en-US" w:bidi="ar-SA"/>
        </w:rPr>
        <w:t>  Each of the experts for the plaintiff and Mr. Chapman took photographs and made notes of their inspection. However, as yet, neither the plaintiff nor Mr. Chapman has delivered any expert report concerning the vehicle or the throttle assembly.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w:t>
      </w:r>
      <w:r>
        <w:rPr>
          <w:rFonts w:ascii="arial" w:eastAsia="arial" w:hAnsi="arial" w:cs="arial"/>
          <w:color w:val="000000"/>
          <w:sz w:val="20"/>
          <w:lang w:val="en-US" w:eastAsia="en-US" w:bidi="ar-SA"/>
        </w:rPr>
        <w:t>  On October 6, 2004, counsel for General Motors wrote to the plaintiff's counsel to initiate arrangements for an inspection of the vehicle on behalf of General Motors.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w:t>
      </w:r>
      <w:r>
        <w:rPr>
          <w:rFonts w:ascii="arial" w:eastAsia="arial" w:hAnsi="arial" w:cs="arial"/>
          <w:color w:val="000000"/>
          <w:sz w:val="20"/>
          <w:lang w:val="en-US" w:eastAsia="en-US" w:bidi="ar-SA"/>
        </w:rPr>
        <w:t>  On January 25, 2005, after receiving information that the vehicle's throttle assembly was in the possession of the plaintiff's expert, Mr. Little, and that Mr. Chapman was in possession of the vehicle, counsel for General Motors wrote to counsel for Mr. Chapman to make arrangements for an inspection of the vehicle by a representative of his client.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w:t>
      </w:r>
      <w:r>
        <w:rPr>
          <w:rFonts w:ascii="arial" w:eastAsia="arial" w:hAnsi="arial" w:cs="arial"/>
          <w:color w:val="000000"/>
          <w:sz w:val="20"/>
          <w:lang w:val="en-US" w:eastAsia="en-US" w:bidi="ar-SA"/>
        </w:rPr>
        <w:t>  On February 2, 2005, counsel for Mr. Chapman informed counsel for General Motors that the vehicle was stored under a tarp at Mr. Chapman's shop in Agassiz, and was available for inspection there on a couple of days' notice.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w:t>
      </w:r>
      <w:r>
        <w:rPr>
          <w:rFonts w:ascii="arial" w:eastAsia="arial" w:hAnsi="arial" w:cs="arial"/>
          <w:color w:val="000000"/>
          <w:sz w:val="20"/>
          <w:lang w:val="en-US" w:eastAsia="en-US" w:bidi="ar-SA"/>
        </w:rPr>
        <w:t>  On February 10, 2005, counsel for Mr. Chapman informed counsel for General Motors that the vehicle had been towed by a local towing company to a scrap yard for crushing. However, he went on to say that Mr. Chapman had retrieved the vehicle before it sustained further damage, and "has now made arrangements for the vehicle to be stored in his shop under lock and key" (Affidavit of Rob Dhillon #1 sworn May 12, 2005, Exhibit 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w:t>
      </w:r>
      <w:r>
        <w:rPr>
          <w:rFonts w:ascii="arial" w:eastAsia="arial" w:hAnsi="arial" w:cs="arial"/>
          <w:color w:val="000000"/>
          <w:sz w:val="20"/>
          <w:lang w:val="en-US" w:eastAsia="en-US" w:bidi="ar-SA"/>
        </w:rPr>
        <w:t>  On April 19, 2005, after receiving advice that there was no lift at Mr. Chapman's shop, counsel for General Motors wrote to counsel for Mr. Chapman to arrange to have the vehicle transported to a G.M. dealership in Chilliwack for inspection, to be performed in May or June.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w:t>
      </w:r>
      <w:r>
        <w:rPr>
          <w:rFonts w:ascii="arial" w:eastAsia="arial" w:hAnsi="arial" w:cs="arial"/>
          <w:color w:val="000000"/>
          <w:sz w:val="20"/>
          <w:lang w:val="en-US" w:eastAsia="en-US" w:bidi="ar-SA"/>
        </w:rPr>
        <w:t>  On April 27, 2005, counsel for Mr. Chapman wrote to counsel for General Motors stating that "we are advised by Mr. Chapman that he had the subject vehicle scrapped and shipped off to Japan about 3 weeks ago". (Rob Dhillon Affidavit #1, Exhibit 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w:t>
      </w:r>
      <w:r>
        <w:rPr>
          <w:rFonts w:ascii="arial" w:eastAsia="arial" w:hAnsi="arial" w:cs="arial"/>
          <w:color w:val="000000"/>
          <w:sz w:val="20"/>
          <w:lang w:val="en-US" w:eastAsia="en-US" w:bidi="ar-SA"/>
        </w:rPr>
        <w:t>  On May 2, 2005, General Motors delivered a Notice to Admit that the vehicle was not in the possession of either the plaintiff or Mr. Chapman, and that it had been scrapped and shipped to Japan. Mr. Chapman declined to make those admissions on the ground that there was conflicting information regarding the vehicle. The plaintiff had apparently made a statement to the effect that her father would not dispose of the vehicle.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w:t>
      </w:r>
      <w:r>
        <w:rPr>
          <w:rFonts w:ascii="arial" w:eastAsia="arial" w:hAnsi="arial" w:cs="arial"/>
          <w:color w:val="000000"/>
          <w:sz w:val="20"/>
          <w:lang w:val="en-US" w:eastAsia="en-US" w:bidi="ar-SA"/>
        </w:rPr>
        <w:t>  In May 2005, General Motors delivered its application for an order for the preservation of the vehicle and the Defective Components.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w:t>
      </w:r>
      <w:r>
        <w:rPr>
          <w:rFonts w:ascii="arial" w:eastAsia="arial" w:hAnsi="arial" w:cs="arial"/>
          <w:color w:val="000000"/>
          <w:sz w:val="20"/>
          <w:lang w:val="en-US" w:eastAsia="en-US" w:bidi="ar-SA"/>
        </w:rPr>
        <w:t xml:space="preserve">  In response to that application, Mr. Robert K. Hartshorne, then lead counsel for the defendant, Mr. Chapman, swore his Affidavit #1 on May 24, 2005 in which he deposed, </w:t>
      </w:r>
      <w:r>
        <w:rPr>
          <w:rFonts w:ascii="arial" w:eastAsia="arial" w:hAnsi="arial" w:cs="arial"/>
          <w:i/>
          <w:color w:val="000000"/>
          <w:sz w:val="20"/>
          <w:lang w:val="en-US" w:eastAsia="en-US" w:bidi="ar-SA"/>
        </w:rPr>
        <w:t>inter alia,</w:t>
      </w:r>
      <w:r>
        <w:rPr>
          <w:rFonts w:ascii="arial" w:eastAsia="arial" w:hAnsi="arial" w:cs="arial"/>
          <w:color w:val="000000"/>
          <w:sz w:val="20"/>
          <w:lang w:val="en-US" w:eastAsia="en-US" w:bidi="ar-SA"/>
        </w:rPr>
        <w:t xml:space="preserve"> that: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On or about May 13, 2005, we were advised by the defendant Chapman that he confirmed that he no longer has the Vehicle in his possession.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w:t>
      </w:r>
      <w:r>
        <w:rPr>
          <w:rFonts w:ascii="arial" w:eastAsia="arial" w:hAnsi="arial" w:cs="arial"/>
          <w:color w:val="000000"/>
          <w:sz w:val="20"/>
          <w:lang w:val="en-US" w:eastAsia="en-US" w:bidi="ar-SA"/>
        </w:rPr>
        <w:t>  Counsel for Mr. Chapman were unable to meet with their client to find out more about what had happened to the vehicle, or to obtain an affidavit from him because Mr. Chapman was then involved in a lengthy and solitary protest against the Workers' Compensation Board. He was conducting his protest from an inaccessible location - a platform perched on a treetop near Hope, British Columbia. Why Mr Chapman chose that venue is not explained; nor is it germane to this application.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w:t>
      </w:r>
      <w:r>
        <w:rPr>
          <w:rFonts w:ascii="arial" w:eastAsia="arial" w:hAnsi="arial" w:cs="arial"/>
          <w:color w:val="000000"/>
          <w:sz w:val="20"/>
          <w:lang w:val="en-US" w:eastAsia="en-US" w:bidi="ar-SA"/>
        </w:rPr>
        <w:t>  Counsel for General Motors initially brought their motion for the Preservation Order on for hearing before Master Scarth on June 14, 2005. When General Motors objected to counsel for Mr. Chapman relying upon hearsay evidence, the matter was adjourned to June 17, 2005 to allow counsel for Mr. Chapman to attempt to obtain an affidavit from him. Because their client was still engaged in his tree top protest, counsel were not able to obtain an affidavit from Mr. Chapman at that time.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w:t>
      </w:r>
      <w:r>
        <w:rPr>
          <w:rFonts w:ascii="arial" w:eastAsia="arial" w:hAnsi="arial" w:cs="arial"/>
          <w:color w:val="000000"/>
          <w:sz w:val="20"/>
          <w:lang w:val="en-US" w:eastAsia="en-US" w:bidi="ar-SA"/>
        </w:rPr>
        <w:t>  The evidence before Master Scarth on June 17, 2005 included Mr. Hartshorne's affidavit #1. In addition, Mr. Hartshorne swore a second Affidavit, on June 16, 2005, in which he deposed to the contents of a telephone conversation one of his associates did have with Mr. Chapman the previous day.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34</w:t>
      </w:r>
      <w:r>
        <w:rPr>
          <w:rFonts w:ascii="arial" w:eastAsia="arial" w:hAnsi="arial" w:cs="arial"/>
          <w:color w:val="000000"/>
          <w:sz w:val="20"/>
          <w:lang w:val="en-US" w:eastAsia="en-US" w:bidi="ar-SA"/>
        </w:rPr>
        <w:t>  Mr. Hartshorne deposed that Mr. Chapman had informed his associate that in early April he took his daughter, the plaintiff, to Vancouver for three days. Upon his return to the shop, he discovered that the vehicle was no longer there. Mr. Chapman assumed that the vehicle had been taken by one of the scrap dealers operating in the area. He advised counsel that the vehicle was gone and that it was likely shipped to Japan about two weeks before. His explanation for this statement was that, to the best of his knowledge, scrap metal is often shipped to Japan. Mr. Chapman confirmed that he no longer had the vehicle in his possession and that he could only speculate as to what might have happened to it.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35</w:t>
      </w:r>
      <w:r>
        <w:rPr>
          <w:rFonts w:ascii="arial" w:eastAsia="arial" w:hAnsi="arial" w:cs="arial"/>
          <w:color w:val="000000"/>
          <w:sz w:val="20"/>
          <w:lang w:val="en-US" w:eastAsia="en-US" w:bidi="ar-SA"/>
        </w:rPr>
        <w:t>  Counsel for General Motors objected to the admissibility of Mr. Hartshorne's Affidavit #2 at the hearing before Master Scarth, on the ground that it was double hearsay.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36</w:t>
      </w:r>
      <w:r>
        <w:rPr>
          <w:rFonts w:ascii="arial" w:eastAsia="arial" w:hAnsi="arial" w:cs="arial"/>
          <w:color w:val="000000"/>
          <w:sz w:val="20"/>
          <w:lang w:val="en-US" w:eastAsia="en-US" w:bidi="ar-SA"/>
        </w:rPr>
        <w:t>  I am advised by counsel that Master Scarth did not rule on this objection. I refer to Mr. Hartshorne's affidavit No. 2 only for the purpose of setting out a record of the explanations provided by Mr. Chapman for the disappearance of the vehicle at various times between April 27, 2005 and the hearing of this application.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37</w:t>
      </w:r>
      <w:r>
        <w:rPr>
          <w:rFonts w:ascii="arial" w:eastAsia="arial" w:hAnsi="arial" w:cs="arial"/>
          <w:color w:val="000000"/>
          <w:sz w:val="20"/>
          <w:lang w:val="en-US" w:eastAsia="en-US" w:bidi="ar-SA"/>
        </w:rPr>
        <w:t>  There is no question that at the hearing before Master Scarth on June 17, 2005, the parties and the court were alive to the possibility that the vehicle was not then in Mr. Chapman's possession. During the hearing, the following exchange took place between the court and counsel for General Motors: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COURT: All right. The difficulty that I have, Mr. Buhler, is what flows from making an order that you're seeking today in the circumstances and that is that if it later becomes evidence that the vehicle is missing or that it's confirmed that it is missing, arguably Mr. Chapman could be found in contempt of this order; is that not correct?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MR. BUHLER: I don't believe it is correct because at that point we're allowed to come back for further - to the court to have the order modified. If at that time, Mr. Chapman turns out to say he did not have the car, the order could be discharged [indiscernible words]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COURT: All right. It is possible to - in my view, it would be appropriate to word the order that Mr. Chapman take all reasonable steps to secure and preserve the vehicle. In other words, it seems to me appropriate that the order be made but perhaps not in the terms of your notice of motion.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38</w:t>
      </w:r>
      <w:r>
        <w:rPr>
          <w:rFonts w:ascii="arial" w:eastAsia="arial" w:hAnsi="arial" w:cs="arial"/>
          <w:color w:val="000000"/>
          <w:sz w:val="20"/>
          <w:lang w:val="en-US" w:eastAsia="en-US" w:bidi="ar-SA"/>
        </w:rPr>
        <w:t xml:space="preserve">  In the result, Master Scarth granted Mr. Chapman liberty to apply to be discharged </w:t>
      </w:r>
      <w:r>
        <w:rPr>
          <w:rFonts w:ascii="arial" w:eastAsia="arial" w:hAnsi="arial" w:cs="arial"/>
          <w:i/>
          <w:color w:val="000000"/>
          <w:sz w:val="20"/>
          <w:lang w:val="en-US" w:eastAsia="en-US" w:bidi="ar-SA"/>
        </w:rPr>
        <w:t>nunc pro tunc</w:t>
      </w:r>
      <w:r>
        <w:rPr>
          <w:rFonts w:ascii="arial" w:eastAsia="arial" w:hAnsi="arial" w:cs="arial"/>
          <w:color w:val="000000"/>
          <w:sz w:val="20"/>
          <w:lang w:val="en-US" w:eastAsia="en-US" w:bidi="ar-SA"/>
        </w:rPr>
        <w:t xml:space="preserve"> on providing evidence satisfactory to the court that the vehicle and/or the Defective Components were not in his possession on the date the order was pronounced.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39</w:t>
      </w:r>
      <w:r>
        <w:rPr>
          <w:rFonts w:ascii="arial" w:eastAsia="arial" w:hAnsi="arial" w:cs="arial"/>
          <w:color w:val="000000"/>
          <w:sz w:val="20"/>
          <w:lang w:val="en-US" w:eastAsia="en-US" w:bidi="ar-SA"/>
        </w:rPr>
        <w:t>  On February 27, 2008, Mr. Chapman swore an affidavit deposing that:</w:t>
      </w:r>
      <w:r>
        <w:rPr>
          <w:rFonts w:ascii="arial" w:eastAsia="arial" w:hAnsi="arial" w:cs="arial"/>
          <w:sz w:val="20"/>
          <w:lang w:val="en-US" w:eastAsia="en-US" w:bidi="ar-SA"/>
        </w:rPr>
        <w:cr/>
      </w:r>
    </w:p>
    <w:p>
      <w:pPr>
        <w:numPr>
          <w:numId w:val="4"/>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approximately two months following the accident the vehicle was delivered to his shop in Agassiz;</w:t>
      </w:r>
    </w:p>
    <w:p>
      <w:pPr>
        <w:numPr>
          <w:numId w:val="4"/>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since before the accident, he has had a problem with vehicles and scrap being removed from the yard around his shop without permission;</w:t>
      </w:r>
    </w:p>
    <w:p>
      <w:pPr>
        <w:numPr>
          <w:numId w:val="4"/>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around the first week of February 2005, the vehicle was taken from the shop premises. Mr. Chapman was able to locate the vehicle in a scrap yard and had it returned to his shop, where he stored it in the back yard, boxed in with other vehicles;</w:t>
      </w:r>
    </w:p>
    <w:p>
      <w:pPr>
        <w:numPr>
          <w:numId w:val="4"/>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in the spring of 2005, in response to a request from his solicitors, Hartshorne and Mehl, to arrange for an inspection of the vehicle, Mr. Chapman moved the vehicle to the front of the shop;</w:t>
      </w:r>
    </w:p>
    <w:p>
      <w:pPr>
        <w:numPr>
          <w:numId w:val="4"/>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shortly after moving the vehicle to the front of the shop, Mr. Chapman left for a 3-day trip to Vancouver;</w:t>
      </w:r>
    </w:p>
    <w:p>
      <w:pPr>
        <w:numPr>
          <w:numId w:val="4"/>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after he returned from Vancouver, the vehicle was gone. Mr. Chapman assumed that his solicitors had taken the vehicle for inspection. About a week later Mr. Chapman learned that his solicitors did not have the vehicle.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40</w:t>
      </w:r>
      <w:r>
        <w:rPr>
          <w:rFonts w:ascii="arial" w:eastAsia="arial" w:hAnsi="arial" w:cs="arial"/>
          <w:color w:val="000000"/>
          <w:sz w:val="20"/>
          <w:lang w:val="en-US" w:eastAsia="en-US" w:bidi="ar-SA"/>
        </w:rPr>
        <w:t>  Mr. Chapman further deposed:</w:t>
      </w:r>
      <w:r>
        <w:rPr>
          <w:rFonts w:ascii="arial" w:eastAsia="arial" w:hAnsi="arial" w:cs="arial"/>
          <w:sz w:val="20"/>
          <w:lang w:val="en-US" w:eastAsia="en-US" w:bidi="ar-SA"/>
        </w:rPr>
        <w:cr/>
      </w:r>
    </w:p>
    <w:p>
      <w:pPr>
        <w:numPr>
          <w:numId w:val="5"/>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I began a protest against the Worker's Compensation Board in May 2005. The Vehicle had disappeared before I started my protest. I have not been in possession of the Vehicle since before I started my protest and since that time I have not been aware of where the Vehicle is or who has possession of it.</w:t>
      </w:r>
    </w:p>
    <w:p>
      <w:pPr>
        <w:numPr>
          <w:numId w:val="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In Spring of 2005 I told Hartshorne and Mehl the Vehicle had disappeared. I speculated that the Vehicle had been taken by I.C.B.C., or had been taken again by a scrap dealer, as it had been previously, and sold for scrap and shipped to Japan. This was nothing more than speculation by me as to what happened to the Vehicle. I do not know who took the Vehicle.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Should Para. 2 of the Preservation Order Be Discharged?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41</w:t>
      </w:r>
      <w:r>
        <w:rPr>
          <w:rFonts w:ascii="arial" w:eastAsia="arial" w:hAnsi="arial" w:cs="arial"/>
          <w:color w:val="000000"/>
          <w:sz w:val="20"/>
          <w:lang w:val="en-US" w:eastAsia="en-US" w:bidi="ar-SA"/>
        </w:rPr>
        <w:t>  Mr. Chapman's affidavit confirms that the vehicle was not in his possession when Master Scarth pronounced the preservation order on June 17, 2005.</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42</w:t>
      </w:r>
      <w:r>
        <w:rPr>
          <w:rFonts w:ascii="arial" w:eastAsia="arial" w:hAnsi="arial" w:cs="arial"/>
          <w:color w:val="000000"/>
          <w:sz w:val="20"/>
          <w:lang w:val="en-US" w:eastAsia="en-US" w:bidi="ar-SA"/>
        </w:rPr>
        <w:t>  I accept Mr. Chapman's explanation that Mr. Hartshorne was mistaken, when he wrote to counsel for General Motors on April 27, 2005 stating that Mr. Chapman had advised that he had the vehicle scrapped and shipped off to Japan three weeks before that correspondence. I find that Mr. Chapman relayed to his solicitors an assumption he made about the likely fate of the vehicle and that, as he deposes at para. 12 of his affidavit, what he told them was his speculation that the vehicle may have been taken by scrap dealers and shipped to Japan as scrap. There was a history of scrap dealers removing vehicles and scrap metal from the shop grounds without Mr. Chapman's permission.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43</w:t>
      </w:r>
      <w:r>
        <w:rPr>
          <w:rFonts w:ascii="arial" w:eastAsia="arial" w:hAnsi="arial" w:cs="arial"/>
          <w:color w:val="000000"/>
          <w:sz w:val="20"/>
          <w:lang w:val="en-US" w:eastAsia="en-US" w:bidi="ar-SA"/>
        </w:rPr>
        <w:t>  Although Mr. Chapman's affidavit sheds no light on the identity of the person or persons who removed the vehicle from his shop premises, it does provide evidence satisfactory to the court that the vehicle was not in his possession for a month or more before Master Scarth made her order.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44</w:t>
      </w:r>
      <w:r>
        <w:rPr>
          <w:rFonts w:ascii="arial" w:eastAsia="arial" w:hAnsi="arial" w:cs="arial"/>
          <w:color w:val="000000"/>
          <w:sz w:val="20"/>
          <w:lang w:val="en-US" w:eastAsia="en-US" w:bidi="ar-SA"/>
        </w:rPr>
        <w:t>  Neither the plaintiff nor General Motors have adduced any evidence to suggest that the vehicle was in Mr. Chapman's possession on or after June 17, 2005.</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45</w:t>
      </w:r>
      <w:r>
        <w:rPr>
          <w:rFonts w:ascii="arial" w:eastAsia="arial" w:hAnsi="arial" w:cs="arial"/>
          <w:color w:val="000000"/>
          <w:sz w:val="20"/>
          <w:lang w:val="en-US" w:eastAsia="en-US" w:bidi="ar-SA"/>
        </w:rPr>
        <w:t>  Although General Motors urges the court not to relieve Mr. Chapman from compliance with para. 2 of the Preservation Order, no practical purpose would be served by holding Mr. Chapman to an obligation which he cannot perform.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46</w:t>
      </w:r>
      <w:r>
        <w:rPr>
          <w:rFonts w:ascii="arial" w:eastAsia="arial" w:hAnsi="arial" w:cs="arial"/>
          <w:color w:val="000000"/>
          <w:sz w:val="20"/>
          <w:lang w:val="en-US" w:eastAsia="en-US" w:bidi="ar-SA"/>
        </w:rPr>
        <w:t xml:space="preserve">  I find that Mr. Chapman was not in possession of the vehicle or the Defective Components on June 17, 2005, and grant the order discharging para. 2 of Master Scarth's order of June 17, 2005, </w:t>
      </w:r>
      <w:r>
        <w:rPr>
          <w:rFonts w:ascii="arial" w:eastAsia="arial" w:hAnsi="arial" w:cs="arial"/>
          <w:i/>
          <w:color w:val="000000"/>
          <w:sz w:val="20"/>
          <w:lang w:val="en-US" w:eastAsia="en-US" w:bidi="ar-SA"/>
        </w:rPr>
        <w:t>nunc pro tunc</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The Third Party Notice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47</w:t>
      </w:r>
      <w:r>
        <w:rPr>
          <w:rFonts w:ascii="arial" w:eastAsia="arial" w:hAnsi="arial" w:cs="arial"/>
          <w:color w:val="000000"/>
          <w:sz w:val="20"/>
          <w:lang w:val="en-US" w:eastAsia="en-US" w:bidi="ar-SA"/>
        </w:rPr>
        <w:t>  Having found that Mr. Chapman did not have the vehicle in his possession when the Preservation Order was made, and having relieved him of his obligations under that order, it is unnecessary to address General Motors' submission that the Third Party Notice should be struck out under Rules 2(2)(d), 2(5)(c), and (f), and 2(6).</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48</w:t>
      </w:r>
      <w:r>
        <w:rPr>
          <w:rFonts w:ascii="arial" w:eastAsia="arial" w:hAnsi="arial" w:cs="arial"/>
          <w:color w:val="000000"/>
          <w:sz w:val="20"/>
          <w:lang w:val="en-US" w:eastAsia="en-US" w:bidi="ar-SA"/>
        </w:rPr>
        <w:t>  General Motors' alternative submission is that the Third Party Notice should be struck out pursuant to Rule 19(24)(d) which provides:</w:t>
      </w:r>
      <w:r>
        <w:rPr>
          <w:rFonts w:ascii="arial" w:eastAsia="arial" w:hAnsi="arial" w:cs="arial"/>
          <w:sz w:val="20"/>
          <w:lang w:val="en-US" w:eastAsia="en-US" w:bidi="ar-SA"/>
        </w:rPr>
        <w:cr/>
      </w:r>
    </w:p>
    <w:p>
      <w:pPr>
        <w:numPr>
          <w:numId w:val="7"/>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At any stage of a proceeding the court may order to be struck out or amended the whole or any part of an endorsement, pleading, petition or other document on the ground that</w:t>
      </w:r>
    </w:p>
    <w:p>
      <w:pPr>
        <w:spacing w:before="120" w:line="260" w:lineRule="atLeast"/>
        <w:ind w:left="1080"/>
        <w:rPr>
          <w:rFonts w:ascii="arial" w:eastAsia="arial" w:hAnsi="arial" w:cs="arial"/>
          <w:sz w:val="20"/>
          <w:lang w:val="en-US" w:eastAsia="en-US" w:bidi="ar-SA"/>
        </w:rPr>
      </w:pPr>
      <w:r>
        <w:rPr>
          <w:rFonts w:ascii="arial" w:eastAsia="arial" w:hAnsi="arial" w:cs="arial"/>
          <w:b/>
          <w:color w:val="000000"/>
          <w:sz w:val="20"/>
          <w:lang w:val="en-US" w:eastAsia="en-US" w:bidi="ar-SA"/>
        </w:rPr>
        <w:t>...</w:t>
      </w:r>
    </w:p>
    <w:p>
      <w:pPr>
        <w:numPr>
          <w:numId w:val="8"/>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it is otherwise an abuse of the process of the court,</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and the court may grant judgment or order the proceeding to be stayed or dismissed and may order the costs of the application to be paid as special costs.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49</w:t>
      </w:r>
      <w:r>
        <w:rPr>
          <w:rFonts w:ascii="arial" w:eastAsia="arial" w:hAnsi="arial" w:cs="arial"/>
          <w:color w:val="000000"/>
          <w:sz w:val="20"/>
          <w:lang w:val="en-US" w:eastAsia="en-US" w:bidi="ar-SA"/>
        </w:rPr>
        <w:t>  The governing principles on an application to strike out pleadings for abuse of process under Rule 19(24)(d) include the following:</w:t>
      </w:r>
      <w:r>
        <w:rPr>
          <w:rFonts w:ascii="arial" w:eastAsia="arial" w:hAnsi="arial" w:cs="arial"/>
          <w:sz w:val="20"/>
          <w:lang w:val="en-US" w:eastAsia="en-US" w:bidi="ar-SA"/>
        </w:rPr>
        <w:cr/>
      </w:r>
    </w:p>
    <w:p>
      <w:pPr>
        <w:numPr>
          <w:numId w:val="9"/>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test to be met by the applicant is whether it is plain and obvious that the pleading is an abuse of process: </w:t>
      </w:r>
      <w:r>
        <w:rPr>
          <w:rFonts w:ascii="arial" w:eastAsia="arial" w:hAnsi="arial" w:cs="arial"/>
          <w:b/>
          <w:i/>
          <w:color w:val="000000"/>
          <w:sz w:val="20"/>
          <w:lang w:val="en-US" w:eastAsia="en-US" w:bidi="ar-SA"/>
        </w:rPr>
        <w:t>Sidhu v. Sidhu</w:t>
      </w:r>
      <w:r>
        <w:rPr>
          <w:rFonts w:ascii="arial" w:eastAsia="arial" w:hAnsi="arial" w:cs="arial"/>
          <w:color w:val="000000"/>
          <w:sz w:val="20"/>
          <w:lang w:val="en-US" w:eastAsia="en-US" w:bidi="ar-SA"/>
        </w:rPr>
        <w:t xml:space="preserve">, </w:t>
      </w:r>
      <w:hyperlink r:id="rId318" w:history="1">
        <w:r>
          <w:rPr>
            <w:rFonts w:ascii="arial" w:eastAsia="arial" w:hAnsi="arial" w:cs="arial"/>
            <w:i/>
            <w:color w:val="0077CC"/>
            <w:sz w:val="20"/>
            <w:u w:val="single"/>
            <w:shd w:val="clear" w:color="auto" w:fill="FFFFFF"/>
            <w:lang w:val="en-US" w:eastAsia="en-US" w:bidi="ar-SA"/>
          </w:rPr>
          <w:t>2008 BCSC 324</w:t>
        </w:r>
      </w:hyperlink>
      <w:r>
        <w:rPr>
          <w:rFonts w:ascii="arial" w:eastAsia="arial" w:hAnsi="arial" w:cs="arial"/>
          <w:color w:val="000000"/>
          <w:sz w:val="20"/>
          <w:lang w:val="en-US" w:eastAsia="en-US" w:bidi="ar-SA"/>
        </w:rPr>
        <w:t>, at para. 25;</w:t>
      </w:r>
    </w:p>
    <w:p>
      <w:pPr>
        <w:numPr>
          <w:numId w:val="9"/>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Rule 19(24)(d) codifies the court's inherent jurisdiction to prevent litigation from proceeding where it "violates such principles as judicial economy, consistency, finality and the integrity of the administration of justice": </w:t>
      </w:r>
      <w:r>
        <w:rPr>
          <w:rFonts w:ascii="arial" w:eastAsia="arial" w:hAnsi="arial" w:cs="arial"/>
          <w:b/>
          <w:i/>
          <w:color w:val="000000"/>
          <w:sz w:val="20"/>
          <w:lang w:val="en-US" w:eastAsia="en-US" w:bidi="ar-SA"/>
        </w:rPr>
        <w:t>Toronto (City) v. C.U.P.E., Local 79,</w:t>
      </w:r>
      <w:r>
        <w:rPr>
          <w:rFonts w:ascii="arial" w:eastAsia="arial" w:hAnsi="arial" w:cs="arial"/>
          <w:color w:val="000000"/>
          <w:sz w:val="20"/>
          <w:lang w:val="en-US" w:eastAsia="en-US" w:bidi="ar-SA"/>
        </w:rPr>
        <w:t xml:space="preserve"> </w:t>
      </w:r>
      <w:hyperlink r:id="rId319" w:history="1">
        <w:r>
          <w:rPr>
            <w:rFonts w:ascii="arial" w:eastAsia="arial" w:hAnsi="arial" w:cs="arial"/>
            <w:i/>
            <w:color w:val="0077CC"/>
            <w:sz w:val="20"/>
            <w:u w:val="single"/>
            <w:shd w:val="clear" w:color="auto" w:fill="FFFFFF"/>
            <w:lang w:val="en-US" w:eastAsia="en-US" w:bidi="ar-SA"/>
          </w:rPr>
          <w:t>2003 SCC 63</w:t>
        </w:r>
      </w:hyperlink>
      <w:r>
        <w:rPr>
          <w:rFonts w:ascii="arial" w:eastAsia="arial" w:hAnsi="arial" w:cs="arial"/>
          <w:color w:val="000000"/>
          <w:sz w:val="20"/>
          <w:lang w:val="en-US" w:eastAsia="en-US" w:bidi="ar-SA"/>
        </w:rPr>
        <w:t xml:space="preserve">, </w:t>
      </w:r>
      <w:hyperlink r:id="rId319" w:history="1">
        <w:r>
          <w:rPr>
            <w:rFonts w:ascii="arial" w:eastAsia="arial" w:hAnsi="arial" w:cs="arial"/>
            <w:i/>
            <w:color w:val="0077CC"/>
            <w:sz w:val="20"/>
            <w:u w:val="single"/>
            <w:shd w:val="clear" w:color="auto" w:fill="FFFFFF"/>
            <w:lang w:val="en-US" w:eastAsia="en-US" w:bidi="ar-SA"/>
          </w:rPr>
          <w:t>[2003] 3 S.C.R. 77</w:t>
        </w:r>
      </w:hyperlink>
      <w:r>
        <w:rPr>
          <w:rFonts w:ascii="arial" w:eastAsia="arial" w:hAnsi="arial" w:cs="arial"/>
          <w:color w:val="000000"/>
          <w:sz w:val="20"/>
          <w:lang w:val="en-US" w:eastAsia="en-US" w:bidi="ar-SA"/>
        </w:rPr>
        <w:t xml:space="preserve"> at para. 37;</w:t>
      </w:r>
    </w:p>
    <w:p>
      <w:pPr>
        <w:numPr>
          <w:numId w:val="9"/>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categories of abuse of process are open: </w:t>
      </w:r>
      <w:r>
        <w:rPr>
          <w:rFonts w:ascii="arial" w:eastAsia="arial" w:hAnsi="arial" w:cs="arial"/>
          <w:b/>
          <w:i/>
          <w:color w:val="000000"/>
          <w:sz w:val="20"/>
          <w:lang w:val="en-US" w:eastAsia="en-US" w:bidi="ar-SA"/>
        </w:rPr>
        <w:t>Babavic v. Babowech</w:t>
      </w:r>
      <w:r>
        <w:rPr>
          <w:rFonts w:ascii="arial" w:eastAsia="arial" w:hAnsi="arial" w:cs="arial"/>
          <w:color w:val="000000"/>
          <w:sz w:val="20"/>
          <w:lang w:val="en-US" w:eastAsia="en-US" w:bidi="ar-SA"/>
        </w:rPr>
        <w:t xml:space="preserve">, </w:t>
      </w:r>
      <w:hyperlink r:id="rId320" w:history="1">
        <w:r>
          <w:rPr>
            <w:rFonts w:ascii="arial" w:eastAsia="arial" w:hAnsi="arial" w:cs="arial"/>
            <w:i/>
            <w:color w:val="0077CC"/>
            <w:sz w:val="20"/>
            <w:u w:val="single"/>
            <w:shd w:val="clear" w:color="auto" w:fill="FFFFFF"/>
            <w:lang w:val="en-US" w:eastAsia="en-US" w:bidi="ar-SA"/>
          </w:rPr>
          <w:t>[1993] B.C.J. No. 1802</w:t>
        </w:r>
      </w:hyperlink>
      <w:r>
        <w:rPr>
          <w:rFonts w:ascii="arial" w:eastAsia="arial" w:hAnsi="arial" w:cs="arial"/>
          <w:color w:val="000000"/>
          <w:sz w:val="20"/>
          <w:lang w:val="en-US" w:eastAsia="en-US" w:bidi="ar-SA"/>
        </w:rPr>
        <w:t xml:space="preserve"> at para. 18 (S.C.);</w:t>
      </w:r>
    </w:p>
    <w:p>
      <w:pPr>
        <w:numPr>
          <w:numId w:val="9"/>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the circumstances in which an abuse of process may be found include the following:</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 Abuse of process may be found where proceedings involve a deception on the court or constitute a mere sham; where the process of the court is not being fairly or honestly used, or is employed for some ulterior or improper purpose; proceedings which are without foundation or serve no useful purpose and multiple or successive proceedings which cause or are likely to cause vexation or oppression.</w:t>
      </w:r>
    </w:p>
    <w:p>
      <w:pPr>
        <w:spacing w:before="120" w:line="260" w:lineRule="atLeast"/>
        <w:ind w:left="1080"/>
        <w:rPr>
          <w:rFonts w:ascii="arial" w:eastAsia="arial" w:hAnsi="arial" w:cs="arial"/>
          <w:sz w:val="20"/>
          <w:lang w:val="en-US" w:eastAsia="en-US" w:bidi="ar-SA"/>
        </w:rPr>
      </w:pPr>
      <w:r>
        <w:rPr>
          <w:rFonts w:ascii="arial" w:eastAsia="arial" w:hAnsi="arial" w:cs="arial"/>
          <w:b/>
          <w:i/>
          <w:color w:val="000000"/>
          <w:sz w:val="20"/>
          <w:lang w:val="en-US" w:eastAsia="en-US" w:bidi="ar-SA"/>
        </w:rPr>
        <w:t>Babavic</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supra,</w:t>
      </w:r>
      <w:r>
        <w:rPr>
          <w:rFonts w:ascii="arial" w:eastAsia="arial" w:hAnsi="arial" w:cs="arial"/>
          <w:color w:val="000000"/>
          <w:sz w:val="20"/>
          <w:lang w:val="en-US" w:eastAsia="en-US" w:bidi="ar-SA"/>
        </w:rPr>
        <w:t xml:space="preserve"> at para. 18.</w:t>
      </w:r>
    </w:p>
    <w:p>
      <w:pPr>
        <w:numPr>
          <w:numId w:val="10"/>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court is not confined to the pleadings when considering the exercise of its discretion to strike a pleading for abuse of process; it may consider the evidence before it of the circumstances alleged to constitute an abuse of process: </w:t>
      </w:r>
      <w:r>
        <w:rPr>
          <w:rFonts w:ascii="arial" w:eastAsia="arial" w:hAnsi="arial" w:cs="arial"/>
          <w:b/>
          <w:i/>
          <w:color w:val="000000"/>
          <w:sz w:val="20"/>
          <w:lang w:val="en-US" w:eastAsia="en-US" w:bidi="ar-SA"/>
        </w:rPr>
        <w:t>Sidhu,</w:t>
      </w:r>
      <w:r>
        <w:rPr>
          <w:rFonts w:ascii="arial" w:eastAsia="arial" w:hAnsi="arial" w:cs="arial"/>
          <w:i/>
          <w:color w:val="000000"/>
          <w:sz w:val="20"/>
          <w:lang w:val="en-US" w:eastAsia="en-US" w:bidi="ar-SA"/>
        </w:rPr>
        <w:t xml:space="preserve"> supra,</w:t>
      </w:r>
      <w:r>
        <w:rPr>
          <w:rFonts w:ascii="arial" w:eastAsia="arial" w:hAnsi="arial" w:cs="arial"/>
          <w:color w:val="000000"/>
          <w:sz w:val="20"/>
          <w:lang w:val="en-US" w:eastAsia="en-US" w:bidi="ar-SA"/>
        </w:rPr>
        <w:t xml:space="preserve"> at para. 25.</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50</w:t>
      </w:r>
      <w:r>
        <w:rPr>
          <w:rFonts w:ascii="arial" w:eastAsia="arial" w:hAnsi="arial" w:cs="arial"/>
          <w:color w:val="000000"/>
          <w:sz w:val="20"/>
          <w:lang w:val="en-US" w:eastAsia="en-US" w:bidi="ar-SA"/>
        </w:rPr>
        <w:t>  General Motors submits that in the circumstances of this case, where the vehicle is no longer available for inspection by its expert, it would be unfair and would violate the integrity of the judicial process to permit the third party proceedings to continue. General Motors argues that its ability to defend the Third Party claim has been severely prejudiced by the loss of the vehicle, once in Mr. Chapman's possession.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51</w:t>
      </w:r>
      <w:r>
        <w:rPr>
          <w:rFonts w:ascii="arial" w:eastAsia="arial" w:hAnsi="arial" w:cs="arial"/>
          <w:color w:val="000000"/>
          <w:sz w:val="20"/>
          <w:lang w:val="en-US" w:eastAsia="en-US" w:bidi="ar-SA"/>
        </w:rPr>
        <w:t>  I am persuaded that General Motors has suffered prejudice as a result of the loss of the vehicle. Mr. Davies describes in his affidavit the tests which General Motors wished to perform, which included examining the vehicle and all of the alleged Defective Components of the vehicle. Mr. Davies explained that an inspection of the throttle assembly, which remains in the possession of the plaintiff's expert, is of limited value when the throttle assembly can no longer be reinstalled in the vehicle, and inspected in conjunction with the rest of the vehicle.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52</w:t>
      </w:r>
      <w:r>
        <w:rPr>
          <w:rFonts w:ascii="arial" w:eastAsia="arial" w:hAnsi="arial" w:cs="arial"/>
          <w:color w:val="000000"/>
          <w:sz w:val="20"/>
          <w:lang w:val="en-US" w:eastAsia="en-US" w:bidi="ar-SA"/>
        </w:rPr>
        <w:t>  This is not a case where a party has intentionally or in bad faith destroyed evidence. Mr. Chapman co-operated when General Motors sought to arrange for an inspection of the vehicle by moving it to the front of his shop property and making it available for towing to the dealership in Chilliwack where General Motors wished to conduct the inspection. Although Mr. Chapman may be subject to criticism for failing to take measures to ensure that the vehicle was secure on his property until General Motors was able to pick it up for inspection, there was no deliberate, or wilfully reckless destruction of evidence on his part.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53</w:t>
      </w:r>
      <w:r>
        <w:rPr>
          <w:rFonts w:ascii="arial" w:eastAsia="arial" w:hAnsi="arial" w:cs="arial"/>
          <w:color w:val="000000"/>
          <w:sz w:val="20"/>
          <w:lang w:val="en-US" w:eastAsia="en-US" w:bidi="ar-SA"/>
        </w:rPr>
        <w:t xml:space="preserve">  General Motors referred in its submissions to the principle of spoliation of evidence. The principle of spoliation is an evidentiary rule applicable to the deliberate destruction of evidence. Spoliation raises a rebuttable presumption that the evidence destroyed would have been adverse to the interests of the party who destroyed the evidence. It is not an independent tort giving rise to a substantive remedy: </w:t>
      </w:r>
      <w:r>
        <w:rPr>
          <w:rFonts w:ascii="arial" w:eastAsia="arial" w:hAnsi="arial" w:cs="arial"/>
          <w:b/>
          <w:i/>
          <w:color w:val="000000"/>
          <w:sz w:val="20"/>
          <w:lang w:val="en-US" w:eastAsia="en-US" w:bidi="ar-SA"/>
        </w:rPr>
        <w:t>Dawes v. Jajcaj,</w:t>
      </w:r>
      <w:r>
        <w:rPr>
          <w:rFonts w:ascii="arial" w:eastAsia="arial" w:hAnsi="arial" w:cs="arial"/>
          <w:color w:val="000000"/>
          <w:sz w:val="20"/>
          <w:lang w:val="en-US" w:eastAsia="en-US" w:bidi="ar-SA"/>
        </w:rPr>
        <w:t xml:space="preserve"> </w:t>
      </w:r>
      <w:hyperlink r:id="rId321" w:history="1">
        <w:r>
          <w:rPr>
            <w:rFonts w:ascii="arial" w:eastAsia="arial" w:hAnsi="arial" w:cs="arial"/>
            <w:i/>
            <w:color w:val="0077CC"/>
            <w:sz w:val="20"/>
            <w:u w:val="single"/>
            <w:shd w:val="clear" w:color="auto" w:fill="FFFFFF"/>
            <w:lang w:val="en-US" w:eastAsia="en-US" w:bidi="ar-SA"/>
          </w:rPr>
          <w:t>1999 BCCA 237</w:t>
        </w:r>
      </w:hyperlink>
      <w:r>
        <w:rPr>
          <w:rFonts w:ascii="arial" w:eastAsia="arial" w:hAnsi="arial" w:cs="arial"/>
          <w:color w:val="000000"/>
          <w:sz w:val="20"/>
          <w:lang w:val="en-US" w:eastAsia="en-US" w:bidi="ar-SA"/>
        </w:rPr>
        <w:t xml:space="preserve">, </w:t>
      </w:r>
      <w:hyperlink r:id="rId321" w:history="1">
        <w:r>
          <w:rPr>
            <w:rFonts w:ascii="arial" w:eastAsia="arial" w:hAnsi="arial" w:cs="arial"/>
            <w:i/>
            <w:color w:val="0077CC"/>
            <w:sz w:val="20"/>
            <w:u w:val="single"/>
            <w:shd w:val="clear" w:color="auto" w:fill="FFFFFF"/>
            <w:lang w:val="en-US" w:eastAsia="en-US" w:bidi="ar-SA"/>
          </w:rPr>
          <w:t>66 B.C.L.R. (3d) 31</w:t>
        </w:r>
      </w:hyperlink>
      <w:r>
        <w:rPr>
          <w:rFonts w:ascii="arial" w:eastAsia="arial" w:hAnsi="arial" w:cs="arial"/>
          <w:color w:val="000000"/>
          <w:sz w:val="20"/>
          <w:lang w:val="en-US" w:eastAsia="en-US" w:bidi="ar-SA"/>
        </w:rPr>
        <w:t xml:space="preserve"> at paras. 63-64.</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54</w:t>
      </w:r>
      <w:r>
        <w:rPr>
          <w:rFonts w:ascii="arial" w:eastAsia="arial" w:hAnsi="arial" w:cs="arial"/>
          <w:color w:val="000000"/>
          <w:sz w:val="20"/>
          <w:lang w:val="en-US" w:eastAsia="en-US" w:bidi="ar-SA"/>
        </w:rPr>
        <w:t xml:space="preserve">  In </w:t>
      </w:r>
      <w:r>
        <w:rPr>
          <w:rFonts w:ascii="arial" w:eastAsia="arial" w:hAnsi="arial" w:cs="arial"/>
          <w:b/>
          <w:i/>
          <w:color w:val="000000"/>
          <w:sz w:val="20"/>
          <w:lang w:val="en-US" w:eastAsia="en-US" w:bidi="ar-SA"/>
        </w:rPr>
        <w:t>Dawes,</w:t>
      </w:r>
      <w:r>
        <w:rPr>
          <w:rFonts w:ascii="arial" w:eastAsia="arial" w:hAnsi="arial" w:cs="arial"/>
          <w:color w:val="000000"/>
          <w:sz w:val="20"/>
          <w:lang w:val="en-US" w:eastAsia="en-US" w:bidi="ar-SA"/>
        </w:rPr>
        <w:t xml:space="preserve"> at para. 69, the Court of Appeal also held that there is no common law duty to preserve property that may be required for evidentiary purposes.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55</w:t>
      </w:r>
      <w:r>
        <w:rPr>
          <w:rFonts w:ascii="arial" w:eastAsia="arial" w:hAnsi="arial" w:cs="arial"/>
          <w:color w:val="000000"/>
          <w:sz w:val="20"/>
          <w:lang w:val="en-US" w:eastAsia="en-US" w:bidi="ar-SA"/>
        </w:rPr>
        <w:t xml:space="preserve">  General Motors submits that the facts of this case are distinguishable from those before the Court of Appeal in </w:t>
      </w:r>
      <w:r>
        <w:rPr>
          <w:rFonts w:ascii="arial" w:eastAsia="arial" w:hAnsi="arial" w:cs="arial"/>
          <w:b/>
          <w:i/>
          <w:color w:val="000000"/>
          <w:sz w:val="20"/>
          <w:lang w:val="en-US" w:eastAsia="en-US" w:bidi="ar-SA"/>
        </w:rPr>
        <w:t>Dawes</w:t>
      </w:r>
      <w:r>
        <w:rPr>
          <w:rFonts w:ascii="arial" w:eastAsia="arial" w:hAnsi="arial" w:cs="arial"/>
          <w:color w:val="000000"/>
          <w:sz w:val="20"/>
          <w:lang w:val="en-US" w:eastAsia="en-US" w:bidi="ar-SA"/>
        </w:rPr>
        <w:t xml:space="preserve"> because there, the court found that the destruction of a vehicle involved in a motor vehicle accident resulted in no real prejudice to the plaintiff. The defendant's expert had provided a detailed report of his inspection and that report was available to the plaintiff, as was other real evidence material to the resolution of the issues before the trial court in that case.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56</w:t>
      </w:r>
      <w:r>
        <w:rPr>
          <w:rFonts w:ascii="arial" w:eastAsia="arial" w:hAnsi="arial" w:cs="arial"/>
          <w:color w:val="000000"/>
          <w:sz w:val="20"/>
          <w:lang w:val="en-US" w:eastAsia="en-US" w:bidi="ar-SA"/>
        </w:rPr>
        <w:t>  Here, Mr Chapman has not delivered his expert report. At this stage, it is simply not possible to assess the extent to which that report might either ameliorate or compound the prejudice to General Motors flowing from the loss of the vehicle.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57</w:t>
      </w:r>
      <w:r>
        <w:rPr>
          <w:rFonts w:ascii="arial" w:eastAsia="arial" w:hAnsi="arial" w:cs="arial"/>
          <w:color w:val="000000"/>
          <w:sz w:val="20"/>
          <w:lang w:val="en-US" w:eastAsia="en-US" w:bidi="ar-SA"/>
        </w:rPr>
        <w:t>  Another circumstance which General Motors submits supports striking the Third Party Notice, is that there will be no prejudice to the injured party in this litigation. The plaintiff has previously consented to the discontinuance of her action against General Motors, and does not oppose the application to strike the Third Party Notice.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58</w:t>
      </w:r>
      <w:r>
        <w:rPr>
          <w:rFonts w:ascii="arial" w:eastAsia="arial" w:hAnsi="arial" w:cs="arial"/>
          <w:color w:val="000000"/>
          <w:sz w:val="20"/>
          <w:lang w:val="en-US" w:eastAsia="en-US" w:bidi="ar-SA"/>
        </w:rPr>
        <w:t xml:space="preserve">  Finally, General Motors submits that Mr. Chapman's Third Party claim is tenuous. First, as a result of the loss of the vehicle, it may be difficult for the defendant to prove the allegations of negligent design and manufacture which Mr. Chapman has adopted from the plaintiff's Statement of Claim. Second, Mr. Chapman claims against General Motors for contribution and indemnity under the </w:t>
      </w:r>
      <w:r>
        <w:rPr>
          <w:rFonts w:ascii="arial" w:eastAsia="arial" w:hAnsi="arial" w:cs="arial"/>
          <w:b/>
          <w:i/>
          <w:color w:val="000000"/>
          <w:sz w:val="20"/>
          <w:u w:val="single"/>
          <w:lang w:val="en-US" w:eastAsia="en-US" w:bidi="ar-SA"/>
        </w:rPr>
        <w:t>Negligence</w:t>
      </w:r>
      <w:r>
        <w:rPr>
          <w:rFonts w:ascii="arial" w:eastAsia="arial" w:hAnsi="arial" w:cs="arial"/>
          <w:b/>
          <w:i/>
          <w:color w:val="000000"/>
          <w:sz w:val="20"/>
          <w:lang w:val="en-US" w:eastAsia="en-US" w:bidi="ar-SA"/>
        </w:rPr>
        <w:t xml:space="preserve"> Act, </w:t>
      </w:r>
      <w:r>
        <w:rPr>
          <w:rFonts w:ascii="arial" w:eastAsia="arial" w:hAnsi="arial" w:cs="arial"/>
          <w:b/>
          <w:i/>
          <w:color w:val="000000"/>
          <w:sz w:val="20"/>
          <w:lang w:val="en-US" w:eastAsia="en-US" w:bidi="ar-SA"/>
        </w:rPr>
        <w:t>R.S.B.C. 1996, c. 33</w:t>
      </w:r>
      <w:r>
        <w:rPr>
          <w:rFonts w:ascii="arial" w:eastAsia="arial" w:hAnsi="arial" w:cs="arial"/>
          <w:b/>
          <w:i/>
          <w:color w:val="000000"/>
          <w:sz w:val="20"/>
          <w:lang w:val="en-US" w:eastAsia="en-US" w:bidi="ar-SA"/>
        </w:rPr>
        <w:t>.</w:t>
      </w:r>
      <w:r>
        <w:rPr>
          <w:rFonts w:ascii="arial" w:eastAsia="arial" w:hAnsi="arial" w:cs="arial"/>
          <w:color w:val="000000"/>
          <w:sz w:val="20"/>
          <w:lang w:val="en-US" w:eastAsia="en-US" w:bidi="ar-SA"/>
        </w:rPr>
        <w:t xml:space="preserve"> Counsel for General Motors submits that if the plaintiff is found to have been negligent for her damages in any degree whatsoever, then the liability of the defendant Chapman, and the other parties, including General Motors, would be several, rather than joint and several. No issue of contribution or indemnity arises under the </w:t>
      </w:r>
      <w:r>
        <w:rPr>
          <w:rFonts w:ascii="arial" w:eastAsia="arial" w:hAnsi="arial" w:cs="arial"/>
          <w:b/>
          <w:i/>
          <w:color w:val="000000"/>
          <w:sz w:val="20"/>
          <w:u w:val="single"/>
          <w:lang w:val="en-US" w:eastAsia="en-US" w:bidi="ar-SA"/>
        </w:rPr>
        <w:t>Negligence</w:t>
      </w:r>
      <w:r>
        <w:rPr>
          <w:rFonts w:ascii="arial" w:eastAsia="arial" w:hAnsi="arial" w:cs="arial"/>
          <w:b/>
          <w:i/>
          <w:color w:val="000000"/>
          <w:sz w:val="20"/>
          <w:lang w:val="en-US" w:eastAsia="en-US" w:bidi="ar-SA"/>
        </w:rPr>
        <w:t xml:space="preserve"> Act</w:t>
      </w:r>
      <w:r>
        <w:rPr>
          <w:rFonts w:ascii="arial" w:eastAsia="arial" w:hAnsi="arial" w:cs="arial"/>
          <w:color w:val="000000"/>
          <w:sz w:val="20"/>
          <w:lang w:val="en-US" w:eastAsia="en-US" w:bidi="ar-SA"/>
        </w:rPr>
        <w:t xml:space="preserve"> where a plaintiff is contributorily negligent, because the liability to pay the damages is apportioned, not shared: </w:t>
      </w:r>
      <w:r>
        <w:rPr>
          <w:rFonts w:ascii="arial" w:eastAsia="arial" w:hAnsi="arial" w:cs="arial"/>
          <w:b/>
          <w:i/>
          <w:color w:val="000000"/>
          <w:sz w:val="20"/>
          <w:lang w:val="en-US" w:eastAsia="en-US" w:bidi="ar-SA"/>
        </w:rPr>
        <w:t>Liu v. Hansen</w:t>
      </w:r>
      <w:r>
        <w:rPr>
          <w:rFonts w:ascii="arial" w:eastAsia="arial" w:hAnsi="arial" w:cs="arial"/>
          <w:color w:val="000000"/>
          <w:sz w:val="20"/>
          <w:lang w:val="en-US" w:eastAsia="en-US" w:bidi="ar-SA"/>
        </w:rPr>
        <w:t xml:space="preserve">, </w:t>
      </w:r>
      <w:hyperlink r:id="rId322" w:history="1">
        <w:r>
          <w:rPr>
            <w:rFonts w:ascii="arial" w:eastAsia="arial" w:hAnsi="arial" w:cs="arial"/>
            <w:i/>
            <w:color w:val="0077CC"/>
            <w:sz w:val="20"/>
            <w:u w:val="single"/>
            <w:shd w:val="clear" w:color="auto" w:fill="FFFFFF"/>
            <w:lang w:val="en-US" w:eastAsia="en-US" w:bidi="ar-SA"/>
          </w:rPr>
          <w:t>[1994] B.C.J. No. 151</w:t>
        </w:r>
      </w:hyperlink>
      <w:r>
        <w:rPr>
          <w:rFonts w:ascii="arial" w:eastAsia="arial" w:hAnsi="arial" w:cs="arial"/>
          <w:color w:val="000000"/>
          <w:sz w:val="20"/>
          <w:lang w:val="en-US" w:eastAsia="en-US" w:bidi="ar-SA"/>
        </w:rPr>
        <w:t xml:space="preserve"> at para. 11 (S.C.). Counsel for General Motors submits that if, at trial, the court finds that the plaintiff was not wearing her seat belt at the time of the accident, a finding of contributory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against the plaintiff is likely, and the Third Party proceeding will fail. General Motors argues that in all of these circumstances the Third Party Notice ought to be struck out as an abuse of process.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59</w:t>
      </w:r>
      <w:r>
        <w:rPr>
          <w:rFonts w:ascii="arial" w:eastAsia="arial" w:hAnsi="arial" w:cs="arial"/>
          <w:color w:val="000000"/>
          <w:sz w:val="20"/>
          <w:lang w:val="en-US" w:eastAsia="en-US" w:bidi="ar-SA"/>
        </w:rPr>
        <w:t xml:space="preserve">  The principles guiding the court's exercise of its discretion regarding the prevention of an abuse of process are set out in </w:t>
      </w:r>
      <w:r>
        <w:rPr>
          <w:rFonts w:ascii="arial" w:eastAsia="arial" w:hAnsi="arial" w:cs="arial"/>
          <w:b/>
          <w:i/>
          <w:color w:val="000000"/>
          <w:sz w:val="20"/>
          <w:lang w:val="en-US" w:eastAsia="en-US" w:bidi="ar-SA"/>
        </w:rPr>
        <w:t>Halsbury's Laws of England</w:t>
      </w:r>
      <w:r>
        <w:rPr>
          <w:rFonts w:ascii="arial" w:eastAsia="arial" w:hAnsi="arial" w:cs="arial"/>
          <w:color w:val="000000"/>
          <w:sz w:val="20"/>
          <w:lang w:val="en-US" w:eastAsia="en-US" w:bidi="ar-SA"/>
        </w:rPr>
        <w:t xml:space="preserve"> (4th ed) v. 37 at para. 430:</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the powers are permissive, not mandatory, and they confer a discretionary jurisdiction which the court will exercise in light of all the circumstances concerning the offending pleading. This discretion will be exercised by applying two fundamental, although complementary, principles. The first principle is that parties will not lightly "be driven from the seat of judgment", and for this reason, the court will exercise its discretionary power with the greatest care and circumspection, and only in the clearest cases. The second principle is that a stay or even dismissal of proceedings may 'often be required by the very essence of justice to be done', so as to prevent the parties being harassed and put to expense by frivolous, vexatious or hopeless litigation".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60</w:t>
      </w:r>
      <w:r>
        <w:rPr>
          <w:rFonts w:ascii="arial" w:eastAsia="arial" w:hAnsi="arial" w:cs="arial"/>
          <w:color w:val="000000"/>
          <w:sz w:val="20"/>
          <w:lang w:val="en-US" w:eastAsia="en-US" w:bidi="ar-SA"/>
        </w:rPr>
        <w:t>  Striking pleadings is a draconian remedy which should only be exercised where it is plain and obvious that an abuse of process exists. On this application, it is not plain and obvious that Mr. Chapman's Third Party claim against General Motors is without foundation so that it constitutes an abuse of process. Nor does the material before the court clearly establish that the Third Party claim has been advanced in bad faith, or for an improper or collateral purpose.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61</w:t>
      </w:r>
      <w:r>
        <w:rPr>
          <w:rFonts w:ascii="arial" w:eastAsia="arial" w:hAnsi="arial" w:cs="arial"/>
          <w:color w:val="000000"/>
          <w:sz w:val="20"/>
          <w:lang w:val="en-US" w:eastAsia="en-US" w:bidi="ar-SA"/>
        </w:rPr>
        <w:t>  The essence of General Motors complaint is that the disappearance of the vehicle has unfairly prejudiced its ability to defend the Third Party claim, and that there can be no fair trial of the claim against General Motors in circumstances where its expert has had no opportunity to inspect the vehicle and provide opinion evidence based upon a comprehensive inspection of the vehicle and its components.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62</w:t>
      </w:r>
      <w:r>
        <w:rPr>
          <w:rFonts w:ascii="arial" w:eastAsia="arial" w:hAnsi="arial" w:cs="arial"/>
          <w:color w:val="000000"/>
          <w:sz w:val="20"/>
          <w:lang w:val="en-US" w:eastAsia="en-US" w:bidi="ar-SA"/>
        </w:rPr>
        <w:t xml:space="preserve">  At this stage, Mr. Chapman has not delivered the report of his expert, who did have the opportunity to inspect the vehicle. On this application, the court is not in a position to determine that the defendant's Third Party claim is bound to fail. Counsel for General Motors correctly submits that a finding of contributory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against the plaintiff would preclude Mr. Chapman from claiming any contribution from General Motors. However, the apportionment of liability among the parties, and the consequences of that apportionment for the Third Party claim are matters for the trial judge.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63</w:t>
      </w:r>
      <w:r>
        <w:rPr>
          <w:rFonts w:ascii="arial" w:eastAsia="arial" w:hAnsi="arial" w:cs="arial"/>
          <w:color w:val="000000"/>
          <w:sz w:val="20"/>
          <w:lang w:val="en-US" w:eastAsia="en-US" w:bidi="ar-SA"/>
        </w:rPr>
        <w:t xml:space="preserve">  If, at the trial of this action, Mr. Chapman seeks to rely on a report from his expert and General Motors submits that it is unable to answer that report as a result of the loss of the vehicle, the question of whether that report should be admitted in evidence is a matter to be dealt with by the trial judge in the exercise of the court's powers to ensure a fair trial. At trial, the court has discretion to exclude evidence which would otherwise be admissible where its probative value is outweighed by its prejudicial effect: </w:t>
      </w:r>
      <w:r>
        <w:rPr>
          <w:rFonts w:ascii="arial" w:eastAsia="arial" w:hAnsi="arial" w:cs="arial"/>
          <w:b/>
          <w:i/>
          <w:color w:val="000000"/>
          <w:sz w:val="20"/>
          <w:lang w:val="en-US" w:eastAsia="en-US" w:bidi="ar-SA"/>
        </w:rPr>
        <w:t>Landolfi v. Forgione</w:t>
      </w:r>
      <w:r>
        <w:rPr>
          <w:rFonts w:ascii="arial" w:eastAsia="arial" w:hAnsi="arial" w:cs="arial"/>
          <w:color w:val="000000"/>
          <w:sz w:val="20"/>
          <w:lang w:val="en-US" w:eastAsia="en-US" w:bidi="ar-SA"/>
        </w:rPr>
        <w:t xml:space="preserve"> </w:t>
      </w:r>
      <w:hyperlink r:id="rId323" w:history="1">
        <w:r>
          <w:rPr>
            <w:rFonts w:ascii="arial" w:eastAsia="arial" w:hAnsi="arial" w:cs="arial"/>
            <w:i/>
            <w:color w:val="0077CC"/>
            <w:sz w:val="20"/>
            <w:u w:val="single"/>
            <w:shd w:val="clear" w:color="auto" w:fill="FFFFFF"/>
            <w:lang w:val="en-US" w:eastAsia="en-US" w:bidi="ar-SA"/>
          </w:rPr>
          <w:t>(2006), 79 O.R. (3d) 767</w:t>
        </w:r>
      </w:hyperlink>
      <w:r>
        <w:rPr>
          <w:rFonts w:ascii="arial" w:eastAsia="arial" w:hAnsi="arial" w:cs="arial"/>
          <w:color w:val="000000"/>
          <w:sz w:val="20"/>
          <w:lang w:val="en-US" w:eastAsia="en-US" w:bidi="ar-SA"/>
        </w:rPr>
        <w:t xml:space="preserve"> at 782 (C.A.).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64</w:t>
      </w:r>
      <w:r>
        <w:rPr>
          <w:rFonts w:ascii="arial" w:eastAsia="arial" w:hAnsi="arial" w:cs="arial"/>
          <w:color w:val="000000"/>
          <w:sz w:val="20"/>
          <w:lang w:val="en-US" w:eastAsia="en-US" w:bidi="ar-SA"/>
        </w:rPr>
        <w:t>  Although General Motors has established that it has suffered prejudice as a result of the loss of the vehicle while it was stored on Mr. Chapman's property, that prejudice was not the result of any deliberate misconduct, bad faith, or deception by Mr. Chapman. Nor is this a clear case of vexatious or hopeless litigation, or of a litigant otherwise unfairly using the court's process, that would warrant the exercise of the court's discretion to strike out the Third Party Notice now for abuse of process.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Conclusion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65</w:t>
      </w:r>
      <w:r>
        <w:rPr>
          <w:rFonts w:ascii="arial" w:eastAsia="arial" w:hAnsi="arial" w:cs="arial"/>
          <w:color w:val="000000"/>
          <w:sz w:val="20"/>
          <w:lang w:val="en-US" w:eastAsia="en-US" w:bidi="ar-SA"/>
        </w:rPr>
        <w:t>  The application of the defendant William Chapman for the discharge of paragraph 2 of the order of Master Scarth pronounced June 17, 2005, is granted. The application of General Motors is dismissed.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Costs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66</w:t>
      </w:r>
      <w:r>
        <w:rPr>
          <w:rFonts w:ascii="arial" w:eastAsia="arial" w:hAnsi="arial" w:cs="arial"/>
          <w:color w:val="000000"/>
          <w:sz w:val="20"/>
          <w:lang w:val="en-US" w:eastAsia="en-US" w:bidi="ar-SA"/>
        </w:rPr>
        <w:t>  In light of the result, Mr. Chapman is entitled to the costs of both applications at Scale B.</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P.J. PEARLMAN J.</w:t>
      </w:r>
      <w:r>
        <w:rPr>
          <w:rFonts w:ascii="arial" w:eastAsia="arial" w:hAnsi="arial" w:cs="arial"/>
          <w:sz w:val="20"/>
          <w:lang w:val="en-US" w:eastAsia="en-US" w:bidi="ar-SA"/>
        </w:rPr>
        <w:cr/>
      </w:r>
    </w:p>
    <w:p>
      <w:pPr>
        <w:rPr>
          <w:rFonts w:ascii="arial" w:eastAsia="arial" w:hAnsi="arial" w:cs="arial"/>
          <w:sz w:val="20"/>
          <w:lang w:val="en-US" w:eastAsia="en-US" w:bidi="ar-SA"/>
        </w:rPr>
      </w:pPr>
    </w:p>
    <w:p>
      <w:pPr>
        <w:ind w:left="200"/>
        <w:rPr>
          <w:rFonts w:ascii="arial" w:eastAsia="arial" w:hAnsi="arial" w:cs="arial"/>
          <w:sz w:val="20"/>
          <w:lang w:val="en-US" w:eastAsia="en-US" w:bidi="ar-SA"/>
        </w:rPr>
        <w:sectPr>
          <w:type w:val="continuous"/>
          <w:pgMar w:top="840" w:right="1000" w:bottom="840" w:left="1000" w:header="400" w:footer="400"/>
          <w:pgNumType w:fmt="decimal"/>
          <w:cols w:space="720"/>
        </w:sectPr>
      </w:pPr>
      <w:r>
        <w:rPr>
          <w:rFonts w:ascii="arial" w:eastAsia="arial" w:hAnsi="arial" w:cs="arial"/>
          <w:sz w:val="20"/>
          <w:lang w:val="en-US" w:eastAsia="en-US" w:bidi="ar-SA"/>
        </w:rPr>
        <w:br/>
      </w:r>
      <w:r>
        <w:pict>
          <v:line id="_x0000_s1087" style="position:absolute;z-index:251868160" from="0,10pt" to="512pt,10pt" strokecolor="black" strokeweight="1pt">
            <v:stroke linestyle="single"/>
          </v:line>
        </w:pict>
      </w:r>
      <w:r>
        <w:rPr>
          <w:b/>
          <w:color w:val="767676"/>
          <w:sz w:val="16"/>
          <w:lang w:val="en-US" w:eastAsia="en-US" w:bidi="ar-SA"/>
        </w:rPr>
        <w:t>End of Document</w:t>
      </w:r>
    </w:p>
    <w:p>
      <w:pPr>
        <w:rPr>
          <w:rFonts w:ascii="arial" w:eastAsia="arial" w:hAnsi="arial" w:cs="arial"/>
          <w:sz w:val="20"/>
          <w:lang w:val="en-US" w:eastAsia="en-US" w:bidi="ar-SA"/>
        </w:rPr>
        <w:sectPr>
          <w:headerReference w:type="even" r:id="rId324"/>
          <w:headerReference w:type="default" r:id="rId325"/>
          <w:footerReference w:type="even" r:id="rId326"/>
          <w:footerReference w:type="default" r:id="rId327"/>
          <w:headerReference w:type="first" r:id="rId328"/>
          <w:footerReference w:type="first" r:id="rId329"/>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eastAsia="arial" w:hAnsi="Arial" w:cs="Arial"/>
          <w:b/>
          <w:bCs/>
          <w:kern w:val="32"/>
          <w:sz w:val="32"/>
          <w:szCs w:val="32"/>
          <w:lang w:val="en-US" w:eastAsia="en-US" w:bidi="ar-SA"/>
        </w:rPr>
      </w:pPr>
      <w:hyperlink r:id="rId330" w:history="1">
        <w:r>
          <w:rPr>
            <w:rFonts w:ascii="arial" w:eastAsia="arial" w:hAnsi="arial" w:cs="arial"/>
            <w:b/>
            <w:bCs/>
            <w:i/>
            <w:color w:val="0077CC"/>
            <w:kern w:val="32"/>
            <w:sz w:val="28"/>
            <w:szCs w:val="32"/>
            <w:u w:val="single"/>
            <w:shd w:val="clear" w:color="auto" w:fill="FFFFFF"/>
            <w:lang w:val="en-US" w:eastAsia="en-US" w:bidi="ar-SA"/>
          </w:rPr>
          <w:t>Chaytor (Re), [2006] B.C.J. No. 3037</w:t>
        </w:r>
      </w:hyperlink>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Judgments</w:t>
      </w:r>
    </w:p>
    <w:p>
      <w:pPr>
        <w:rPr>
          <w:rFonts w:ascii="arial" w:eastAsia="arial" w:hAnsi="arial" w:cs="arial"/>
          <w:sz w:val="20"/>
          <w:lang w:val="en-US" w:eastAsia="en-US" w:bidi="ar-SA"/>
        </w:rPr>
      </w:pP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(In Bankruptcy and Insolvency)</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Victoria, British Columbia</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District Registrar Bouck</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Heard: September 20 and October 24, 2006 (Nanaimo).</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Judgment: November 24, 2006.</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Victoria Registry No. 06/0706</w:t>
      </w:r>
    </w:p>
    <w:p>
      <w:pPr>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r>
        <w:rPr>
          <w:rFonts w:ascii="arial" w:eastAsia="arial" w:hAnsi="arial" w:cs="arial"/>
          <w:b/>
          <w:color w:val="000000"/>
          <w:sz w:val="20"/>
          <w:lang w:val="en-US" w:eastAsia="en-US" w:bidi="ar-SA"/>
        </w:rPr>
        <w:t>[2006] B.C.J. No. 3037</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2006 BCSC 1742</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26 C.B.R. (5th) 274</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44 C.C.L.I. (4th) 43</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153 A.C.W.S. (3d) 512</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2006 CarswellBC 2883</w:t>
      </w:r>
    </w:p>
    <w:p>
      <w:pPr>
        <w:spacing w:before="120" w:line="260" w:lineRule="atLeast"/>
        <w:rPr>
          <w:rFonts w:ascii="arial" w:eastAsia="arial" w:hAnsi="arial" w:cs="arial"/>
          <w:sz w:val="20"/>
          <w:lang w:val="en-US" w:eastAsia="en-US" w:bidi="ar-SA"/>
        </w:rPr>
      </w:pPr>
      <w:r>
        <w:rPr>
          <w:rFonts w:ascii="arial" w:eastAsia="arial" w:hAnsi="arial" w:cs="arial"/>
          <w:color w:val="000000"/>
          <w:sz w:val="20"/>
          <w:lang w:val="en-US" w:eastAsia="en-US" w:bidi="ar-SA"/>
        </w:rPr>
        <w:t>IN THE MATTER OF the Bankruptcy and Insolvency Act AND IN THE MATTER OF the Bankruptcy of Kenneth Reginald Chaytor</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(78 paras.)</w:t>
      </w:r>
    </w:p>
    <w:p>
      <w:pPr>
        <w:keepNext/>
        <w:spacing w:before="12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Case Summary</w:t>
      </w:r>
    </w:p>
    <w:p>
      <w:pPr>
        <w:spacing w:line="60" w:lineRule="exact"/>
        <w:rPr>
          <w:rFonts w:ascii="arial" w:eastAsia="arial" w:hAnsi="arial" w:cs="arial"/>
          <w:sz w:val="20"/>
          <w:lang w:val="en-US" w:eastAsia="en-US" w:bidi="ar-SA"/>
        </w:rPr>
      </w:pPr>
      <w:r>
        <w:pict>
          <v:line id="_x0000_s1088" style="position:absolute;z-index:251671552"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bookmarkStart w:id="80" w:name="Keywords_11"/>
      <w:bookmarkEnd w:id="80"/>
      <w:r>
        <w:rPr>
          <w:rFonts w:ascii="arial" w:eastAsia="arial" w:hAnsi="arial" w:cs="arial"/>
          <w:b/>
          <w:color w:val="000000"/>
          <w:sz w:val="20"/>
          <w:lang w:val="en-US" w:eastAsia="en-US" w:bidi="ar-SA"/>
        </w:rPr>
        <w:t>Insolvency law — Discharge of bankrupt — Debts not released by discharge — Grounds for refusal — Assets worth less than 50 cents on dollar — Conduct of bankrupt — Conditional discharge — Upon total or partial repayment — Application by the bankrupt for a discharge from bankruptcy allowed in part — Bankrupt made assignment because of a civil judgment against him that resulted from a motor vehicle accident — Judgment did not survive an order of discharge — Bankrupt was required to pay $5,000 as a condition of his discharge — He was not entitled to an absolute discharge because he refused to accept responsibility for the judgment — Bankruptcy and Insolvency Act, R.S.C. 1985, c. B-3, ss. 178, 178(1), 178(1)(a).</w:t>
      </w:r>
    </w:p>
    <w:p>
      <w:pPr>
        <w:rPr>
          <w:rFonts w:ascii="arial" w:eastAsia="arial" w:hAnsi="arial" w:cs="arial"/>
          <w:sz w:val="20"/>
          <w:lang w:val="en-US" w:eastAsia="en-US" w:bidi="ar-SA"/>
        </w:rPr>
      </w:pPr>
    </w:p>
    <w:tbl>
      <w:tblPr>
        <w:tblStyle w:val="TableNormal"/>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
      <w:tblGrid>
        <w:gridCol w:w="10225"/>
      </w:tblGrid>
      <w:tr>
        <w:tblPrEx>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Ex>
        <w:tc>
          <w:tcPr/>
          <w:p>
            <w:pPr>
              <w:rPr>
                <w:rFonts w:ascii="arial" w:eastAsia="arial" w:hAnsi="arial" w:cs="arial"/>
                <w:sz w:val="20"/>
                <w:lang w:val="en-US" w:eastAsia="en-US" w:bidi="ar-SA"/>
              </w:rPr>
            </w:pPr>
            <w:bookmarkStart w:id="81" w:name="Case Summary_10"/>
            <w:bookmarkEnd w:id="81"/>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Application by the bankrupt Kenneth Chaytor for a discharge from bankruptcy -- Application by the Insurance Corporation of British Columbia for an order that its debt in the form of a civil judgment against Kenneth and his wife Warunee survived their discharges -- Warunee struck and killed a woman while she drove her husband's truck -- She was not licensed to drive a vehicle in British Columbia when the accident occurred -- Trial judge found that Warunee operated the vehicle negligently and her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was the cause of the collision that resulted in the death -- Judge also decided that Kenneth forfeited his right to indemnity under his insurance policy with ICBC because he gave his implied consent to Warunee to drive -- Kenneth and Warunee were ordered to pay ICBC $205,597 -- They subsequently made assignments into bankruptcy -- Kenneth declared assets of $11,000 -- Chaytors did not own a home -- Kenneth's monthly income was $1,500 and that of Warunee was $537 -- No payments were made to the trustee for surplus income as the Chaytors' income fell below the Superintendent's Guidelines -- Kenneth's ability to earn income was uncertain and was frustrated by the refusal of the Superintendent of Motor Vehicles to renew his driver's licence -- Kenneth performed all the duties of a bankrupt -- HELD: Kenneth's application allowed in part -- ICBC's application dismissed -- Judgment in favour of ICBC was not similar in nature to a penalty that was not released by the discharge of a bankrupt pursuant to s. 178(1)(a) of the Bankruptcy and Insolvency Act -- S. 178, which listed items that were not released by discharge, only applied to civil judgments in respect of bodily harm intentionally inflicted, sexual assault or wrongful death resulting therefrom -- If Parliament intended civil judgments from motor vehicle accidents to survive bankruptcy it would have clearly stated so in s. 178 -- S. 178(1)(a) did not concern civil judgments at all but related solely to criminal or quasi-criminal matters -- Kenneth was not entitled to an absolute discharge because his assets were not equal to a value of 50 cents on the dollar and he was responsible for the situation that resulted in the bankruptcy because he consented to Warunee's use of the vehicle -- He was also not entitled to an absolute discharge because he did not accept responsibility for his current situation as he continued to challenge ICBC's entitlement to judgment -- Court would not refuse the discharge because Kenneth complied with all of his obligations -- Due to Kenneth's modest financial circumstances and the need for him to make payment for the general benefit of his creditors because of the circumstances of this case he would be discharged from bankruptcy once he paid $5,000 -- No order was made for minimum monthly payments because of the uncertainty of the Chaytor family income. </w:t>
            </w:r>
            <w:r>
              <w:rPr>
                <w:rFonts w:ascii="arial" w:eastAsia="arial" w:hAnsi="arial" w:cs="arial"/>
                <w:sz w:val="20"/>
                <w:lang w:val="en-US" w:eastAsia="en-US" w:bidi="ar-SA"/>
              </w:rPr>
              <w:cr/>
            </w:r>
          </w:p>
          <w:p>
            <w:pPr>
              <w:rPr>
                <w:rFonts w:ascii="arial" w:eastAsia="arial" w:hAnsi="arial" w:cs="arial"/>
                <w:sz w:val="20"/>
                <w:lang w:val="en-US" w:eastAsia="en-US" w:bidi="ar-SA"/>
              </w:rPr>
            </w:pPr>
          </w:p>
        </w:tc>
      </w:tr>
    </w:tbl>
    <w:p>
      <w:pPr>
        <w:jc w:val="both"/>
        <w:rPr>
          <w:rFonts w:ascii="arial" w:eastAsia="arial" w:hAnsi="arial" w:cs="arial"/>
          <w:sz w:val="20"/>
          <w:lang w:val="en-US" w:eastAsia="en-US" w:bidi="ar-SA"/>
        </w:rPr>
      </w:pPr>
      <w:bookmarkStart w:id="82" w:name="Legislation Cited_7"/>
      <w:bookmarkEnd w:id="82"/>
      <w:r>
        <w:rPr>
          <w:rFonts w:ascii="arial" w:eastAsia="arial" w:hAnsi="arial" w:cs="arial"/>
          <w:sz w:val="20"/>
          <w:lang w:val="en-US" w:eastAsia="en-US" w:bidi="ar-SA"/>
        </w:rPr>
        <w:br/>
      </w:r>
    </w:p>
    <w:p>
      <w:pPr>
        <w:keepNext/>
        <w:spacing w:before="24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Statutes, Regulations and Rules Cited:</w:t>
      </w:r>
    </w:p>
    <w:p>
      <w:pPr>
        <w:spacing w:line="60" w:lineRule="exact"/>
        <w:rPr>
          <w:rFonts w:ascii="arial" w:eastAsia="arial" w:hAnsi="arial" w:cs="arial"/>
          <w:sz w:val="20"/>
          <w:lang w:val="en-US" w:eastAsia="en-US" w:bidi="ar-SA"/>
        </w:rPr>
      </w:pPr>
      <w:r>
        <w:pict>
          <v:line id="_x0000_s1089" style="position:absolute;z-index:251722752"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Bankruptcy and Insolvency Act, </w:t>
      </w:r>
      <w:hyperlink r:id="rId331" w:history="1">
        <w:r>
          <w:rPr>
            <w:rFonts w:ascii="arial" w:eastAsia="arial" w:hAnsi="arial" w:cs="arial"/>
            <w:i/>
            <w:color w:val="0077CC"/>
            <w:sz w:val="20"/>
            <w:u w:val="single"/>
            <w:shd w:val="clear" w:color="auto" w:fill="FFFFFF"/>
            <w:lang w:val="en-US" w:eastAsia="en-US" w:bidi="ar-SA"/>
          </w:rPr>
          <w:t>R.S.C. 1985, c. B-3, s. 170</w:t>
        </w:r>
      </w:hyperlink>
      <w:hyperlink r:id="rId332" w:history="1">
        <w:r>
          <w:rPr>
            <w:rFonts w:ascii="arial" w:eastAsia="arial" w:hAnsi="arial" w:cs="arial"/>
            <w:i/>
            <w:color w:val="0077CC"/>
            <w:sz w:val="20"/>
            <w:u w:val="single"/>
            <w:shd w:val="clear" w:color="auto" w:fill="FFFFFF"/>
            <w:lang w:val="en-US" w:eastAsia="en-US" w:bidi="ar-SA"/>
          </w:rPr>
          <w:t>, s. 172</w:t>
        </w:r>
      </w:hyperlink>
      <w:hyperlink r:id="rId332" w:history="1">
        <w:r>
          <w:rPr>
            <w:rFonts w:ascii="arial" w:eastAsia="arial" w:hAnsi="arial" w:cs="arial"/>
            <w:i/>
            <w:color w:val="0077CC"/>
            <w:sz w:val="20"/>
            <w:u w:val="single"/>
            <w:shd w:val="clear" w:color="auto" w:fill="FFFFFF"/>
            <w:lang w:val="en-US" w:eastAsia="en-US" w:bidi="ar-SA"/>
          </w:rPr>
          <w:t>, s. 172(1)</w:t>
        </w:r>
      </w:hyperlink>
      <w:hyperlink r:id="rId333" w:history="1">
        <w:r>
          <w:rPr>
            <w:rFonts w:ascii="arial" w:eastAsia="arial" w:hAnsi="arial" w:cs="arial"/>
            <w:i/>
            <w:color w:val="0077CC"/>
            <w:sz w:val="20"/>
            <w:u w:val="single"/>
            <w:shd w:val="clear" w:color="auto" w:fill="FFFFFF"/>
            <w:lang w:val="en-US" w:eastAsia="en-US" w:bidi="ar-SA"/>
          </w:rPr>
          <w:t>, s. 173</w:t>
        </w:r>
      </w:hyperlink>
      <w:hyperlink r:id="rId333" w:history="1">
        <w:r>
          <w:rPr>
            <w:rFonts w:ascii="arial" w:eastAsia="arial" w:hAnsi="arial" w:cs="arial"/>
            <w:i/>
            <w:color w:val="0077CC"/>
            <w:sz w:val="20"/>
            <w:u w:val="single"/>
            <w:shd w:val="clear" w:color="auto" w:fill="FFFFFF"/>
            <w:lang w:val="en-US" w:eastAsia="en-US" w:bidi="ar-SA"/>
          </w:rPr>
          <w:t>, s. 173(1)(a)</w:t>
        </w:r>
      </w:hyperlink>
      <w:hyperlink r:id="rId334" w:history="1">
        <w:r>
          <w:rPr>
            <w:rFonts w:ascii="arial" w:eastAsia="arial" w:hAnsi="arial" w:cs="arial"/>
            <w:i/>
            <w:color w:val="0077CC"/>
            <w:sz w:val="20"/>
            <w:u w:val="single"/>
            <w:shd w:val="clear" w:color="auto" w:fill="FFFFFF"/>
            <w:lang w:val="en-US" w:eastAsia="en-US" w:bidi="ar-SA"/>
          </w:rPr>
          <w:t>, s. 178</w:t>
        </w:r>
      </w:hyperlink>
      <w:hyperlink r:id="rId334" w:history="1">
        <w:r>
          <w:rPr>
            <w:rFonts w:ascii="arial" w:eastAsia="arial" w:hAnsi="arial" w:cs="arial"/>
            <w:i/>
            <w:color w:val="0077CC"/>
            <w:sz w:val="20"/>
            <w:u w:val="single"/>
            <w:shd w:val="clear" w:color="auto" w:fill="FFFFFF"/>
            <w:lang w:val="en-US" w:eastAsia="en-US" w:bidi="ar-SA"/>
          </w:rPr>
          <w:t>, s. 178(1)</w:t>
        </w:r>
      </w:hyperlink>
      <w:hyperlink r:id="rId334" w:history="1">
        <w:r>
          <w:rPr>
            <w:rFonts w:ascii="arial" w:eastAsia="arial" w:hAnsi="arial" w:cs="arial"/>
            <w:i/>
            <w:color w:val="0077CC"/>
            <w:sz w:val="20"/>
            <w:u w:val="single"/>
            <w:shd w:val="clear" w:color="auto" w:fill="FFFFFF"/>
            <w:lang w:val="en-US" w:eastAsia="en-US" w:bidi="ar-SA"/>
          </w:rPr>
          <w:t>, s. 178(1)(a)</w:t>
        </w:r>
      </w:hyperlink>
      <w:hyperlink r:id="rId334" w:history="1">
        <w:r>
          <w:rPr>
            <w:rFonts w:ascii="arial" w:eastAsia="arial" w:hAnsi="arial" w:cs="arial"/>
            <w:i/>
            <w:color w:val="0077CC"/>
            <w:sz w:val="20"/>
            <w:u w:val="single"/>
            <w:shd w:val="clear" w:color="auto" w:fill="FFFFFF"/>
            <w:lang w:val="en-US" w:eastAsia="en-US" w:bidi="ar-SA"/>
          </w:rPr>
          <w:t>, s. 178(1)(a.1)</w:t>
        </w:r>
      </w:hyperlink>
      <w:hyperlink r:id="rId334" w:history="1">
        <w:r>
          <w:rPr>
            <w:rFonts w:ascii="arial" w:eastAsia="arial" w:hAnsi="arial" w:cs="arial"/>
            <w:i/>
            <w:color w:val="0077CC"/>
            <w:sz w:val="20"/>
            <w:u w:val="single"/>
            <w:shd w:val="clear" w:color="auto" w:fill="FFFFFF"/>
            <w:lang w:val="en-US" w:eastAsia="en-US" w:bidi="ar-SA"/>
          </w:rPr>
          <w:t>, s. 178(2)</w:t>
        </w:r>
      </w:hyperlink>
      <w:hyperlink r:id="rId335" w:history="1">
        <w:r>
          <w:rPr>
            <w:rFonts w:ascii="arial" w:eastAsia="arial" w:hAnsi="arial" w:cs="arial"/>
            <w:i/>
            <w:color w:val="0077CC"/>
            <w:sz w:val="20"/>
            <w:u w:val="single"/>
            <w:shd w:val="clear" w:color="auto" w:fill="FFFFFF"/>
            <w:lang w:val="en-US" w:eastAsia="en-US" w:bidi="ar-SA"/>
          </w:rPr>
          <w:t>, s. 192(1)</w:t>
        </w:r>
      </w:hyperlink>
      <w:hyperlink r:id="rId335" w:history="1">
        <w:r>
          <w:rPr>
            <w:rFonts w:ascii="arial" w:eastAsia="arial" w:hAnsi="arial" w:cs="arial"/>
            <w:i/>
            <w:color w:val="0077CC"/>
            <w:sz w:val="20"/>
            <w:u w:val="single"/>
            <w:shd w:val="clear" w:color="auto" w:fill="FFFFFF"/>
            <w:lang w:val="en-US" w:eastAsia="en-US" w:bidi="ar-SA"/>
          </w:rPr>
          <w:t>, s. 192(1)(j)</w:t>
        </w:r>
      </w:hyperlink>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Insurance (Motor Vehicle) Act Revised Regulation, B.C. Reg. 447/83, s. 55(3)(a), s. 55(5)</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Motor Vehicle Act, </w:t>
      </w:r>
      <w:hyperlink r:id="rId336" w:history="1">
        <w:r>
          <w:rPr>
            <w:rFonts w:ascii="arial" w:eastAsia="arial" w:hAnsi="arial" w:cs="arial"/>
            <w:i/>
            <w:color w:val="0077CC"/>
            <w:sz w:val="20"/>
            <w:u w:val="single"/>
            <w:shd w:val="clear" w:color="auto" w:fill="FFFFFF"/>
            <w:lang w:val="en-US" w:eastAsia="en-US" w:bidi="ar-SA"/>
          </w:rPr>
          <w:t>R.S.B.C. 1996, c. 318, s. 24(1)</w:t>
        </w:r>
      </w:hyperlink>
      <w:r>
        <w:rPr>
          <w:rFonts w:ascii="arial" w:eastAsia="arial" w:hAnsi="arial" w:cs="arial"/>
          <w:sz w:val="20"/>
          <w:lang w:val="en-US" w:eastAsia="en-US" w:bidi="ar-SA"/>
        </w:rPr>
        <w:cr/>
      </w:r>
    </w:p>
    <w:p>
      <w:pPr>
        <w:keepNext/>
        <w:spacing w:before="240" w:line="340" w:lineRule="atLeast"/>
        <w:rPr>
          <w:rFonts w:ascii="arial" w:eastAsia="arial" w:hAnsi="arial" w:cs="arial"/>
          <w:sz w:val="20"/>
          <w:lang w:val="en-US" w:eastAsia="en-US" w:bidi="ar-SA"/>
        </w:rPr>
      </w:pPr>
      <w:bookmarkStart w:id="83" w:name="Counsel_11"/>
      <w:bookmarkEnd w:id="83"/>
      <w:r>
        <w:rPr>
          <w:rFonts w:ascii="arial" w:eastAsia="arial" w:hAnsi="arial" w:cs="arial"/>
          <w:b/>
          <w:color w:val="000000"/>
          <w:sz w:val="28"/>
          <w:lang w:val="en-US" w:eastAsia="en-US" w:bidi="ar-SA"/>
        </w:rPr>
        <w:t>Counsel</w:t>
      </w:r>
    </w:p>
    <w:p>
      <w:pPr>
        <w:spacing w:line="60" w:lineRule="exact"/>
        <w:rPr>
          <w:rFonts w:ascii="arial" w:eastAsia="arial" w:hAnsi="arial" w:cs="arial"/>
          <w:sz w:val="20"/>
          <w:lang w:val="en-US" w:eastAsia="en-US" w:bidi="ar-SA"/>
        </w:rPr>
      </w:pPr>
      <w:r>
        <w:pict>
          <v:line id="_x0000_s1090" style="position:absolute;z-index:251773952"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Counsel for the applicant/opposing creditor Insurance Corporation of British Columbia ("ICBC"): Daniel C. Richardson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Bankrupt appearing in person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Derek Chase, Trustee In Bankruptcy *(appeared on September 20, 2006 only)</w:t>
      </w:r>
      <w:r>
        <w:rPr>
          <w:rFonts w:ascii="arial" w:eastAsia="arial" w:hAnsi="arial" w:cs="arial"/>
          <w:sz w:val="20"/>
          <w:lang w:val="en-US" w:eastAsia="en-US" w:bidi="ar-SA"/>
        </w:rPr>
        <w:cr/>
      </w:r>
    </w:p>
    <w:p>
      <w:pPr>
        <w:spacing w:after="240"/>
        <w:rPr>
          <w:rFonts w:ascii="arial" w:eastAsia="arial" w:hAnsi="arial" w:cs="arial"/>
          <w:sz w:val="20"/>
          <w:lang w:val="en-US" w:eastAsia="en-US" w:bidi="ar-SA"/>
        </w:rPr>
      </w:pPr>
      <w:bookmarkStart w:id="84" w:name="Judgment_12"/>
      <w:bookmarkEnd w:id="84"/>
      <w:r>
        <w:pict>
          <v:line id="_x0000_s1091" style="position:absolute;z-index:251823104" from="0,12pt" to="512pt,12pt" strokecolor="#009ddb" strokeweight="1.5pt">
            <v:stroke linestyle="single"/>
          </v:line>
        </w:pict>
      </w:r>
    </w:p>
    <w:p>
      <w:pPr>
        <w:rPr>
          <w:rFonts w:ascii="arial" w:eastAsia="arial" w:hAnsi="arial" w:cs="arial"/>
          <w:sz w:val="20"/>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4687"/>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rFonts w:ascii="arial" w:eastAsia="arial" w:hAnsi="arial" w:cs="arial"/>
                <w:sz w:val="20"/>
                <w:lang w:val="en-US" w:eastAsia="en-US" w:bidi="ar-SA"/>
              </w:rPr>
            </w:pPr>
            <w:bookmarkStart w:id="85" w:name="DISTRICT REGISTRAR BOUCK"/>
            <w:bookmarkEnd w:id="85"/>
            <w:r>
              <w:rPr>
                <w:rFonts w:ascii="arial" w:eastAsia="arial" w:hAnsi="arial" w:cs="arial"/>
                <w:b/>
                <w:color w:val="000000"/>
                <w:sz w:val="30"/>
                <w:lang w:val="en-US" w:eastAsia="en-US" w:bidi="ar-SA"/>
              </w:rPr>
              <w:t>DISTRICT REGISTRAR BOUCK</w:t>
            </w:r>
          </w:p>
        </w:tc>
      </w:tr>
    </w:tbl>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sz w:val="20"/>
          <w:lang w:val="en-US" w:eastAsia="en-US" w:bidi="ar-SA"/>
        </w:rPr>
        <w:br/>
      </w:r>
      <w:r>
        <w:rPr>
          <w:rFonts w:ascii="arial" w:eastAsia="arial" w:hAnsi="arial" w:cs="arial"/>
          <w:b/>
          <w:color w:val="000000"/>
          <w:sz w:val="20"/>
          <w:lang w:val="en-US" w:eastAsia="en-US" w:bidi="ar-SA"/>
        </w:rPr>
        <w:t>INTRODUCTION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These reasons address the consequences to an individual who, after being found jointly and severally liable for a tortious act, assigns himself into bankruptcy to avoid paying the resulting judgment. It also addresses the right of an insurer to rely on public policy arguments as a means of ensuring that its debt receives priority in the bankruptcy process.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NATURE OF THE RELIEF SOUGHT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On September 20, 2006, Mr. Chaytor appeared before me seeking his discharge from bankruptcy. He also appeared on behalf of his wife, Warunee Chaytor, who was also then eligible for her discharge. The Chaytors made separate assignments on November 25, 2005, but the cause of their respective bankruptcies is the same - the inability to pay a civil judgment.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xml:space="preserve">  ICBC, the bankrupts' primary creditor, sought an adjournment of the bankrupts' applications for two reasons: first, it argued that notice of the hearing was improperly served and thus it was not prepared to address the merits of the discharge applications; and second, it intended to bring an application pursuant to s. 178(1) of the </w:t>
      </w:r>
      <w:r>
        <w:rPr>
          <w:rFonts w:ascii="arial" w:eastAsia="arial" w:hAnsi="arial" w:cs="arial"/>
          <w:i/>
          <w:color w:val="000000"/>
          <w:sz w:val="20"/>
          <w:lang w:val="en-US" w:eastAsia="en-US" w:bidi="ar-SA"/>
        </w:rPr>
        <w:t>Bankruptcy and Insolvency Act</w:t>
      </w:r>
      <w:r>
        <w:rPr>
          <w:rFonts w:ascii="arial" w:eastAsia="arial" w:hAnsi="arial" w:cs="arial"/>
          <w:color w:val="000000"/>
          <w:sz w:val="20"/>
          <w:lang w:val="en-US" w:eastAsia="en-US" w:bidi="ar-SA"/>
        </w:rPr>
        <w:t xml:space="preserve">, </w:t>
      </w:r>
      <w:hyperlink r:id="rId337" w:history="1">
        <w:r>
          <w:rPr>
            <w:rFonts w:ascii="arial" w:eastAsia="arial" w:hAnsi="arial" w:cs="arial"/>
            <w:i/>
            <w:color w:val="0077CC"/>
            <w:sz w:val="20"/>
            <w:u w:val="single"/>
            <w:shd w:val="clear" w:color="auto" w:fill="FFFFFF"/>
            <w:lang w:val="en-US" w:eastAsia="en-US" w:bidi="ar-SA"/>
          </w:rPr>
          <w:t>R.S.C. 1985, c. B-3</w:t>
        </w:r>
      </w:hyperlink>
      <w:r>
        <w:rPr>
          <w:rFonts w:ascii="arial" w:eastAsia="arial" w:hAnsi="arial" w:cs="arial"/>
          <w:color w:val="000000"/>
          <w:sz w:val="20"/>
          <w:lang w:val="en-US" w:eastAsia="en-US" w:bidi="ar-SA"/>
        </w:rPr>
        <w:t xml:space="preserve"> (the "</w:t>
      </w:r>
      <w:r>
        <w:rPr>
          <w:rFonts w:ascii="arial" w:eastAsia="arial" w:hAnsi="arial" w:cs="arial"/>
          <w:i/>
          <w:color w:val="000000"/>
          <w:sz w:val="20"/>
          <w:lang w:val="en-US" w:eastAsia="en-US" w:bidi="ar-SA"/>
        </w:rPr>
        <w:t>BIA</w:t>
      </w:r>
      <w:r>
        <w:rPr>
          <w:rFonts w:ascii="arial" w:eastAsia="arial" w:hAnsi="arial" w:cs="arial"/>
          <w:color w:val="000000"/>
          <w:sz w:val="20"/>
          <w:lang w:val="en-US" w:eastAsia="en-US" w:bidi="ar-SA"/>
        </w:rPr>
        <w:t>") for an order that its debt survives the bankrupts' discharges.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I granted the adjournment to ICBC but on conditions. The result is that the discharge applications and the application pursuant to s. 178(1) were heard simultaneously on October 24, 2006. Mr. Chase did not appear, having stated his recommendation on September 20, 2006 and in his amended s. 170 report. The recommendation is that both Chaytors be discharged without conditions. Mr. Chase takes no position with respect to the s. 178(1) application.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Although I have issued separate reasons in Ms. Chaytor's proceeding, the legal principles behind my decisions in both matters are specifically addressed here. The facts and submissions discussed in these reasons are equally applicable to the relief sought by and against Warunee Chaytor.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JURISDICTION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xml:space="preserve">  At the commencement of the October 24, 2006 hearing, I questioned whether a registrar has jurisdiction to hear the contested s. 178(1) application by virtue of s. 192(1) of the </w:t>
      </w:r>
      <w:r>
        <w:rPr>
          <w:rFonts w:ascii="arial" w:eastAsia="arial" w:hAnsi="arial" w:cs="arial"/>
          <w:i/>
          <w:color w:val="000000"/>
          <w:sz w:val="20"/>
          <w:lang w:val="en-US" w:eastAsia="en-US" w:bidi="ar-SA"/>
        </w:rPr>
        <w:t>BIA</w:t>
      </w:r>
      <w:r>
        <w:rPr>
          <w:rFonts w:ascii="arial" w:eastAsia="arial" w:hAnsi="arial" w:cs="arial"/>
          <w:color w:val="000000"/>
          <w:sz w:val="20"/>
          <w:lang w:val="en-US" w:eastAsia="en-US" w:bidi="ar-SA"/>
        </w:rPr>
        <w:t xml:space="preserve">. ICBC relies on the decision of </w:t>
      </w:r>
      <w:r>
        <w:rPr>
          <w:rFonts w:ascii="arial" w:eastAsia="arial" w:hAnsi="arial" w:cs="arial"/>
          <w:i/>
          <w:color w:val="000000"/>
          <w:sz w:val="20"/>
          <w:lang w:val="en-US" w:eastAsia="en-US" w:bidi="ar-SA"/>
        </w:rPr>
        <w:t>Sangha (Re)</w:t>
      </w:r>
      <w:r>
        <w:rPr>
          <w:rFonts w:ascii="arial" w:eastAsia="arial" w:hAnsi="arial" w:cs="arial"/>
          <w:color w:val="000000"/>
          <w:sz w:val="20"/>
          <w:lang w:val="en-US" w:eastAsia="en-US" w:bidi="ar-SA"/>
        </w:rPr>
        <w:t xml:space="preserve"> </w:t>
      </w:r>
      <w:hyperlink r:id="rId338" w:history="1">
        <w:r>
          <w:rPr>
            <w:rFonts w:ascii="arial" w:eastAsia="arial" w:hAnsi="arial" w:cs="arial"/>
            <w:i/>
            <w:color w:val="0077CC"/>
            <w:sz w:val="20"/>
            <w:u w:val="single"/>
            <w:shd w:val="clear" w:color="auto" w:fill="FFFFFF"/>
            <w:lang w:val="en-US" w:eastAsia="en-US" w:bidi="ar-SA"/>
          </w:rPr>
          <w:t>[2004] B.C.J. No. 1211</w:t>
        </w:r>
      </w:hyperlink>
      <w:r>
        <w:rPr>
          <w:rFonts w:ascii="arial" w:eastAsia="arial" w:hAnsi="arial" w:cs="arial"/>
          <w:color w:val="000000"/>
          <w:sz w:val="20"/>
          <w:lang w:val="en-US" w:eastAsia="en-US" w:bidi="ar-SA"/>
        </w:rPr>
        <w:t xml:space="preserve">, </w:t>
      </w:r>
      <w:hyperlink r:id="rId338" w:history="1">
        <w:r>
          <w:rPr>
            <w:rFonts w:ascii="arial" w:eastAsia="arial" w:hAnsi="arial" w:cs="arial"/>
            <w:i/>
            <w:color w:val="0077CC"/>
            <w:sz w:val="20"/>
            <w:u w:val="single"/>
            <w:shd w:val="clear" w:color="auto" w:fill="FFFFFF"/>
            <w:lang w:val="en-US" w:eastAsia="en-US" w:bidi="ar-SA"/>
          </w:rPr>
          <w:t>2004 BCSC 799</w:t>
        </w:r>
      </w:hyperlink>
      <w:r>
        <w:rPr>
          <w:rFonts w:ascii="arial" w:eastAsia="arial" w:hAnsi="arial" w:cs="arial"/>
          <w:color w:val="000000"/>
          <w:sz w:val="20"/>
          <w:lang w:val="en-US" w:eastAsia="en-US" w:bidi="ar-SA"/>
        </w:rPr>
        <w:t xml:space="preserve"> as authority for a registrar to hear such an application. However, I note that </w:t>
      </w:r>
      <w:r>
        <w:rPr>
          <w:rFonts w:ascii="arial" w:eastAsia="arial" w:hAnsi="arial" w:cs="arial"/>
          <w:i/>
          <w:color w:val="000000"/>
          <w:sz w:val="20"/>
          <w:lang w:val="en-US" w:eastAsia="en-US" w:bidi="ar-SA"/>
        </w:rPr>
        <w:t>Sangha (Re)</w:t>
      </w:r>
      <w:r>
        <w:rPr>
          <w:rFonts w:ascii="arial" w:eastAsia="arial" w:hAnsi="arial" w:cs="arial"/>
          <w:color w:val="000000"/>
          <w:sz w:val="20"/>
          <w:lang w:val="en-US" w:eastAsia="en-US" w:bidi="ar-SA"/>
        </w:rPr>
        <w:t xml:space="preserve"> was an unopposed matter.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xml:space="preserve">  Nonetheless, neither party objected to my proceeding with the application. Thus, the application was heard with the parties' consent: s. 192(1)(j) of the </w:t>
      </w:r>
      <w:r>
        <w:rPr>
          <w:rFonts w:ascii="arial" w:eastAsia="arial" w:hAnsi="arial" w:cs="arial"/>
          <w:i/>
          <w:color w:val="000000"/>
          <w:sz w:val="20"/>
          <w:lang w:val="en-US" w:eastAsia="en-US" w:bidi="ar-SA"/>
        </w:rPr>
        <w:t>BIA</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THE FACTS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A tragic event brings this matter before the bankruptcy court. On July 23, 1999, Warunee Chaytor, while driving her husband's 1992 Ford pickup, struck and killed Ina May Brown. At the time of the accident, Ms. Chaytor was not licensed to drive a vehicle in B.C..</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xml:space="preserve">  The accident is discussed at length in the reasons of Shabbits J. in </w:t>
      </w:r>
      <w:r>
        <w:rPr>
          <w:rFonts w:ascii="arial" w:eastAsia="arial" w:hAnsi="arial" w:cs="arial"/>
          <w:i/>
          <w:color w:val="000000"/>
          <w:sz w:val="20"/>
          <w:lang w:val="en-US" w:eastAsia="en-US" w:bidi="ar-SA"/>
        </w:rPr>
        <w:t>ICBC v. Chaytor</w:t>
      </w:r>
      <w:r>
        <w:rPr>
          <w:rFonts w:ascii="arial" w:eastAsia="arial" w:hAnsi="arial" w:cs="arial"/>
          <w:color w:val="000000"/>
          <w:sz w:val="20"/>
          <w:lang w:val="en-US" w:eastAsia="en-US" w:bidi="ar-SA"/>
        </w:rPr>
        <w:t xml:space="preserve"> </w:t>
      </w:r>
      <w:hyperlink r:id="rId339" w:history="1">
        <w:r>
          <w:rPr>
            <w:rFonts w:ascii="arial" w:eastAsia="arial" w:hAnsi="arial" w:cs="arial"/>
            <w:i/>
            <w:color w:val="0077CC"/>
            <w:sz w:val="20"/>
            <w:u w:val="single"/>
            <w:shd w:val="clear" w:color="auto" w:fill="FFFFFF"/>
            <w:lang w:val="en-US" w:eastAsia="en-US" w:bidi="ar-SA"/>
          </w:rPr>
          <w:t>[2005] B.C.J. No. 2417</w:t>
        </w:r>
      </w:hyperlink>
      <w:r>
        <w:rPr>
          <w:rFonts w:ascii="arial" w:eastAsia="arial" w:hAnsi="arial" w:cs="arial"/>
          <w:color w:val="000000"/>
          <w:sz w:val="20"/>
          <w:lang w:val="en-US" w:eastAsia="en-US" w:bidi="ar-SA"/>
        </w:rPr>
        <w:t xml:space="preserve">, </w:t>
      </w:r>
      <w:hyperlink r:id="rId339" w:history="1">
        <w:r>
          <w:rPr>
            <w:rFonts w:ascii="arial" w:eastAsia="arial" w:hAnsi="arial" w:cs="arial"/>
            <w:i/>
            <w:color w:val="0077CC"/>
            <w:sz w:val="20"/>
            <w:u w:val="single"/>
            <w:shd w:val="clear" w:color="auto" w:fill="FFFFFF"/>
            <w:lang w:val="en-US" w:eastAsia="en-US" w:bidi="ar-SA"/>
          </w:rPr>
          <w:t>2005 BCSC 1543</w:t>
        </w:r>
      </w:hyperlink>
      <w:r>
        <w:rPr>
          <w:rFonts w:ascii="arial" w:eastAsia="arial" w:hAnsi="arial" w:cs="arial"/>
          <w:color w:val="000000"/>
          <w:sz w:val="20"/>
          <w:lang w:val="en-US" w:eastAsia="en-US" w:bidi="ar-SA"/>
        </w:rPr>
        <w:t>. The reasons address the Chaytors' liability to reimburse ICBC for monies it had paid to Ms. Brown's husband. In doing so, the court was required to determine both responsibility for the accident and whether Mr. Chaytor consented to his wife's use of the truck that day.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At para. 28, Shabbits J. found that Ms. Chaytor operated the pickup truck negligently and that her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was a cause of the collision that resulted in Ms. Brown's death". He did not find any contributory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on the part of the deceased.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xml:space="preserve">  The court ruled that Mr. Chaytor forfeited his right to indemnity under his insurance policy with ICBC because of breaches under sections 55(3)(a) and 55(5) of the Revised Regulation (1984) under the </w:t>
      </w:r>
      <w:r>
        <w:rPr>
          <w:rFonts w:ascii="arial" w:eastAsia="arial" w:hAnsi="arial" w:cs="arial"/>
          <w:i/>
          <w:color w:val="000000"/>
          <w:sz w:val="20"/>
          <w:lang w:val="en-US" w:eastAsia="en-US" w:bidi="ar-SA"/>
        </w:rPr>
        <w:t>Insurance (Motor Vehicle) Act</w:t>
      </w:r>
      <w:r>
        <w:rPr>
          <w:rFonts w:ascii="arial" w:eastAsia="arial" w:hAnsi="arial" w:cs="arial"/>
          <w:color w:val="000000"/>
          <w:sz w:val="20"/>
          <w:lang w:val="en-US" w:eastAsia="en-US" w:bidi="ar-SA"/>
        </w:rPr>
        <w:t>, B.C. Reg. 447/83, as amended. Specifically, Mr. Chaytor forfeited his right to indemnity by giving his implied consent for Ms. Chaytor to use his vehicle: para. 62.</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xml:space="preserve">  Ms. Chaytor was issued a Violation Ticket at the accident scene. She was charged with the offence of driving without a license contrary to s. 24(1) of the </w:t>
      </w:r>
      <w:r>
        <w:rPr>
          <w:rFonts w:ascii="arial" w:eastAsia="arial" w:hAnsi="arial" w:cs="arial"/>
          <w:i/>
          <w:color w:val="000000"/>
          <w:sz w:val="20"/>
          <w:lang w:val="en-US" w:eastAsia="en-US" w:bidi="ar-SA"/>
        </w:rPr>
        <w:t>Motor Vehicle Act</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R.S.B.C. 1996, c. 318</w:t>
      </w:r>
      <w:r>
        <w:rPr>
          <w:rFonts w:ascii="arial" w:eastAsia="arial" w:hAnsi="arial" w:cs="arial"/>
          <w:color w:val="000000"/>
          <w:sz w:val="20"/>
          <w:lang w:val="en-US" w:eastAsia="en-US" w:bidi="ar-SA"/>
        </w:rPr>
        <w:t>. Ms. Chaytor paid a fine for this offence. According to ICBC's internal records, Ms. Chaytor is "Guilty by Payment". Neither of the Chaytors dispute paying the fine or the fact that Ms. Chaytor was driving the truck without a valid B.C. driver's licence.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The court's reasons for judgment were issued on November 7, 2005. The Chaytors were ordered to pay ICBC the sum of $205,597.56 together with costs to be taxed on the Scale 3 basis (the "Judgment"). There is no evidence that the costs have been assessed or agreed to. No payment has been made by the Chaytors towards the Judgment.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On November 25, 2005, the Chaytors made assignments into bankruptcy.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w:t>
      </w:r>
      <w:r>
        <w:rPr>
          <w:rFonts w:ascii="arial" w:eastAsia="arial" w:hAnsi="arial" w:cs="arial"/>
          <w:color w:val="000000"/>
          <w:sz w:val="20"/>
          <w:lang w:val="en-US" w:eastAsia="en-US" w:bidi="ar-SA"/>
        </w:rPr>
        <w:t>  The order of Shabbits J. was entered on December 9, 2005.</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w:t>
      </w:r>
      <w:r>
        <w:rPr>
          <w:rFonts w:ascii="arial" w:eastAsia="arial" w:hAnsi="arial" w:cs="arial"/>
          <w:color w:val="000000"/>
          <w:sz w:val="20"/>
          <w:lang w:val="en-US" w:eastAsia="en-US" w:bidi="ar-SA"/>
        </w:rPr>
        <w:t>  In his Statement of Affairs, Mr. Chaytor declares assets of just over $11,000. The Chaytors do not own their home.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w:t>
      </w:r>
      <w:r>
        <w:rPr>
          <w:rFonts w:ascii="arial" w:eastAsia="arial" w:hAnsi="arial" w:cs="arial"/>
          <w:color w:val="000000"/>
          <w:sz w:val="20"/>
          <w:lang w:val="en-US" w:eastAsia="en-US" w:bidi="ar-SA"/>
        </w:rPr>
        <w:t>  ICBC is Mr. Chaytor's primary, though not sole, creditor. A self-employed repairer of boats, Mr. Chaytor's monthly income at the time of the assignment was $1,500. He is now 54 years of age.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w:t>
      </w:r>
      <w:r>
        <w:rPr>
          <w:rFonts w:ascii="arial" w:eastAsia="arial" w:hAnsi="arial" w:cs="arial"/>
          <w:color w:val="000000"/>
          <w:sz w:val="20"/>
          <w:lang w:val="en-US" w:eastAsia="en-US" w:bidi="ar-SA"/>
        </w:rPr>
        <w:t>  Ms. Chaytor is 41 years old. She earns a small income as a salal picker. Her total monthly income is declared at $537, of which $247 represents the child tax benefit. The Chaytors are the parents of an 11 year old daughter.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w:t>
      </w:r>
      <w:r>
        <w:rPr>
          <w:rFonts w:ascii="arial" w:eastAsia="arial" w:hAnsi="arial" w:cs="arial"/>
          <w:color w:val="000000"/>
          <w:sz w:val="20"/>
          <w:lang w:val="en-US" w:eastAsia="en-US" w:bidi="ar-SA"/>
        </w:rPr>
        <w:t>  Both of the Chaytors require the use of a motor vehicle to earn a living. They continue to reside in the rural area where the motor vehicle accident occurred. Mr. Chaytor must travel to wherever the boat requiring repair is situated. Ms. Chaytor must be driven to certain forested locations to pick salal.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w:t>
      </w:r>
      <w:r>
        <w:rPr>
          <w:rFonts w:ascii="arial" w:eastAsia="arial" w:hAnsi="arial" w:cs="arial"/>
          <w:color w:val="000000"/>
          <w:sz w:val="20"/>
          <w:lang w:val="en-US" w:eastAsia="en-US" w:bidi="ar-SA"/>
        </w:rPr>
        <w:t xml:space="preserve">  During the bankruptcy term, the Chaytors together were able to earn an average of $2,000 to $2,400 per month from their respective employments. No payments were made to the trustee for surplus income as the Chaytors' income fell below the </w:t>
      </w:r>
      <w:r>
        <w:rPr>
          <w:rFonts w:ascii="arial" w:eastAsia="arial" w:hAnsi="arial" w:cs="arial"/>
          <w:i/>
          <w:color w:val="000000"/>
          <w:sz w:val="20"/>
          <w:lang w:val="en-US" w:eastAsia="en-US" w:bidi="ar-SA"/>
        </w:rPr>
        <w:t>Superintendent's Guidelines</w:t>
      </w:r>
      <w:r>
        <w:rPr>
          <w:rFonts w:ascii="arial" w:eastAsia="arial" w:hAnsi="arial" w:cs="arial"/>
          <w:color w:val="000000"/>
          <w:sz w:val="20"/>
          <w:lang w:val="en-US" w:eastAsia="en-US" w:bidi="ar-SA"/>
        </w:rPr>
        <w:t xml:space="preserve"> (Directive 11R).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w:t>
      </w:r>
      <w:r>
        <w:rPr>
          <w:rFonts w:ascii="arial" w:eastAsia="arial" w:hAnsi="arial" w:cs="arial"/>
          <w:color w:val="000000"/>
          <w:sz w:val="20"/>
          <w:lang w:val="en-US" w:eastAsia="en-US" w:bidi="ar-SA"/>
        </w:rPr>
        <w:t>  The Chaytors' ability to earn income has now been frustrated by the refusal of the Superintendent of Motor Vehicles (the "Superintendent") to renew Mr. Chaytor's driver's license. That refusal was made known to Mr. Chaytor when he attended the motor vehicle licensing branch in mid-October of this year. Mr. Chaytor was advised that his license had been "cancelled".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w:t>
      </w:r>
      <w:r>
        <w:rPr>
          <w:rFonts w:ascii="arial" w:eastAsia="arial" w:hAnsi="arial" w:cs="arial"/>
          <w:color w:val="000000"/>
          <w:sz w:val="20"/>
          <w:lang w:val="en-US" w:eastAsia="en-US" w:bidi="ar-SA"/>
        </w:rPr>
        <w:t>  Mr. Chaytor complained to ICBC. Following an internal review of the Chaytors' circumstances, ICBC rejected the suggestion that the bankrupts were being treated unfairly. The Chaytors were invited to make submissions to the ICBC Fairness Commissioner and encouraged to seek legal advice. Mr. Chaytor obtained some general advice from the Legal Services Society but is unable to retain a lawyer privately. There is no evidence as to when or under what circumstances the driver's license will be reinstated.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w:t>
      </w:r>
      <w:r>
        <w:rPr>
          <w:rFonts w:ascii="arial" w:eastAsia="arial" w:hAnsi="arial" w:cs="arial"/>
          <w:color w:val="000000"/>
          <w:sz w:val="20"/>
          <w:lang w:val="en-US" w:eastAsia="en-US" w:bidi="ar-SA"/>
        </w:rPr>
        <w:t>  The bankrupt says that he has no additional skills and will be forced to leave the country for employment opportunities unless his license is reinstated.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w:t>
      </w:r>
      <w:r>
        <w:rPr>
          <w:rFonts w:ascii="arial" w:eastAsia="arial" w:hAnsi="arial" w:cs="arial"/>
          <w:color w:val="000000"/>
          <w:sz w:val="20"/>
          <w:lang w:val="en-US" w:eastAsia="en-US" w:bidi="ar-SA"/>
        </w:rPr>
        <w:t>  Mr. Chaytor has performed all of the duties required of a bankrupt.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DOES ICBC'S JUDGMENT SURVIVE AN ORDER OF DISCHARGE?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w:t>
      </w:r>
      <w:r>
        <w:rPr>
          <w:rFonts w:ascii="arial" w:eastAsia="arial" w:hAnsi="arial" w:cs="arial"/>
          <w:color w:val="000000"/>
          <w:sz w:val="20"/>
          <w:lang w:val="en-US" w:eastAsia="en-US" w:bidi="ar-SA"/>
        </w:rPr>
        <w:t xml:space="preserve">  Under section 178(2) of the </w:t>
      </w:r>
      <w:r>
        <w:rPr>
          <w:rFonts w:ascii="arial" w:eastAsia="arial" w:hAnsi="arial" w:cs="arial"/>
          <w:i/>
          <w:color w:val="000000"/>
          <w:sz w:val="20"/>
          <w:lang w:val="en-US" w:eastAsia="en-US" w:bidi="ar-SA"/>
        </w:rPr>
        <w:t>BIA</w:t>
      </w:r>
      <w:r>
        <w:rPr>
          <w:rFonts w:ascii="arial" w:eastAsia="arial" w:hAnsi="arial" w:cs="arial"/>
          <w:color w:val="000000"/>
          <w:sz w:val="20"/>
          <w:lang w:val="en-US" w:eastAsia="en-US" w:bidi="ar-SA"/>
        </w:rPr>
        <w:t>, an order of discharge releases the bankrupt from all claims provable in bankruptcy except those listed in section 178(1). The exceptions listed are: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r>
        <w:rPr>
          <w:rFonts w:ascii="arial" w:eastAsia="arial" w:hAnsi="arial" w:cs="arial"/>
          <w:i/>
          <w:color w:val="000000"/>
          <w:sz w:val="20"/>
          <w:lang w:val="en-US" w:eastAsia="en-US" w:bidi="ar-SA"/>
        </w:rPr>
        <w:t>a</w:t>
      </w:r>
      <w:r>
        <w:rPr>
          <w:rFonts w:ascii="arial" w:eastAsia="arial" w:hAnsi="arial" w:cs="arial"/>
          <w:color w:val="000000"/>
          <w:sz w:val="20"/>
          <w:lang w:val="en-US" w:eastAsia="en-US" w:bidi="ar-SA"/>
        </w:rPr>
        <w:t>) any fine, penalty, restitution order or other order similar in nature to a fine, penalty or restitution order, imposed by a court in respect of an offence, or any debt arising out of a recognizance or bail;</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r>
        <w:rPr>
          <w:rFonts w:ascii="arial" w:eastAsia="arial" w:hAnsi="arial" w:cs="arial"/>
          <w:i/>
          <w:color w:val="000000"/>
          <w:sz w:val="20"/>
          <w:lang w:val="en-US" w:eastAsia="en-US" w:bidi="ar-SA"/>
        </w:rPr>
        <w:t>a</w:t>
      </w:r>
      <w:r>
        <w:rPr>
          <w:rFonts w:ascii="arial" w:eastAsia="arial" w:hAnsi="arial" w:cs="arial"/>
          <w:color w:val="000000"/>
          <w:sz w:val="20"/>
          <w:lang w:val="en-US" w:eastAsia="en-US" w:bidi="ar-SA"/>
        </w:rPr>
        <w:t>.1) any award of damages by a court in civil proceedings in respect of</w:t>
      </w:r>
    </w:p>
    <w:p>
      <w:pPr>
        <w:numPr>
          <w:numId w:val="8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bodily harm intentionally inflicted, or sexual assault, or</w:t>
      </w:r>
    </w:p>
    <w:p>
      <w:pPr>
        <w:numPr>
          <w:numId w:val="2"/>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wrongful death resulting therefrom;</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r>
        <w:rPr>
          <w:rFonts w:ascii="arial" w:eastAsia="arial" w:hAnsi="arial" w:cs="arial"/>
          <w:i/>
          <w:color w:val="000000"/>
          <w:sz w:val="20"/>
          <w:lang w:val="en-US" w:eastAsia="en-US" w:bidi="ar-SA"/>
        </w:rPr>
        <w:t>b</w:t>
      </w:r>
      <w:r>
        <w:rPr>
          <w:rFonts w:ascii="arial" w:eastAsia="arial" w:hAnsi="arial" w:cs="arial"/>
          <w:color w:val="000000"/>
          <w:sz w:val="20"/>
          <w:lang w:val="en-US" w:eastAsia="en-US" w:bidi="ar-SA"/>
        </w:rPr>
        <w:t>) any debt or liability for alimony or alimentary pension;</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r>
        <w:rPr>
          <w:rFonts w:ascii="arial" w:eastAsia="arial" w:hAnsi="arial" w:cs="arial"/>
          <w:i/>
          <w:color w:val="000000"/>
          <w:sz w:val="20"/>
          <w:lang w:val="en-US" w:eastAsia="en-US" w:bidi="ar-SA"/>
        </w:rPr>
        <w:t>c</w:t>
      </w:r>
      <w:r>
        <w:rPr>
          <w:rFonts w:ascii="arial" w:eastAsia="arial" w:hAnsi="arial" w:cs="arial"/>
          <w:color w:val="000000"/>
          <w:sz w:val="20"/>
          <w:lang w:val="en-US" w:eastAsia="en-US" w:bidi="ar-SA"/>
        </w:rPr>
        <w:t>) any debt or liability arising under a judicial decision establishing affiliation or respecting support or maintenance, or under an agreement for maintenance and support of a spouse, former spouse, former common-law partner or child living apart from the bankrupt;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r>
        <w:rPr>
          <w:rFonts w:ascii="arial" w:eastAsia="arial" w:hAnsi="arial" w:cs="arial"/>
          <w:i/>
          <w:color w:val="000000"/>
          <w:sz w:val="20"/>
          <w:lang w:val="en-US" w:eastAsia="en-US" w:bidi="ar-SA"/>
        </w:rPr>
        <w:t>d</w:t>
      </w:r>
      <w:r>
        <w:rPr>
          <w:rFonts w:ascii="arial" w:eastAsia="arial" w:hAnsi="arial" w:cs="arial"/>
          <w:color w:val="000000"/>
          <w:sz w:val="20"/>
          <w:lang w:val="en-US" w:eastAsia="en-US" w:bidi="ar-SA"/>
        </w:rPr>
        <w:t>) any debt or liability arising out of fraud, embezzlement, misappropriation or defalcation while acting in a fiduciary capacity or, in the Province of Quebec, as a trustee or administrator of the property of others;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r>
        <w:rPr>
          <w:rFonts w:ascii="arial" w:eastAsia="arial" w:hAnsi="arial" w:cs="arial"/>
          <w:i/>
          <w:color w:val="000000"/>
          <w:sz w:val="20"/>
          <w:lang w:val="en-US" w:eastAsia="en-US" w:bidi="ar-SA"/>
        </w:rPr>
        <w:t>e</w:t>
      </w:r>
      <w:r>
        <w:rPr>
          <w:rFonts w:ascii="arial" w:eastAsia="arial" w:hAnsi="arial" w:cs="arial"/>
          <w:color w:val="000000"/>
          <w:sz w:val="20"/>
          <w:lang w:val="en-US" w:eastAsia="en-US" w:bidi="ar-SA"/>
        </w:rPr>
        <w:t>) any debt or liability for obtaining property by false pretences or fraudulent misrepresentation;</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r>
        <w:rPr>
          <w:rFonts w:ascii="arial" w:eastAsia="arial" w:hAnsi="arial" w:cs="arial"/>
          <w:i/>
          <w:color w:val="000000"/>
          <w:sz w:val="20"/>
          <w:lang w:val="en-US" w:eastAsia="en-US" w:bidi="ar-SA"/>
        </w:rPr>
        <w:t>f</w:t>
      </w:r>
      <w:r>
        <w:rPr>
          <w:rFonts w:ascii="arial" w:eastAsia="arial" w:hAnsi="arial" w:cs="arial"/>
          <w:color w:val="000000"/>
          <w:sz w:val="20"/>
          <w:lang w:val="en-US" w:eastAsia="en-US" w:bidi="ar-SA"/>
        </w:rPr>
        <w:t>) liability for the dividend that a creditor would have been entitled to receive on any provable claim not disclosed to the trustee, unless the creditor had notice or knowledge of the bankruptcy and failed to take reasonable action to prove his claim;</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r>
        <w:rPr>
          <w:rFonts w:ascii="arial" w:eastAsia="arial" w:hAnsi="arial" w:cs="arial"/>
          <w:i/>
          <w:color w:val="000000"/>
          <w:sz w:val="20"/>
          <w:lang w:val="en-US" w:eastAsia="en-US" w:bidi="ar-SA"/>
        </w:rPr>
        <w:t>g</w:t>
      </w:r>
      <w:r>
        <w:rPr>
          <w:rFonts w:ascii="arial" w:eastAsia="arial" w:hAnsi="arial" w:cs="arial"/>
          <w:color w:val="000000"/>
          <w:sz w:val="20"/>
          <w:lang w:val="en-US" w:eastAsia="en-US" w:bidi="ar-SA"/>
        </w:rPr>
        <w:t xml:space="preserve">) any debt or obligation in respect of a loan made under the </w:t>
      </w:r>
      <w:r>
        <w:rPr>
          <w:rFonts w:ascii="arial" w:eastAsia="arial" w:hAnsi="arial" w:cs="arial"/>
          <w:i/>
          <w:color w:val="000000"/>
          <w:sz w:val="20"/>
          <w:lang w:val="en-US" w:eastAsia="en-US" w:bidi="ar-SA"/>
        </w:rPr>
        <w:t>Canada Student Loans Act</w:t>
      </w:r>
      <w:r>
        <w:rPr>
          <w:rFonts w:ascii="arial" w:eastAsia="arial" w:hAnsi="arial" w:cs="arial"/>
          <w:color w:val="000000"/>
          <w:sz w:val="20"/>
          <w:lang w:val="en-US" w:eastAsia="en-US" w:bidi="ar-SA"/>
        </w:rPr>
        <w:t xml:space="preserve">, the </w:t>
      </w:r>
      <w:r>
        <w:rPr>
          <w:rFonts w:ascii="arial" w:eastAsia="arial" w:hAnsi="arial" w:cs="arial"/>
          <w:i/>
          <w:color w:val="000000"/>
          <w:sz w:val="20"/>
          <w:lang w:val="en-US" w:eastAsia="en-US" w:bidi="ar-SA"/>
        </w:rPr>
        <w:t>Canada Student Financial Assistance Act</w:t>
      </w:r>
      <w:r>
        <w:rPr>
          <w:rFonts w:ascii="arial" w:eastAsia="arial" w:hAnsi="arial" w:cs="arial"/>
          <w:color w:val="000000"/>
          <w:sz w:val="20"/>
          <w:lang w:val="en-US" w:eastAsia="en-US" w:bidi="ar-SA"/>
        </w:rPr>
        <w:t xml:space="preserve"> or any enactment of a province that provides for loans or guarantees of loans to students where the date of bankruptcy of the bankrupt occurred</w:t>
      </w:r>
    </w:p>
    <w:p>
      <w:pPr>
        <w:numPr>
          <w:numId w:val="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before the date on which the bankrupt ceased to be a full- or part-time student, as the case may be, under the applicable Act or enactment, or</w:t>
      </w:r>
    </w:p>
    <w:p>
      <w:pPr>
        <w:numPr>
          <w:numId w:val="4"/>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within ten years after the date on which the bankrupt ceased to be a full- or part-time student; or</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r>
        <w:rPr>
          <w:rFonts w:ascii="arial" w:eastAsia="arial" w:hAnsi="arial" w:cs="arial"/>
          <w:i/>
          <w:color w:val="000000"/>
          <w:sz w:val="20"/>
          <w:lang w:val="en-US" w:eastAsia="en-US" w:bidi="ar-SA"/>
        </w:rPr>
        <w:t>h</w:t>
      </w:r>
      <w:r>
        <w:rPr>
          <w:rFonts w:ascii="arial" w:eastAsia="arial" w:hAnsi="arial" w:cs="arial"/>
          <w:color w:val="000000"/>
          <w:sz w:val="20"/>
          <w:lang w:val="en-US" w:eastAsia="en-US" w:bidi="ar-SA"/>
        </w:rPr>
        <w:t>) any debt for interest owed in relation to an amount referred to in any of paragraphs (</w:t>
      </w:r>
      <w:r>
        <w:rPr>
          <w:rFonts w:ascii="arial" w:eastAsia="arial" w:hAnsi="arial" w:cs="arial"/>
          <w:i/>
          <w:color w:val="000000"/>
          <w:sz w:val="20"/>
          <w:lang w:val="en-US" w:eastAsia="en-US" w:bidi="ar-SA"/>
        </w:rPr>
        <w:t>a</w:t>
      </w:r>
      <w:r>
        <w:rPr>
          <w:rFonts w:ascii="arial" w:eastAsia="arial" w:hAnsi="arial" w:cs="arial"/>
          <w:color w:val="000000"/>
          <w:sz w:val="20"/>
          <w:lang w:val="en-US" w:eastAsia="en-US" w:bidi="ar-SA"/>
        </w:rPr>
        <w:t>) to (</w:t>
      </w:r>
      <w:r>
        <w:rPr>
          <w:rFonts w:ascii="arial" w:eastAsia="arial" w:hAnsi="arial" w:cs="arial"/>
          <w:i/>
          <w:color w:val="000000"/>
          <w:sz w:val="20"/>
          <w:lang w:val="en-US" w:eastAsia="en-US" w:bidi="ar-SA"/>
        </w:rPr>
        <w:t>g</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w:t>
      </w:r>
      <w:r>
        <w:rPr>
          <w:rFonts w:ascii="arial" w:eastAsia="arial" w:hAnsi="arial" w:cs="arial"/>
          <w:color w:val="000000"/>
          <w:sz w:val="20"/>
          <w:lang w:val="en-US" w:eastAsia="en-US" w:bidi="ar-SA"/>
        </w:rPr>
        <w:t xml:space="preserve">  ICBC submits that its Judgment fits within section 178(1) (a) as an "order similar in nature to a penalty" as determined in </w:t>
      </w:r>
      <w:r>
        <w:rPr>
          <w:rFonts w:ascii="arial" w:eastAsia="arial" w:hAnsi="arial" w:cs="arial"/>
          <w:i/>
          <w:color w:val="000000"/>
          <w:sz w:val="20"/>
          <w:lang w:val="en-US" w:eastAsia="en-US" w:bidi="ar-SA"/>
        </w:rPr>
        <w:t>Sangha (Re),</w:t>
      </w:r>
      <w:r>
        <w:rPr>
          <w:rFonts w:ascii="arial" w:eastAsia="arial" w:hAnsi="arial" w:cs="arial"/>
          <w:color w:val="000000"/>
          <w:sz w:val="20"/>
          <w:lang w:val="en-US" w:eastAsia="en-US" w:bidi="ar-SA"/>
        </w:rPr>
        <w:t xml:space="preserve"> supra.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w:t>
      </w:r>
      <w:r>
        <w:rPr>
          <w:rFonts w:ascii="arial" w:eastAsia="arial" w:hAnsi="arial" w:cs="arial"/>
          <w:color w:val="000000"/>
          <w:sz w:val="20"/>
          <w:lang w:val="en-US" w:eastAsia="en-US" w:bidi="ar-SA"/>
        </w:rPr>
        <w:t>  </w:t>
      </w:r>
      <w:r>
        <w:rPr>
          <w:rFonts w:ascii="arial" w:eastAsia="arial" w:hAnsi="arial" w:cs="arial"/>
          <w:i/>
          <w:color w:val="000000"/>
          <w:sz w:val="20"/>
          <w:lang w:val="en-US" w:eastAsia="en-US" w:bidi="ar-SA"/>
        </w:rPr>
        <w:t>Sangha (Re</w:t>
      </w:r>
      <w:r>
        <w:rPr>
          <w:rFonts w:ascii="arial" w:eastAsia="arial" w:hAnsi="arial" w:cs="arial"/>
          <w:b/>
          <w:i/>
          <w:color w:val="000000"/>
          <w:sz w:val="20"/>
          <w:lang w:val="en-US" w:eastAsia="en-US" w:bidi="ar-SA"/>
        </w:rPr>
        <w:t>)</w:t>
      </w:r>
      <w:r>
        <w:rPr>
          <w:rFonts w:ascii="arial" w:eastAsia="arial" w:hAnsi="arial" w:cs="arial"/>
          <w:color w:val="000000"/>
          <w:sz w:val="20"/>
          <w:lang w:val="en-US" w:eastAsia="en-US" w:bidi="ar-SA"/>
        </w:rPr>
        <w:t xml:space="preserve"> also concerns a terribly tragic set of facts. Mr. Sangha was found to have intentionally run down his daughter and her boyfriend, injuring both. He pled guilty to aggravated assault. He was found liable to ICBC for the monies it paid out to the victims as compensation for their injuries.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w:t>
      </w:r>
      <w:r>
        <w:rPr>
          <w:rFonts w:ascii="arial" w:eastAsia="arial" w:hAnsi="arial" w:cs="arial"/>
          <w:color w:val="000000"/>
          <w:sz w:val="20"/>
          <w:lang w:val="en-US" w:eastAsia="en-US" w:bidi="ar-SA"/>
        </w:rPr>
        <w:t>  As with this case, ICBC sought a declaration that its judgment survived Mr. Sangha's discharge from bankruptcy. The presiding registrar in bankruptcy (who happened to be a Master of the court) was not considering Mr. Sangha's discharge contemporaneously.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w:t>
      </w:r>
      <w:r>
        <w:rPr>
          <w:rFonts w:ascii="arial" w:eastAsia="arial" w:hAnsi="arial" w:cs="arial"/>
          <w:color w:val="000000"/>
          <w:sz w:val="20"/>
          <w:lang w:val="en-US" w:eastAsia="en-US" w:bidi="ar-SA"/>
        </w:rPr>
        <w:t xml:space="preserve">  The registrar determined that ICBC's judgment fell within the definitions of both sections 178(1)(a) and (a. 1) of the </w:t>
      </w:r>
      <w:r>
        <w:rPr>
          <w:rFonts w:ascii="arial" w:eastAsia="arial" w:hAnsi="arial" w:cs="arial"/>
          <w:i/>
          <w:color w:val="000000"/>
          <w:sz w:val="20"/>
          <w:lang w:val="en-US" w:eastAsia="en-US" w:bidi="ar-SA"/>
        </w:rPr>
        <w:t>BIA</w:t>
      </w:r>
      <w:r>
        <w:rPr>
          <w:rFonts w:ascii="arial" w:eastAsia="arial" w:hAnsi="arial" w:cs="arial"/>
          <w:color w:val="000000"/>
          <w:sz w:val="20"/>
          <w:lang w:val="en-US" w:eastAsia="en-US" w:bidi="ar-SA"/>
        </w:rPr>
        <w:t>. Section 178(1)(a. 1) applied in that case as Mr. Sangha was found to have intentionally inflicted the bodily harm.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w:t>
      </w:r>
      <w:r>
        <w:rPr>
          <w:rFonts w:ascii="arial" w:eastAsia="arial" w:hAnsi="arial" w:cs="arial"/>
          <w:color w:val="000000"/>
          <w:sz w:val="20"/>
          <w:lang w:val="en-US" w:eastAsia="en-US" w:bidi="ar-SA"/>
        </w:rPr>
        <w:t>  The registrar found that the civil judgment against the bankrupt resulted from an order "similar in nature to that of a penalty" as contemplated in s. 178(1)(a). The reasons given are as follows: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 am convinced that the order sought by I.C.B.C. is supported by s. 178(1)(a) of the Bankruptcy and Insolvency Act. In order to be so convinced, I have to be satisfied that the order of Madam Justice Koenigsberg was a "... fine, penalty, [or] restitution order ... imposed by the court in respect of an offence ...". In my view, the order of Madam Justice Koenigsberg in favour of I.C.B.C. is an order in nature of a penalty. The bankrupt breached a condition of his insurance by engaging in an intentional act of violence that caused injury. If not for this intentional act, the bankrupt would not have been breached, and would not have been forced to pay back the amount paid out by I.C.B.C. on his behalf. In this sense, I.C.B.C.'s order against the bankrupt is an order similar in nature to that of a penalty. (para. 24)</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w:t>
      </w:r>
      <w:r>
        <w:rPr>
          <w:rFonts w:ascii="arial" w:eastAsia="arial" w:hAnsi="arial" w:cs="arial"/>
          <w:color w:val="000000"/>
          <w:sz w:val="20"/>
          <w:lang w:val="en-US" w:eastAsia="en-US" w:bidi="ar-SA"/>
        </w:rPr>
        <w:t>  The registrar went on to find that that the ICBC judgment was "directly dependant upon" a criminal sanction (i.e. the aggravated assault conviction). But for the offence leading to the sanction, ICBC could not have recovered judgment. Thus, the order granting the judgment was imposed in respect of an offence and fell within s. 178(1)(a).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w:t>
      </w:r>
      <w:r>
        <w:rPr>
          <w:rFonts w:ascii="arial" w:eastAsia="arial" w:hAnsi="arial" w:cs="arial"/>
          <w:color w:val="000000"/>
          <w:sz w:val="20"/>
          <w:lang w:val="en-US" w:eastAsia="en-US" w:bidi="ar-SA"/>
        </w:rPr>
        <w:t>  ICBC submits that the decision is on "all fours" with this case in the application of section 178(1)(a). It submits that the Judgment is in the nature of a "fine, penalty, or restitution order" as it is the result of Mr. Chaytor's breach of his insurance policy. Had it not been for this breach, Mr. Chaytor would not have been found liable to ICBC. Furthermore, the Judgment is the result of Ms. Chaytor's offence of driving without a valid license.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w:t>
      </w:r>
      <w:r>
        <w:rPr>
          <w:rFonts w:ascii="arial" w:eastAsia="arial" w:hAnsi="arial" w:cs="arial"/>
          <w:color w:val="000000"/>
          <w:sz w:val="20"/>
          <w:lang w:val="en-US" w:eastAsia="en-US" w:bidi="ar-SA"/>
        </w:rPr>
        <w:t xml:space="preserve">  After consideration of the learned registrar's reasons as well as other authorities decided before and since </w:t>
      </w:r>
      <w:r>
        <w:rPr>
          <w:rFonts w:ascii="arial" w:eastAsia="arial" w:hAnsi="arial" w:cs="arial"/>
          <w:i/>
          <w:color w:val="000000"/>
          <w:sz w:val="20"/>
          <w:lang w:val="en-US" w:eastAsia="en-US" w:bidi="ar-SA"/>
        </w:rPr>
        <w:t>Sangha (Re)</w:t>
      </w:r>
      <w:r>
        <w:rPr>
          <w:rFonts w:ascii="arial" w:eastAsia="arial" w:hAnsi="arial" w:cs="arial"/>
          <w:color w:val="000000"/>
          <w:sz w:val="20"/>
          <w:lang w:val="en-US" w:eastAsia="en-US" w:bidi="ar-SA"/>
        </w:rPr>
        <w:t>, I decline to follow the decision.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34</w:t>
      </w:r>
      <w:r>
        <w:rPr>
          <w:rFonts w:ascii="arial" w:eastAsia="arial" w:hAnsi="arial" w:cs="arial"/>
          <w:color w:val="000000"/>
          <w:sz w:val="20"/>
          <w:lang w:val="en-US" w:eastAsia="en-US" w:bidi="ar-SA"/>
        </w:rPr>
        <w:t xml:space="preserve">  First, I find that the facts in </w:t>
      </w:r>
      <w:r>
        <w:rPr>
          <w:rFonts w:ascii="arial" w:eastAsia="arial" w:hAnsi="arial" w:cs="arial"/>
          <w:i/>
          <w:color w:val="000000"/>
          <w:sz w:val="20"/>
          <w:lang w:val="en-US" w:eastAsia="en-US" w:bidi="ar-SA"/>
        </w:rPr>
        <w:t>Sangha (Re</w:t>
      </w:r>
      <w:r>
        <w:rPr>
          <w:rFonts w:ascii="arial" w:eastAsia="arial" w:hAnsi="arial" w:cs="arial"/>
          <w:b/>
          <w:i/>
          <w:color w:val="000000"/>
          <w:sz w:val="20"/>
          <w:lang w:val="en-US" w:eastAsia="en-US" w:bidi="ar-SA"/>
        </w:rPr>
        <w:t>)</w:t>
      </w:r>
      <w:r>
        <w:rPr>
          <w:rFonts w:ascii="arial" w:eastAsia="arial" w:hAnsi="arial" w:cs="arial"/>
          <w:color w:val="000000"/>
          <w:sz w:val="20"/>
          <w:lang w:val="en-US" w:eastAsia="en-US" w:bidi="ar-SA"/>
        </w:rPr>
        <w:t xml:space="preserve"> are distinguishable from the case at bar. The foundation of the registrar's reasoning in </w:t>
      </w:r>
      <w:r>
        <w:rPr>
          <w:rFonts w:ascii="arial" w:eastAsia="arial" w:hAnsi="arial" w:cs="arial"/>
          <w:i/>
          <w:color w:val="000000"/>
          <w:sz w:val="20"/>
          <w:lang w:val="en-US" w:eastAsia="en-US" w:bidi="ar-SA"/>
        </w:rPr>
        <w:t>Sangha (Re)</w:t>
      </w:r>
      <w:r>
        <w:rPr>
          <w:rFonts w:ascii="arial" w:eastAsia="arial" w:hAnsi="arial" w:cs="arial"/>
          <w:color w:val="000000"/>
          <w:sz w:val="20"/>
          <w:lang w:val="en-US" w:eastAsia="en-US" w:bidi="ar-SA"/>
        </w:rPr>
        <w:t xml:space="preserve"> was that the bankrupt had committed not only an intentionally tortious act but also a criminal act. The "penalty" arose as a result of this criminal offence. Mr. Chaytor did not commit an offence; he breached his insurance policy.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35</w:t>
      </w:r>
      <w:r>
        <w:rPr>
          <w:rFonts w:ascii="arial" w:eastAsia="arial" w:hAnsi="arial" w:cs="arial"/>
          <w:color w:val="000000"/>
          <w:sz w:val="20"/>
          <w:lang w:val="en-US" w:eastAsia="en-US" w:bidi="ar-SA"/>
        </w:rPr>
        <w:t xml:space="preserve">  Second, even if not distinguishable on the facts, I must respectfully disagree with the registrar in </w:t>
      </w:r>
      <w:r>
        <w:rPr>
          <w:rFonts w:ascii="arial" w:eastAsia="arial" w:hAnsi="arial" w:cs="arial"/>
          <w:i/>
          <w:color w:val="000000"/>
          <w:sz w:val="20"/>
          <w:lang w:val="en-US" w:eastAsia="en-US" w:bidi="ar-SA"/>
        </w:rPr>
        <w:t>Sangha (Re)</w:t>
      </w:r>
      <w:r>
        <w:rPr>
          <w:rFonts w:ascii="arial" w:eastAsia="arial" w:hAnsi="arial" w:cs="arial"/>
          <w:color w:val="000000"/>
          <w:sz w:val="20"/>
          <w:lang w:val="en-US" w:eastAsia="en-US" w:bidi="ar-SA"/>
        </w:rPr>
        <w:t xml:space="preserve"> as he applied s. 178(1)(a) of the </w:t>
      </w:r>
      <w:r>
        <w:rPr>
          <w:rFonts w:ascii="arial" w:eastAsia="arial" w:hAnsi="arial" w:cs="arial"/>
          <w:i/>
          <w:color w:val="000000"/>
          <w:sz w:val="20"/>
          <w:lang w:val="en-US" w:eastAsia="en-US" w:bidi="ar-SA"/>
        </w:rPr>
        <w:t>BIA</w:t>
      </w:r>
      <w:r>
        <w:rPr>
          <w:rFonts w:ascii="arial" w:eastAsia="arial" w:hAnsi="arial" w:cs="arial"/>
          <w:b/>
          <w:i/>
          <w:color w:val="000000"/>
          <w:sz w:val="20"/>
          <w:lang w:val="en-US" w:eastAsia="en-US" w:bidi="ar-SA"/>
        </w:rPr>
        <w:t>.</w:t>
      </w:r>
      <w:r>
        <w:rPr>
          <w:rFonts w:ascii="arial" w:eastAsia="arial" w:hAnsi="arial" w:cs="arial"/>
          <w:color w:val="000000"/>
          <w:sz w:val="20"/>
          <w:lang w:val="en-US" w:eastAsia="en-US" w:bidi="ar-SA"/>
        </w:rPr>
        <w:t xml:space="preserve"> I am unable to agree that the Judgment against the bankrupt fits within the definition of section 178(1)(a) as "an order similar in nature to that of a penalty".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36</w:t>
      </w:r>
      <w:r>
        <w:rPr>
          <w:rFonts w:ascii="arial" w:eastAsia="arial" w:hAnsi="arial" w:cs="arial"/>
          <w:color w:val="000000"/>
          <w:sz w:val="20"/>
          <w:lang w:val="en-US" w:eastAsia="en-US" w:bidi="ar-SA"/>
        </w:rPr>
        <w:t xml:space="preserve">  In my respectful view, the registrar in </w:t>
      </w:r>
      <w:r>
        <w:rPr>
          <w:rFonts w:ascii="arial" w:eastAsia="arial" w:hAnsi="arial" w:cs="arial"/>
          <w:i/>
          <w:color w:val="000000"/>
          <w:sz w:val="20"/>
          <w:lang w:val="en-US" w:eastAsia="en-US" w:bidi="ar-SA"/>
        </w:rPr>
        <w:t>Sangha (Re)</w:t>
      </w:r>
      <w:r>
        <w:rPr>
          <w:rFonts w:ascii="arial" w:eastAsia="arial" w:hAnsi="arial" w:cs="arial"/>
          <w:color w:val="000000"/>
          <w:sz w:val="20"/>
          <w:lang w:val="en-US" w:eastAsia="en-US" w:bidi="ar-SA"/>
        </w:rPr>
        <w:t xml:space="preserve"> interpreted the application of section 178(1)(a) too broadly. As an exception to the general rule found in section 178(2), section 178(1)(a) must be read restrictively (see: </w:t>
      </w:r>
      <w:r>
        <w:rPr>
          <w:rFonts w:ascii="arial" w:eastAsia="arial" w:hAnsi="arial" w:cs="arial"/>
          <w:i/>
          <w:color w:val="000000"/>
          <w:sz w:val="20"/>
          <w:lang w:val="en-US" w:eastAsia="en-US" w:bidi="ar-SA"/>
        </w:rPr>
        <w:t>Martin v. Martin</w:t>
      </w:r>
      <w:r>
        <w:rPr>
          <w:rFonts w:ascii="arial" w:eastAsia="arial" w:hAnsi="arial" w:cs="arial"/>
          <w:color w:val="000000"/>
          <w:sz w:val="20"/>
          <w:lang w:val="en-US" w:eastAsia="en-US" w:bidi="ar-SA"/>
        </w:rPr>
        <w:t xml:space="preserve"> </w:t>
      </w:r>
      <w:hyperlink r:id="rId340" w:history="1">
        <w:r>
          <w:rPr>
            <w:rFonts w:ascii="arial" w:eastAsia="arial" w:hAnsi="arial" w:cs="arial"/>
            <w:i/>
            <w:color w:val="0077CC"/>
            <w:sz w:val="20"/>
            <w:u w:val="single"/>
            <w:shd w:val="clear" w:color="auto" w:fill="FFFFFF"/>
            <w:lang w:val="en-US" w:eastAsia="en-US" w:bidi="ar-SA"/>
          </w:rPr>
          <w:t>[2005] N.B.J. No. 116</w:t>
        </w:r>
      </w:hyperlink>
      <w:r>
        <w:rPr>
          <w:rFonts w:ascii="arial" w:eastAsia="arial" w:hAnsi="arial" w:cs="arial"/>
          <w:color w:val="000000"/>
          <w:sz w:val="20"/>
          <w:lang w:val="en-US" w:eastAsia="en-US" w:bidi="ar-SA"/>
        </w:rPr>
        <w:t xml:space="preserve">, </w:t>
      </w:r>
      <w:hyperlink r:id="rId340" w:history="1">
        <w:r>
          <w:rPr>
            <w:rFonts w:ascii="arial" w:eastAsia="arial" w:hAnsi="arial" w:cs="arial"/>
            <w:i/>
            <w:color w:val="0077CC"/>
            <w:sz w:val="20"/>
            <w:u w:val="single"/>
            <w:shd w:val="clear" w:color="auto" w:fill="FFFFFF"/>
            <w:lang w:val="en-US" w:eastAsia="en-US" w:bidi="ar-SA"/>
          </w:rPr>
          <w:t>2005 NBCA 32</w:t>
        </w:r>
      </w:hyperlink>
      <w:r>
        <w:rPr>
          <w:rFonts w:ascii="arial" w:eastAsia="arial" w:hAnsi="arial" w:cs="arial"/>
          <w:color w:val="000000"/>
          <w:sz w:val="20"/>
          <w:lang w:val="en-US" w:eastAsia="en-US" w:bidi="ar-SA"/>
        </w:rPr>
        <w:t xml:space="preserve"> @ paras. 10 and 11 and </w:t>
      </w:r>
      <w:r>
        <w:rPr>
          <w:rFonts w:ascii="arial" w:eastAsia="arial" w:hAnsi="arial" w:cs="arial"/>
          <w:i/>
          <w:color w:val="000000"/>
          <w:sz w:val="20"/>
          <w:lang w:val="en-US" w:eastAsia="en-US" w:bidi="ar-SA"/>
        </w:rPr>
        <w:t>B. (S.M.A.) v. H.(J.N.)</w:t>
      </w:r>
      <w:r>
        <w:rPr>
          <w:rFonts w:ascii="arial" w:eastAsia="arial" w:hAnsi="arial" w:cs="arial"/>
          <w:color w:val="000000"/>
          <w:sz w:val="20"/>
          <w:lang w:val="en-US" w:eastAsia="en-US" w:bidi="ar-SA"/>
        </w:rPr>
        <w:t xml:space="preserve"> </w:t>
      </w:r>
      <w:hyperlink r:id="rId341" w:history="1">
        <w:r>
          <w:rPr>
            <w:rFonts w:ascii="arial" w:eastAsia="arial" w:hAnsi="arial" w:cs="arial"/>
            <w:i/>
            <w:color w:val="0077CC"/>
            <w:sz w:val="20"/>
            <w:u w:val="single"/>
            <w:shd w:val="clear" w:color="auto" w:fill="FFFFFF"/>
            <w:lang w:val="en-US" w:eastAsia="en-US" w:bidi="ar-SA"/>
          </w:rPr>
          <w:t>(1993), 23 C.B.R. (3d) 81</w:t>
        </w:r>
      </w:hyperlink>
      <w:r>
        <w:rPr>
          <w:rFonts w:ascii="arial" w:eastAsia="arial" w:hAnsi="arial" w:cs="arial"/>
          <w:color w:val="000000"/>
          <w:sz w:val="20"/>
          <w:lang w:val="en-US" w:eastAsia="en-US" w:bidi="ar-SA"/>
        </w:rPr>
        <w:t xml:space="preserve"> (B.C.C.A.).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37</w:t>
      </w:r>
      <w:r>
        <w:rPr>
          <w:rFonts w:ascii="arial" w:eastAsia="arial" w:hAnsi="arial" w:cs="arial"/>
          <w:color w:val="000000"/>
          <w:sz w:val="20"/>
          <w:lang w:val="en-US" w:eastAsia="en-US" w:bidi="ar-SA"/>
        </w:rPr>
        <w:t>  Reading section 178 restrictively, it is apparent that Parliament intended only those civil judgments in respect of bodily harm intentionally inflicted, sexual assault or wrongful death resulting therefrom to survive discharge. If Parliament had intended civil judgments arising from motor vehicle accidents to survive bankruptcy, that exception would be clearly stated in section 178.</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38</w:t>
      </w:r>
      <w:r>
        <w:rPr>
          <w:rFonts w:ascii="arial" w:eastAsia="arial" w:hAnsi="arial" w:cs="arial"/>
          <w:color w:val="000000"/>
          <w:sz w:val="20"/>
          <w:lang w:val="en-US" w:eastAsia="en-US" w:bidi="ar-SA"/>
        </w:rPr>
        <w:t xml:space="preserve">  Contrary to the findings in </w:t>
      </w:r>
      <w:r>
        <w:rPr>
          <w:rFonts w:ascii="arial" w:eastAsia="arial" w:hAnsi="arial" w:cs="arial"/>
          <w:i/>
          <w:color w:val="000000"/>
          <w:sz w:val="20"/>
          <w:lang w:val="en-US" w:eastAsia="en-US" w:bidi="ar-SA"/>
        </w:rPr>
        <w:t>Sangha (Re),</w:t>
      </w:r>
      <w:r>
        <w:rPr>
          <w:rFonts w:ascii="arial" w:eastAsia="arial" w:hAnsi="arial" w:cs="arial"/>
          <w:color w:val="000000"/>
          <w:sz w:val="20"/>
          <w:lang w:val="en-US" w:eastAsia="en-US" w:bidi="ar-SA"/>
        </w:rPr>
        <w:t xml:space="preserve"> section 178(1)(a) does not concern civil judgments at all, but rather relates solely to criminal or quasi-criminal matters. The meaning of the words used in section 178(1) (a) "colour the association with the others" (per Lambert J.A. in </w:t>
      </w:r>
      <w:r>
        <w:rPr>
          <w:rFonts w:ascii="arial" w:eastAsia="arial" w:hAnsi="arial" w:cs="arial"/>
          <w:i/>
          <w:color w:val="000000"/>
          <w:sz w:val="20"/>
          <w:lang w:val="en-US" w:eastAsia="en-US" w:bidi="ar-SA"/>
        </w:rPr>
        <w:t>B (S.M.A.) v. H.(J.N.),</w:t>
      </w:r>
      <w:r>
        <w:rPr>
          <w:rFonts w:ascii="arial" w:eastAsia="arial" w:hAnsi="arial" w:cs="arial"/>
          <w:color w:val="000000"/>
          <w:sz w:val="20"/>
          <w:lang w:val="en-US" w:eastAsia="en-US" w:bidi="ar-SA"/>
        </w:rPr>
        <w:t xml:space="preserve"> supra, para. 21).</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39</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R. v. Manzioros</w:t>
      </w:r>
      <w:r>
        <w:rPr>
          <w:rFonts w:ascii="arial" w:eastAsia="arial" w:hAnsi="arial" w:cs="arial"/>
          <w:color w:val="000000"/>
          <w:sz w:val="20"/>
          <w:lang w:val="en-US" w:eastAsia="en-US" w:bidi="ar-SA"/>
        </w:rPr>
        <w:t xml:space="preserve"> </w:t>
      </w:r>
      <w:hyperlink r:id="rId342" w:history="1">
        <w:r>
          <w:rPr>
            <w:rFonts w:ascii="arial" w:eastAsia="arial" w:hAnsi="arial" w:cs="arial"/>
            <w:i/>
            <w:color w:val="0077CC"/>
            <w:sz w:val="20"/>
            <w:u w:val="single"/>
            <w:shd w:val="clear" w:color="auto" w:fill="FFFFFF"/>
            <w:lang w:val="en-US" w:eastAsia="en-US" w:bidi="ar-SA"/>
          </w:rPr>
          <w:t>[2004] M.J. No. 200</w:t>
        </w:r>
      </w:hyperlink>
      <w:r>
        <w:rPr>
          <w:rFonts w:ascii="arial" w:eastAsia="arial" w:hAnsi="arial" w:cs="arial"/>
          <w:color w:val="000000"/>
          <w:sz w:val="20"/>
          <w:lang w:val="en-US" w:eastAsia="en-US" w:bidi="ar-SA"/>
        </w:rPr>
        <w:t xml:space="preserve">, </w:t>
      </w:r>
      <w:hyperlink r:id="rId342" w:history="1">
        <w:r>
          <w:rPr>
            <w:rFonts w:ascii="arial" w:eastAsia="arial" w:hAnsi="arial" w:cs="arial"/>
            <w:i/>
            <w:color w:val="0077CC"/>
            <w:sz w:val="20"/>
            <w:u w:val="single"/>
            <w:shd w:val="clear" w:color="auto" w:fill="FFFFFF"/>
            <w:lang w:val="en-US" w:eastAsia="en-US" w:bidi="ar-SA"/>
          </w:rPr>
          <w:t>2004 MBQB 121</w:t>
        </w:r>
      </w:hyperlink>
      <w:r>
        <w:rPr>
          <w:rFonts w:ascii="arial" w:eastAsia="arial" w:hAnsi="arial" w:cs="arial"/>
          <w:color w:val="000000"/>
          <w:sz w:val="20"/>
          <w:lang w:val="en-US" w:eastAsia="en-US" w:bidi="ar-SA"/>
        </w:rPr>
        <w:t>, Menzies J. defines a "penalty" under this sections as "a punishment imposed by statute as a consequence of the commission of an offence": para. 38.</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40</w:t>
      </w:r>
      <w:r>
        <w:rPr>
          <w:rFonts w:ascii="arial" w:eastAsia="arial" w:hAnsi="arial" w:cs="arial"/>
          <w:color w:val="000000"/>
          <w:sz w:val="20"/>
          <w:lang w:val="en-US" w:eastAsia="en-US" w:bidi="ar-SA"/>
        </w:rPr>
        <w:t>  He further clarifies the meaning of s. 178(1)(a) when he states: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Section 178(1)(a) contemplates orders made in the course of criminal prosecutions during the course of sentencing an accused ...</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nature of the orders contemplated by s. 178(1)(a) are the result of due consideration of the principles of sentencing by a judge in a criminal context .... para. 40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41</w:t>
      </w:r>
      <w:r>
        <w:rPr>
          <w:rFonts w:ascii="arial" w:eastAsia="arial" w:hAnsi="arial" w:cs="arial"/>
          <w:color w:val="000000"/>
          <w:sz w:val="20"/>
          <w:lang w:val="en-US" w:eastAsia="en-US" w:bidi="ar-SA"/>
        </w:rPr>
        <w:t xml:space="preserve">  Even an award of punitive damages, the harshest of penalties imposed in a civil action, does not fall within s. 178(1)(a) of the </w:t>
      </w:r>
      <w:r>
        <w:rPr>
          <w:rFonts w:ascii="arial" w:eastAsia="arial" w:hAnsi="arial" w:cs="arial"/>
          <w:i/>
          <w:color w:val="000000"/>
          <w:sz w:val="20"/>
          <w:lang w:val="en-US" w:eastAsia="en-US" w:bidi="ar-SA"/>
        </w:rPr>
        <w:t>BIA</w:t>
      </w:r>
      <w:r>
        <w:rPr>
          <w:rFonts w:ascii="arial" w:eastAsia="arial" w:hAnsi="arial" w:cs="arial"/>
          <w:color w:val="000000"/>
          <w:sz w:val="20"/>
          <w:lang w:val="en-US" w:eastAsia="en-US" w:bidi="ar-SA"/>
        </w:rPr>
        <w:t xml:space="preserve"> (see </w:t>
      </w:r>
      <w:r>
        <w:rPr>
          <w:rFonts w:ascii="arial" w:eastAsia="arial" w:hAnsi="arial" w:cs="arial"/>
          <w:i/>
          <w:color w:val="000000"/>
          <w:sz w:val="20"/>
          <w:lang w:val="en-US" w:eastAsia="en-US" w:bidi="ar-SA"/>
        </w:rPr>
        <w:t>Buland Empire Development Inc. v. Quinto Shoes Imports Ltd.</w:t>
      </w:r>
      <w:r>
        <w:rPr>
          <w:rFonts w:ascii="arial" w:eastAsia="arial" w:hAnsi="arial" w:cs="arial"/>
          <w:color w:val="000000"/>
          <w:sz w:val="20"/>
          <w:lang w:val="en-US" w:eastAsia="en-US" w:bidi="ar-SA"/>
        </w:rPr>
        <w:t xml:space="preserve"> </w:t>
      </w:r>
      <w:hyperlink r:id="rId343" w:history="1">
        <w:r>
          <w:rPr>
            <w:rFonts w:ascii="arial" w:eastAsia="arial" w:hAnsi="arial" w:cs="arial"/>
            <w:i/>
            <w:color w:val="0077CC"/>
            <w:sz w:val="20"/>
            <w:u w:val="single"/>
            <w:shd w:val="clear" w:color="auto" w:fill="FFFFFF"/>
            <w:lang w:val="en-US" w:eastAsia="en-US" w:bidi="ar-SA"/>
          </w:rPr>
          <w:t>[1999] O.J. No. 2807</w:t>
        </w:r>
      </w:hyperlink>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42</w:t>
      </w:r>
      <w:r>
        <w:rPr>
          <w:rFonts w:ascii="arial" w:eastAsia="arial" w:hAnsi="arial" w:cs="arial"/>
          <w:color w:val="000000"/>
          <w:sz w:val="20"/>
          <w:lang w:val="en-US" w:eastAsia="en-US" w:bidi="ar-SA"/>
        </w:rPr>
        <w:t xml:space="preserve">  Acceding to ICBC's argument gives this creditor a priority by virtue of Mr. Chaytor's breach of his insurance policy. In my view, such a priority would need to be specifically set out in the </w:t>
      </w:r>
      <w:r>
        <w:rPr>
          <w:rFonts w:ascii="arial" w:eastAsia="arial" w:hAnsi="arial" w:cs="arial"/>
          <w:i/>
          <w:color w:val="000000"/>
          <w:sz w:val="20"/>
          <w:lang w:val="en-US" w:eastAsia="en-US" w:bidi="ar-SA"/>
        </w:rPr>
        <w:t>BIA</w:t>
      </w:r>
      <w:r>
        <w:rPr>
          <w:rFonts w:ascii="arial" w:eastAsia="arial" w:hAnsi="arial" w:cs="arial"/>
          <w:color w:val="000000"/>
          <w:sz w:val="20"/>
          <w:lang w:val="en-US" w:eastAsia="en-US" w:bidi="ar-SA"/>
        </w:rPr>
        <w:t xml:space="preserve">. As a matter of constitutional law, the province is not entitled to create a priority for these types of civil judgments (see </w:t>
      </w:r>
      <w:r>
        <w:rPr>
          <w:rFonts w:ascii="arial" w:eastAsia="arial" w:hAnsi="arial" w:cs="arial"/>
          <w:i/>
          <w:color w:val="000000"/>
          <w:sz w:val="20"/>
          <w:lang w:val="en-US" w:eastAsia="en-US" w:bidi="ar-SA"/>
        </w:rPr>
        <w:t>Manzioros</w:t>
      </w:r>
      <w:r>
        <w:rPr>
          <w:rFonts w:ascii="arial" w:eastAsia="arial" w:hAnsi="arial" w:cs="arial"/>
          <w:color w:val="000000"/>
          <w:sz w:val="20"/>
          <w:lang w:val="en-US" w:eastAsia="en-US" w:bidi="ar-SA"/>
        </w:rPr>
        <w:t xml:space="preserve">, supra, at paras. 51 to 54 citing </w:t>
      </w:r>
      <w:r>
        <w:rPr>
          <w:rFonts w:ascii="arial" w:eastAsia="arial" w:hAnsi="arial" w:cs="arial"/>
          <w:i/>
          <w:color w:val="000000"/>
          <w:sz w:val="20"/>
          <w:lang w:val="en-US" w:eastAsia="en-US" w:bidi="ar-SA"/>
        </w:rPr>
        <w:t>Husky Oil Operations Ltd. v. Minister of National Revenue</w:t>
      </w:r>
      <w:r>
        <w:rPr>
          <w:rFonts w:ascii="arial" w:eastAsia="arial" w:hAnsi="arial" w:cs="arial"/>
          <w:color w:val="000000"/>
          <w:sz w:val="20"/>
          <w:lang w:val="en-US" w:eastAsia="en-US" w:bidi="ar-SA"/>
        </w:rPr>
        <w:t xml:space="preserve"> </w:t>
      </w:r>
      <w:hyperlink r:id="rId344" w:history="1">
        <w:r>
          <w:rPr>
            <w:rFonts w:ascii="arial" w:eastAsia="arial" w:hAnsi="arial" w:cs="arial"/>
            <w:i/>
            <w:color w:val="0077CC"/>
            <w:sz w:val="20"/>
            <w:u w:val="single"/>
            <w:shd w:val="clear" w:color="auto" w:fill="FFFFFF"/>
            <w:lang w:val="en-US" w:eastAsia="en-US" w:bidi="ar-SA"/>
          </w:rPr>
          <w:t>[1995] 3 S.C.R. 453</w:t>
        </w:r>
      </w:hyperlink>
      <w:r>
        <w:rPr>
          <w:rFonts w:ascii="arial" w:eastAsia="arial" w:hAnsi="arial" w:cs="arial"/>
          <w:color w:val="000000"/>
          <w:sz w:val="20"/>
          <w:lang w:val="en-US" w:eastAsia="en-US" w:bidi="ar-SA"/>
        </w:rPr>
        <w:t xml:space="preserve"> at para. 7).</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43</w:t>
      </w:r>
      <w:r>
        <w:rPr>
          <w:rFonts w:ascii="arial" w:eastAsia="arial" w:hAnsi="arial" w:cs="arial"/>
          <w:color w:val="000000"/>
          <w:sz w:val="20"/>
          <w:lang w:val="en-US" w:eastAsia="en-US" w:bidi="ar-SA"/>
        </w:rPr>
        <w:t xml:space="preserve">  Finally, much of the argument before the registrar in </w:t>
      </w:r>
      <w:r>
        <w:rPr>
          <w:rFonts w:ascii="arial" w:eastAsia="arial" w:hAnsi="arial" w:cs="arial"/>
          <w:i/>
          <w:color w:val="000000"/>
          <w:sz w:val="20"/>
          <w:lang w:val="en-US" w:eastAsia="en-US" w:bidi="ar-SA"/>
        </w:rPr>
        <w:t>Sangha (Re</w:t>
      </w:r>
      <w:r>
        <w:rPr>
          <w:rFonts w:ascii="arial" w:eastAsia="arial" w:hAnsi="arial" w:cs="arial"/>
          <w:b/>
          <w:i/>
          <w:color w:val="000000"/>
          <w:sz w:val="20"/>
          <w:lang w:val="en-US" w:eastAsia="en-US" w:bidi="ar-SA"/>
        </w:rPr>
        <w:t>)</w:t>
      </w:r>
      <w:r>
        <w:rPr>
          <w:rFonts w:ascii="arial" w:eastAsia="arial" w:hAnsi="arial" w:cs="arial"/>
          <w:color w:val="000000"/>
          <w:sz w:val="20"/>
          <w:lang w:val="en-US" w:eastAsia="en-US" w:bidi="ar-SA"/>
        </w:rPr>
        <w:t xml:space="preserve"> concerned the need to facilitate ICBC's collection of these types of judgments on public policy grounds. For example, it was argued that since ICBC is publicly funded, the citizens of British Columbia have an interest in ensuring that public funds spent to compensate a victim are recoverable from the breached insured.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44</w:t>
      </w:r>
      <w:r>
        <w:rPr>
          <w:rFonts w:ascii="arial" w:eastAsia="arial" w:hAnsi="arial" w:cs="arial"/>
          <w:color w:val="000000"/>
          <w:sz w:val="20"/>
          <w:lang w:val="en-US" w:eastAsia="en-US" w:bidi="ar-SA"/>
        </w:rPr>
        <w:t xml:space="preserve">  In my respectful view, those policy concerns should be given no weight in this application. The exceptions listed in section 178(1) of the </w:t>
      </w:r>
      <w:r>
        <w:rPr>
          <w:rFonts w:ascii="arial" w:eastAsia="arial" w:hAnsi="arial" w:cs="arial"/>
          <w:i/>
          <w:color w:val="000000"/>
          <w:sz w:val="20"/>
          <w:lang w:val="en-US" w:eastAsia="en-US" w:bidi="ar-SA"/>
        </w:rPr>
        <w:t>BIA</w:t>
      </w:r>
      <w:r>
        <w:rPr>
          <w:rFonts w:ascii="arial" w:eastAsia="arial" w:hAnsi="arial" w:cs="arial"/>
          <w:color w:val="000000"/>
          <w:sz w:val="20"/>
          <w:lang w:val="en-US" w:eastAsia="en-US" w:bidi="ar-SA"/>
        </w:rPr>
        <w:t xml:space="preserve"> represent Parliament's policy choices. In my respectful view, the bankruptcy court is not the forum to promote the policy behind provincial legislation (see </w:t>
      </w:r>
      <w:r>
        <w:rPr>
          <w:rFonts w:ascii="arial" w:eastAsia="arial" w:hAnsi="arial" w:cs="arial"/>
          <w:i/>
          <w:color w:val="000000"/>
          <w:sz w:val="20"/>
          <w:lang w:val="en-US" w:eastAsia="en-US" w:bidi="ar-SA"/>
        </w:rPr>
        <w:t>Ingles (Re)</w:t>
      </w:r>
      <w:r>
        <w:rPr>
          <w:rFonts w:ascii="arial" w:eastAsia="arial" w:hAnsi="arial" w:cs="arial"/>
          <w:color w:val="000000"/>
          <w:sz w:val="20"/>
          <w:lang w:val="en-US" w:eastAsia="en-US" w:bidi="ar-SA"/>
        </w:rPr>
        <w:t xml:space="preserve"> </w:t>
      </w:r>
      <w:hyperlink r:id="rId345" w:history="1">
        <w:r>
          <w:rPr>
            <w:rFonts w:ascii="arial" w:eastAsia="arial" w:hAnsi="arial" w:cs="arial"/>
            <w:i/>
            <w:color w:val="0077CC"/>
            <w:sz w:val="20"/>
            <w:u w:val="single"/>
            <w:shd w:val="clear" w:color="auto" w:fill="FFFFFF"/>
            <w:lang w:val="en-US" w:eastAsia="en-US" w:bidi="ar-SA"/>
          </w:rPr>
          <w:t>[1997] B.C.J. No. 1088</w:t>
        </w:r>
      </w:hyperlink>
      <w:r>
        <w:rPr>
          <w:rFonts w:ascii="arial" w:eastAsia="arial" w:hAnsi="arial" w:cs="arial"/>
          <w:color w:val="000000"/>
          <w:sz w:val="20"/>
          <w:lang w:val="en-US" w:eastAsia="en-US" w:bidi="ar-SA"/>
        </w:rPr>
        <w:t xml:space="preserve"> (S.C.), </w:t>
      </w:r>
      <w:r>
        <w:rPr>
          <w:rFonts w:ascii="arial" w:eastAsia="arial" w:hAnsi="arial" w:cs="arial"/>
          <w:i/>
          <w:color w:val="000000"/>
          <w:sz w:val="20"/>
          <w:lang w:val="en-US" w:eastAsia="en-US" w:bidi="ar-SA"/>
        </w:rPr>
        <w:t>Lucar (Re</w:t>
      </w:r>
      <w:r>
        <w:rPr>
          <w:rFonts w:ascii="arial" w:eastAsia="arial" w:hAnsi="arial" w:cs="arial"/>
          <w:b/>
          <w:i/>
          <w:color w:val="000000"/>
          <w:sz w:val="20"/>
          <w:lang w:val="en-US" w:eastAsia="en-US" w:bidi="ar-SA"/>
        </w:rPr>
        <w:t>)</w:t>
      </w:r>
      <w:r>
        <w:rPr>
          <w:rFonts w:ascii="arial" w:eastAsia="arial" w:hAnsi="arial" w:cs="arial"/>
          <w:color w:val="000000"/>
          <w:sz w:val="20"/>
          <w:lang w:val="en-US" w:eastAsia="en-US" w:bidi="ar-SA"/>
        </w:rPr>
        <w:t xml:space="preserve"> </w:t>
      </w:r>
      <w:hyperlink r:id="rId346" w:history="1">
        <w:r>
          <w:rPr>
            <w:rFonts w:ascii="arial" w:eastAsia="arial" w:hAnsi="arial" w:cs="arial"/>
            <w:i/>
            <w:color w:val="0077CC"/>
            <w:sz w:val="20"/>
            <w:u w:val="single"/>
            <w:shd w:val="clear" w:color="auto" w:fill="FFFFFF"/>
            <w:lang w:val="en-US" w:eastAsia="en-US" w:bidi="ar-SA"/>
          </w:rPr>
          <w:t>[2001] O.J. No. 5795</w:t>
        </w:r>
      </w:hyperlink>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45</w:t>
      </w:r>
      <w:r>
        <w:rPr>
          <w:rFonts w:ascii="arial" w:eastAsia="arial" w:hAnsi="arial" w:cs="arial"/>
          <w:color w:val="000000"/>
          <w:sz w:val="20"/>
          <w:lang w:val="en-US" w:eastAsia="en-US" w:bidi="ar-SA"/>
        </w:rPr>
        <w:t>  ICBC's application for an order that its debt is not released by any order of discharge from bankruptcy is dismissed.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THE DISCHARGE APPLICATION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46</w:t>
      </w:r>
      <w:r>
        <w:rPr>
          <w:rFonts w:ascii="arial" w:eastAsia="arial" w:hAnsi="arial" w:cs="arial"/>
          <w:color w:val="000000"/>
          <w:sz w:val="20"/>
          <w:lang w:val="en-US" w:eastAsia="en-US" w:bidi="ar-SA"/>
        </w:rPr>
        <w:t>  Despite this ruling, the circumstances surrounding the Judgment play a significant role in determining the appropriate order of discharge.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47</w:t>
      </w:r>
      <w:r>
        <w:rPr>
          <w:rFonts w:ascii="arial" w:eastAsia="arial" w:hAnsi="arial" w:cs="arial"/>
          <w:color w:val="000000"/>
          <w:sz w:val="20"/>
          <w:lang w:val="en-US" w:eastAsia="en-US" w:bidi="ar-SA"/>
        </w:rPr>
        <w:t xml:space="preserve">  The circumstances are relevant as it is admitted that bankruptcy protection was sought to avoid payment of the Judgment (see </w:t>
      </w:r>
      <w:r>
        <w:rPr>
          <w:rFonts w:ascii="arial" w:eastAsia="arial" w:hAnsi="arial" w:cs="arial"/>
          <w:i/>
          <w:color w:val="000000"/>
          <w:sz w:val="20"/>
          <w:lang w:val="en-US" w:eastAsia="en-US" w:bidi="ar-SA"/>
        </w:rPr>
        <w:t>Kozack v. Richter</w:t>
      </w:r>
      <w:r>
        <w:rPr>
          <w:rFonts w:ascii="arial" w:eastAsia="arial" w:hAnsi="arial" w:cs="arial"/>
          <w:color w:val="000000"/>
          <w:sz w:val="20"/>
          <w:lang w:val="en-US" w:eastAsia="en-US" w:bidi="ar-SA"/>
        </w:rPr>
        <w:t xml:space="preserve"> </w:t>
      </w:r>
      <w:hyperlink r:id="rId347" w:history="1">
        <w:r>
          <w:rPr>
            <w:rFonts w:ascii="arial" w:eastAsia="arial" w:hAnsi="arial" w:cs="arial"/>
            <w:i/>
            <w:color w:val="0077CC"/>
            <w:sz w:val="20"/>
            <w:u w:val="single"/>
            <w:shd w:val="clear" w:color="auto" w:fill="FFFFFF"/>
            <w:lang w:val="en-US" w:eastAsia="en-US" w:bidi="ar-SA"/>
          </w:rPr>
          <w:t>[1974] S.C.R. 832</w:t>
        </w:r>
      </w:hyperlink>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48</w:t>
      </w:r>
      <w:r>
        <w:rPr>
          <w:rFonts w:ascii="arial" w:eastAsia="arial" w:hAnsi="arial" w:cs="arial"/>
          <w:color w:val="000000"/>
          <w:sz w:val="20"/>
          <w:lang w:val="en-US" w:eastAsia="en-US" w:bidi="ar-SA"/>
        </w:rPr>
        <w:t xml:space="preserve">  The relevant provisions with respect to discharges are sections 172 and 173 of the </w:t>
      </w:r>
      <w:r>
        <w:rPr>
          <w:rFonts w:ascii="arial" w:eastAsia="arial" w:hAnsi="arial" w:cs="arial"/>
          <w:i/>
          <w:color w:val="000000"/>
          <w:sz w:val="20"/>
          <w:lang w:val="en-US" w:eastAsia="en-US" w:bidi="ar-SA"/>
        </w:rPr>
        <w:t>BIA</w:t>
      </w:r>
      <w:r>
        <w:rPr>
          <w:rFonts w:ascii="arial" w:eastAsia="arial" w:hAnsi="arial" w:cs="arial"/>
          <w:b/>
          <w:i/>
          <w:color w:val="000000"/>
          <w:sz w:val="20"/>
          <w:lang w:val="en-US" w:eastAsia="en-US" w:bidi="ar-SA"/>
        </w:rPr>
        <w:t>.</w:t>
      </w:r>
      <w:r>
        <w:rPr>
          <w:rFonts w:ascii="arial" w:eastAsia="arial" w:hAnsi="arial" w:cs="arial"/>
          <w:color w:val="000000"/>
          <w:sz w:val="20"/>
          <w:lang w:val="en-US" w:eastAsia="en-US" w:bidi="ar-SA"/>
        </w:rPr>
        <w:t xml:space="preserve"> Section 172 provides that: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172.</w:t>
      </w:r>
      <w:r>
        <w:rPr>
          <w:rFonts w:ascii="arial" w:eastAsia="arial" w:hAnsi="arial" w:cs="arial"/>
          <w:color w:val="000000"/>
          <w:sz w:val="20"/>
          <w:lang w:val="en-US" w:eastAsia="en-US" w:bidi="ar-SA"/>
        </w:rPr>
        <w:t>(1) On the hearing of an application of a bankrupt for a discharge, the court may either grant or refuse an absolute order of discharge or suspend the operation of the order for a specified time, or grant an order of discharge subject to any terms or conditions with respect to any earnings or income that may afterwards become due to the bankrupt or with respect to his after-acquired property.</w:t>
      </w:r>
    </w:p>
    <w:p>
      <w:pPr>
        <w:numPr>
          <w:numId w:val="5"/>
        </w:numPr>
        <w:tabs>
          <w:tab w:val="num" w:pos="1120"/>
          <w:tab w:val="clear" w:pos="184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The court shall on proof of any of the facts mentioned in section 173</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1359"/>
        <w:gridCol w:w="1882"/>
        <w:gridCol w:w="6169"/>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1331"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1843"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w:t>
            </w:r>
            <w:r>
              <w:rPr>
                <w:rFonts w:ascii="arial" w:eastAsia="arial" w:hAnsi="arial" w:cs="arial"/>
                <w:i/>
                <w:color w:val="000000"/>
                <w:sz w:val="18"/>
                <w:lang w:val="en-US" w:eastAsia="en-US" w:bidi="ar-SA"/>
              </w:rPr>
              <w:t>a</w:t>
            </w:r>
            <w:r>
              <w:rPr>
                <w:rFonts w:ascii="arial" w:eastAsia="arial" w:hAnsi="arial" w:cs="arial"/>
                <w:color w:val="000000"/>
                <w:sz w:val="18"/>
                <w:lang w:val="en-US" w:eastAsia="en-US" w:bidi="ar-SA"/>
              </w:rPr>
              <w:t>)</w:t>
            </w:r>
          </w:p>
        </w:tc>
        <w:tc>
          <w:tcPr>
            <w:tcW w:w="604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refuse the discharge of a bankrupt;</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numPr>
          <w:numId w:val="6"/>
        </w:numPr>
        <w:tabs>
          <w:tab w:val="clear" w:pos="1480"/>
          <w:tab w:val="num" w:pos="2560"/>
        </w:tabs>
        <w:spacing w:before="120" w:line="260" w:lineRule="atLeast"/>
        <w:ind w:left="2560"/>
        <w:jc w:val="both"/>
        <w:rPr>
          <w:rFonts w:ascii="arial" w:eastAsia="arial" w:hAnsi="arial" w:cs="arial"/>
          <w:sz w:val="20"/>
          <w:lang w:val="en-US" w:eastAsia="en-US" w:bidi="ar-SA"/>
        </w:rPr>
      </w:pPr>
      <w:r>
        <w:rPr>
          <w:rFonts w:ascii="arial" w:eastAsia="arial" w:hAnsi="arial" w:cs="arial"/>
          <w:color w:val="000000"/>
          <w:sz w:val="20"/>
          <w:lang w:val="en-US" w:eastAsia="en-US" w:bidi="ar-SA"/>
        </w:rPr>
        <w:t>suspend the discharge for such period as the court thinks proper; or</w:t>
      </w:r>
    </w:p>
    <w:p>
      <w:pPr>
        <w:numPr>
          <w:numId w:val="6"/>
        </w:numPr>
        <w:tabs>
          <w:tab w:val="clear" w:pos="1480"/>
          <w:tab w:val="num" w:pos="2560"/>
        </w:tabs>
        <w:spacing w:before="120" w:line="260" w:lineRule="atLeast"/>
        <w:ind w:left="2560"/>
        <w:jc w:val="both"/>
        <w:rPr>
          <w:rFonts w:ascii="arial" w:eastAsia="arial" w:hAnsi="arial" w:cs="arial"/>
          <w:sz w:val="20"/>
          <w:lang w:val="en-US" w:eastAsia="en-US" w:bidi="ar-SA"/>
        </w:rPr>
      </w:pPr>
      <w:r>
        <w:rPr>
          <w:rFonts w:ascii="arial" w:eastAsia="arial" w:hAnsi="arial" w:cs="arial"/>
          <w:color w:val="000000"/>
          <w:sz w:val="20"/>
          <w:lang w:val="en-US" w:eastAsia="en-US" w:bidi="ar-SA"/>
        </w:rPr>
        <w:t>require the bankrupt, as a condition of his discharge, to perform such acts, pay such moneys, consent to such judgments or comply with such other terms as the court may direct.</w:t>
      </w:r>
    </w:p>
    <w:p>
      <w:pPr>
        <w:numPr>
          <w:numId w:val="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Where at any time after the expiration of one year after the date of any order made under this section the bankrupt satisfies the court that there is no reasonable probability of his being in a position to comply with the terms of the order, the court may modify the terms of the order or of any substituted order, in such manner and on such conditions as it may think fit.</w:t>
      </w:r>
    </w:p>
    <w:p>
      <w:pPr>
        <w:numPr>
          <w:numId w:val="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powers of suspending and of attaching conditions to the discharge of a bankrupt may be exercised concurrently.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49</w:t>
      </w:r>
      <w:r>
        <w:rPr>
          <w:rFonts w:ascii="arial" w:eastAsia="arial" w:hAnsi="arial" w:cs="arial"/>
          <w:color w:val="000000"/>
          <w:sz w:val="20"/>
          <w:lang w:val="en-US" w:eastAsia="en-US" w:bidi="ar-SA"/>
        </w:rPr>
        <w:t>  Thus, if a section 173 fact is proven, the bankrupt may not receive an absolute discharge. The onus is on the opposing creditor to prove the s. 173 fact.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50</w:t>
      </w:r>
      <w:r>
        <w:rPr>
          <w:rFonts w:ascii="arial" w:eastAsia="arial" w:hAnsi="arial" w:cs="arial"/>
          <w:color w:val="000000"/>
          <w:sz w:val="20"/>
          <w:lang w:val="en-US" w:eastAsia="en-US" w:bidi="ar-SA"/>
        </w:rPr>
        <w:t>  ICBC submits that a fact under s. 173(1)(a) has been proven. That section provides: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173.</w:t>
      </w:r>
      <w:r>
        <w:rPr>
          <w:rFonts w:ascii="arial" w:eastAsia="arial" w:hAnsi="arial" w:cs="arial"/>
          <w:color w:val="000000"/>
          <w:sz w:val="20"/>
          <w:lang w:val="en-US" w:eastAsia="en-US" w:bidi="ar-SA"/>
        </w:rPr>
        <w:t>(1) The facts referred to in section 172 are:</w:t>
      </w:r>
    </w:p>
    <w:p>
      <w:pPr>
        <w:numPr>
          <w:numId w:val="8"/>
        </w:numPr>
        <w:tabs>
          <w:tab w:val="clear" w:pos="1480"/>
          <w:tab w:val="num" w:pos="2560"/>
        </w:tabs>
        <w:spacing w:before="120" w:line="260" w:lineRule="atLeast"/>
        <w:ind w:left="2560"/>
        <w:jc w:val="both"/>
        <w:rPr>
          <w:rFonts w:ascii="arial" w:eastAsia="arial" w:hAnsi="arial" w:cs="arial"/>
          <w:sz w:val="20"/>
          <w:lang w:val="en-US" w:eastAsia="en-US" w:bidi="ar-SA"/>
        </w:rPr>
      </w:pPr>
      <w:r>
        <w:rPr>
          <w:rFonts w:ascii="arial" w:eastAsia="arial" w:hAnsi="arial" w:cs="arial"/>
          <w:color w:val="000000"/>
          <w:sz w:val="20"/>
          <w:lang w:val="en-US" w:eastAsia="en-US" w:bidi="ar-SA"/>
        </w:rPr>
        <w:t>the assets of the bankrupt are not of a value equal to fifty cents on the dollar on the amount of the bankrupt's unsecured liabilities, unless the bankrupt satisfies the court that the fact that the assets are not of a value equal to fifty cents on the dollar on the amount of the bankrupt's unsecured liabilities has arisen from circumstances for which the bankrupt cannot justly be held responsible;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51</w:t>
      </w:r>
      <w:r>
        <w:rPr>
          <w:rFonts w:ascii="arial" w:eastAsia="arial" w:hAnsi="arial" w:cs="arial"/>
          <w:color w:val="000000"/>
          <w:sz w:val="20"/>
          <w:lang w:val="en-US" w:eastAsia="en-US" w:bidi="ar-SA"/>
        </w:rPr>
        <w:t xml:space="preserve">  It is obvious that the bankrupt's assets are not of a value equal to $.50 on the dollar. The onus therefore shifts to the bankrupt to prove that he or she cannot be justly held responsible for this situation. To be justly responsible, there must be "some element of culpability or blameworthiness, some recklessness or blind disregard by the bankrupt for his own financial well-being": </w:t>
      </w:r>
      <w:r>
        <w:rPr>
          <w:rFonts w:ascii="arial" w:eastAsia="arial" w:hAnsi="arial" w:cs="arial"/>
          <w:i/>
          <w:color w:val="000000"/>
          <w:sz w:val="20"/>
          <w:lang w:val="en-US" w:eastAsia="en-US" w:bidi="ar-SA"/>
        </w:rPr>
        <w:t>Re Gill</w:t>
      </w:r>
      <w:r>
        <w:rPr>
          <w:rFonts w:ascii="arial" w:eastAsia="arial" w:hAnsi="arial" w:cs="arial"/>
          <w:color w:val="000000"/>
          <w:sz w:val="20"/>
          <w:lang w:val="en-US" w:eastAsia="en-US" w:bidi="ar-SA"/>
        </w:rPr>
        <w:t xml:space="preserve"> </w:t>
      </w:r>
      <w:hyperlink r:id="rId348" w:history="1">
        <w:r>
          <w:rPr>
            <w:rFonts w:ascii="arial" w:eastAsia="arial" w:hAnsi="arial" w:cs="arial"/>
            <w:i/>
            <w:color w:val="0077CC"/>
            <w:sz w:val="20"/>
            <w:u w:val="single"/>
            <w:shd w:val="clear" w:color="auto" w:fill="FFFFFF"/>
            <w:lang w:val="en-US" w:eastAsia="en-US" w:bidi="ar-SA"/>
          </w:rPr>
          <w:t>(1988) 69 C.B.R. (N.S.) 132</w:t>
        </w:r>
      </w:hyperlink>
      <w:r>
        <w:rPr>
          <w:rFonts w:ascii="arial" w:eastAsia="arial" w:hAnsi="arial" w:cs="arial"/>
          <w:color w:val="000000"/>
          <w:sz w:val="20"/>
          <w:lang w:val="en-US" w:eastAsia="en-US" w:bidi="ar-SA"/>
        </w:rPr>
        <w:t xml:space="preserve"> (B.C.S.C.) at para. 14.</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52</w:t>
      </w:r>
      <w:r>
        <w:rPr>
          <w:rFonts w:ascii="arial" w:eastAsia="arial" w:hAnsi="arial" w:cs="arial"/>
          <w:color w:val="000000"/>
          <w:sz w:val="20"/>
          <w:lang w:val="en-US" w:eastAsia="en-US" w:bidi="ar-SA"/>
        </w:rPr>
        <w:t>  In his s. 170 report, the trustee describes the causes of the bankruptcy as follows: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"Overwhelming debt resulting from ICBC judgment regarding motor vehicle accident resulted in insufficient household income to meet debts and costs of living as they fell due."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53</w:t>
      </w:r>
      <w:r>
        <w:rPr>
          <w:rFonts w:ascii="arial" w:eastAsia="arial" w:hAnsi="arial" w:cs="arial"/>
          <w:color w:val="000000"/>
          <w:sz w:val="20"/>
          <w:lang w:val="en-US" w:eastAsia="en-US" w:bidi="ar-SA"/>
        </w:rPr>
        <w:t>  Further in the report, the trustee denies that the bankrupt can be justly held responsible for any s.173 facts. However, such an opinion from the trustee, without supporting facts or discussion, is not enough to satisfy the bankrupt's onus.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54</w:t>
      </w:r>
      <w:r>
        <w:rPr>
          <w:rFonts w:ascii="arial" w:eastAsia="arial" w:hAnsi="arial" w:cs="arial"/>
          <w:color w:val="000000"/>
          <w:sz w:val="20"/>
          <w:lang w:val="en-US" w:eastAsia="en-US" w:bidi="ar-SA"/>
        </w:rPr>
        <w:t xml:space="preserve">  ICBC relies on </w:t>
      </w:r>
      <w:r>
        <w:rPr>
          <w:rFonts w:ascii="arial" w:eastAsia="arial" w:hAnsi="arial" w:cs="arial"/>
          <w:i/>
          <w:color w:val="000000"/>
          <w:sz w:val="20"/>
          <w:lang w:val="en-US" w:eastAsia="en-US" w:bidi="ar-SA"/>
        </w:rPr>
        <w:t>Kozack v. Richter</w:t>
      </w:r>
      <w:r>
        <w:rPr>
          <w:rFonts w:ascii="arial" w:eastAsia="arial" w:hAnsi="arial" w:cs="arial"/>
          <w:color w:val="000000"/>
          <w:sz w:val="20"/>
          <w:lang w:val="en-US" w:eastAsia="en-US" w:bidi="ar-SA"/>
        </w:rPr>
        <w:t>, supra, for the proposition that it is blameworthy to use the bankruptcy process to avoid payment of a civil judgment.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55</w:t>
      </w:r>
      <w:r>
        <w:rPr>
          <w:rFonts w:ascii="arial" w:eastAsia="arial" w:hAnsi="arial" w:cs="arial"/>
          <w:color w:val="000000"/>
          <w:sz w:val="20"/>
          <w:lang w:val="en-US" w:eastAsia="en-US" w:bidi="ar-SA"/>
        </w:rPr>
        <w:t xml:space="preserve">  In that decision, Mr. Kozack was found justly responsible because of the tortious act underlying the judgment. That decision has been the subject of some critical commentary (see </w:t>
      </w:r>
      <w:r>
        <w:rPr>
          <w:rFonts w:ascii="arial" w:eastAsia="arial" w:hAnsi="arial" w:cs="arial"/>
          <w:i/>
          <w:color w:val="000000"/>
          <w:sz w:val="20"/>
          <w:lang w:val="en-US" w:eastAsia="en-US" w:bidi="ar-SA"/>
        </w:rPr>
        <w:t>Annotation to Kozack v. Richter</w:t>
      </w:r>
      <w:r>
        <w:rPr>
          <w:rFonts w:ascii="arial" w:eastAsia="arial" w:hAnsi="arial" w:cs="arial"/>
          <w:color w:val="000000"/>
          <w:sz w:val="20"/>
          <w:lang w:val="en-US" w:eastAsia="en-US" w:bidi="ar-SA"/>
        </w:rPr>
        <w:t xml:space="preserve"> at 1973 CarswellSask. 5), but still followed in most jurisdictions, including British Columbia.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56</w:t>
      </w:r>
      <w:r>
        <w:rPr>
          <w:rFonts w:ascii="arial" w:eastAsia="arial" w:hAnsi="arial" w:cs="arial"/>
          <w:color w:val="000000"/>
          <w:sz w:val="20"/>
          <w:lang w:val="en-US" w:eastAsia="en-US" w:bidi="ar-SA"/>
        </w:rPr>
        <w:t xml:space="preserve">  ICBC also includes in its brief, the decision of </w:t>
      </w:r>
      <w:r>
        <w:rPr>
          <w:rFonts w:ascii="arial" w:eastAsia="arial" w:hAnsi="arial" w:cs="arial"/>
          <w:i/>
          <w:color w:val="000000"/>
          <w:sz w:val="20"/>
          <w:lang w:val="en-US" w:eastAsia="en-US" w:bidi="ar-SA"/>
        </w:rPr>
        <w:t>Chodos (Re)</w:t>
      </w:r>
      <w:r>
        <w:rPr>
          <w:rFonts w:ascii="arial" w:eastAsia="arial" w:hAnsi="arial" w:cs="arial"/>
          <w:color w:val="000000"/>
          <w:sz w:val="20"/>
          <w:lang w:val="en-US" w:eastAsia="en-US" w:bidi="ar-SA"/>
        </w:rPr>
        <w:t xml:space="preserve"> </w:t>
      </w:r>
      <w:hyperlink r:id="rId349" w:history="1">
        <w:r>
          <w:rPr>
            <w:rFonts w:ascii="arial" w:eastAsia="arial" w:hAnsi="arial" w:cs="arial"/>
            <w:i/>
            <w:color w:val="0077CC"/>
            <w:sz w:val="20"/>
            <w:u w:val="single"/>
            <w:shd w:val="clear" w:color="auto" w:fill="FFFFFF"/>
            <w:lang w:val="en-US" w:eastAsia="en-US" w:bidi="ar-SA"/>
          </w:rPr>
          <w:t>[1992] O.J. No. 84</w:t>
        </w:r>
      </w:hyperlink>
      <w:r>
        <w:rPr>
          <w:rFonts w:ascii="arial" w:eastAsia="arial" w:hAnsi="arial" w:cs="arial"/>
          <w:color w:val="000000"/>
          <w:sz w:val="20"/>
          <w:lang w:val="en-US" w:eastAsia="en-US" w:bidi="ar-SA"/>
        </w:rPr>
        <w:t xml:space="preserve">, </w:t>
      </w:r>
      <w:hyperlink r:id="rId349" w:history="1">
        <w:r>
          <w:rPr>
            <w:rFonts w:ascii="arial" w:eastAsia="arial" w:hAnsi="arial" w:cs="arial"/>
            <w:i/>
            <w:color w:val="0077CC"/>
            <w:sz w:val="20"/>
            <w:u w:val="single"/>
            <w:shd w:val="clear" w:color="auto" w:fill="FFFFFF"/>
            <w:lang w:val="en-US" w:eastAsia="en-US" w:bidi="ar-SA"/>
          </w:rPr>
          <w:t>(1992) 9 C.B.R. (3d) 230</w:t>
        </w:r>
      </w:hyperlink>
      <w:r>
        <w:rPr>
          <w:rFonts w:ascii="arial" w:eastAsia="arial" w:hAnsi="arial" w:cs="arial"/>
          <w:color w:val="000000"/>
          <w:sz w:val="20"/>
          <w:lang w:val="en-US" w:eastAsia="en-US" w:bidi="ar-SA"/>
        </w:rPr>
        <w:t xml:space="preserve"> (Ont. C.J.). After referring to </w:t>
      </w:r>
      <w:r>
        <w:rPr>
          <w:rFonts w:ascii="arial" w:eastAsia="arial" w:hAnsi="arial" w:cs="arial"/>
          <w:i/>
          <w:color w:val="000000"/>
          <w:sz w:val="20"/>
          <w:lang w:val="en-US" w:eastAsia="en-US" w:bidi="ar-SA"/>
        </w:rPr>
        <w:t>Kozack</w:t>
      </w:r>
      <w:r>
        <w:rPr>
          <w:rFonts w:ascii="arial" w:eastAsia="arial" w:hAnsi="arial" w:cs="arial"/>
          <w:color w:val="000000"/>
          <w:sz w:val="20"/>
          <w:lang w:val="en-US" w:eastAsia="en-US" w:bidi="ar-SA"/>
        </w:rPr>
        <w:t>, supra, the court observes that: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There is another line of authority which is of importance in the assessment I must make. The debtor's state of mind in entering bankruptcy is also of importance. If his motivation is simply to escape a particular judgment the Court will scrutinize his application for discharge closely to determine whether he should be permitted merely to get rid of the judgment or whether he can afford to pay something on it in the light of his financial situation as a whole. This principle I take to be slightly different from Kozack in that it is not dependent upon the judgment having arisen out of circumstances for which the debtor can be regarded as morally responsible. It is simply a question of whether or not he has made legitimate use of the bankruptcy process. In this connection, see Re Buell (1955) O.W.N. 421; </w:t>
      </w:r>
      <w:hyperlink r:id="rId350" w:history="1">
        <w:r>
          <w:rPr>
            <w:rFonts w:ascii="arial" w:eastAsia="arial" w:hAnsi="arial" w:cs="arial"/>
            <w:i/>
            <w:color w:val="0077CC"/>
            <w:sz w:val="20"/>
            <w:u w:val="single"/>
            <w:shd w:val="clear" w:color="auto" w:fill="FFFFFF"/>
            <w:lang w:val="en-US" w:eastAsia="en-US" w:bidi="ar-SA"/>
          </w:rPr>
          <w:t>35 C.B.R. 53</w:t>
        </w:r>
      </w:hyperlink>
      <w:r>
        <w:rPr>
          <w:rFonts w:ascii="arial" w:eastAsia="arial" w:hAnsi="arial" w:cs="arial"/>
          <w:color w:val="000000"/>
          <w:sz w:val="20"/>
          <w:lang w:val="en-US" w:eastAsia="en-US" w:bidi="ar-SA"/>
        </w:rPr>
        <w:t xml:space="preserve">; (1955), 40 L.R. 137 (Smiley J., Ont. H.C.J.); Re White </w:t>
      </w:r>
      <w:hyperlink r:id="rId351" w:history="1">
        <w:r>
          <w:rPr>
            <w:rFonts w:ascii="arial" w:eastAsia="arial" w:hAnsi="arial" w:cs="arial"/>
            <w:i/>
            <w:color w:val="0077CC"/>
            <w:sz w:val="20"/>
            <w:u w:val="single"/>
            <w:shd w:val="clear" w:color="auto" w:fill="FFFFFF"/>
            <w:lang w:val="en-US" w:eastAsia="en-US" w:bidi="ar-SA"/>
          </w:rPr>
          <w:t>(1964), 7 C.B.R. (N.S.) 111</w:t>
        </w:r>
      </w:hyperlink>
      <w:r>
        <w:rPr>
          <w:rFonts w:ascii="arial" w:eastAsia="arial" w:hAnsi="arial" w:cs="arial"/>
          <w:color w:val="000000"/>
          <w:sz w:val="20"/>
          <w:lang w:val="en-US" w:eastAsia="en-US" w:bidi="ar-SA"/>
        </w:rPr>
        <w:t xml:space="preserve"> (Ont. H.C.J.).</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57</w:t>
      </w:r>
      <w:r>
        <w:rPr>
          <w:rFonts w:ascii="arial" w:eastAsia="arial" w:hAnsi="arial" w:cs="arial"/>
          <w:color w:val="000000"/>
          <w:sz w:val="20"/>
          <w:lang w:val="en-US" w:eastAsia="en-US" w:bidi="ar-SA"/>
        </w:rPr>
        <w:t>  Mr. Chaytor says that he is not to be blamed for his circumstances. He asks that I revisit the findings made by Shabbits J., particularly with respect to the implied consent to his wife's use of the truck. I decline to enter into any such reconsideration.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58</w:t>
      </w:r>
      <w:r>
        <w:rPr>
          <w:rFonts w:ascii="arial" w:eastAsia="arial" w:hAnsi="arial" w:cs="arial"/>
          <w:color w:val="000000"/>
          <w:sz w:val="20"/>
          <w:lang w:val="en-US" w:eastAsia="en-US" w:bidi="ar-SA"/>
        </w:rPr>
        <w:t>  Mr. Chaytor also urged me to find that ICBC is vindictive both in its pursuit of the Judgment and the position taken at this hearing. As Mr. Chaytor was advised, ICBC is pursuing perfectly lawful remedies in this bankruptcy proceeding.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59</w:t>
      </w:r>
      <w:r>
        <w:rPr>
          <w:rFonts w:ascii="arial" w:eastAsia="arial" w:hAnsi="arial" w:cs="arial"/>
          <w:color w:val="000000"/>
          <w:sz w:val="20"/>
          <w:lang w:val="en-US" w:eastAsia="en-US" w:bidi="ar-SA"/>
        </w:rPr>
        <w:t>  In my view, Mr. Chaytor made use of the bankruptcy process not out of "indifference" to his creditors (</w:t>
      </w:r>
      <w:r>
        <w:rPr>
          <w:rFonts w:ascii="arial" w:eastAsia="arial" w:hAnsi="arial" w:cs="arial"/>
          <w:i/>
          <w:color w:val="000000"/>
          <w:sz w:val="20"/>
          <w:lang w:val="en-US" w:eastAsia="en-US" w:bidi="ar-SA"/>
        </w:rPr>
        <w:t>Re Chodos</w:t>
      </w:r>
      <w:r>
        <w:rPr>
          <w:rFonts w:ascii="arial" w:eastAsia="arial" w:hAnsi="arial" w:cs="arial"/>
          <w:color w:val="000000"/>
          <w:sz w:val="20"/>
          <w:lang w:val="en-US" w:eastAsia="en-US" w:bidi="ar-SA"/>
        </w:rPr>
        <w:t>) but rather because it was the only option available to him given his modest means. Nonetheless, he continues to challenge ICBC's entitlement to the Judgment, and even, to a limited extent, the actions of the deceased immediately preceding the accident. While Mr. Chaytor's actions in impliedly consenting to the use of his vehicle were not "wanton or wilful" (</w:t>
      </w:r>
      <w:r>
        <w:rPr>
          <w:rFonts w:ascii="arial" w:eastAsia="arial" w:hAnsi="arial" w:cs="arial"/>
          <w:i/>
          <w:color w:val="000000"/>
          <w:sz w:val="20"/>
          <w:lang w:val="en-US" w:eastAsia="en-US" w:bidi="ar-SA"/>
        </w:rPr>
        <w:t>Kozack, supra</w:t>
      </w:r>
      <w:r>
        <w:rPr>
          <w:rFonts w:ascii="arial" w:eastAsia="arial" w:hAnsi="arial" w:cs="arial"/>
          <w:b/>
          <w:i/>
          <w:color w:val="000000"/>
          <w:sz w:val="20"/>
          <w:lang w:val="en-US" w:eastAsia="en-US" w:bidi="ar-SA"/>
        </w:rPr>
        <w:t>)</w:t>
      </w:r>
      <w:r>
        <w:rPr>
          <w:rFonts w:ascii="arial" w:eastAsia="arial" w:hAnsi="arial" w:cs="arial"/>
          <w:color w:val="000000"/>
          <w:sz w:val="20"/>
          <w:lang w:val="en-US" w:eastAsia="en-US" w:bidi="ar-SA"/>
        </w:rPr>
        <w:t>, he can be held justly responsible under s. 173(1)(a).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60</w:t>
      </w:r>
      <w:r>
        <w:rPr>
          <w:rFonts w:ascii="arial" w:eastAsia="arial" w:hAnsi="arial" w:cs="arial"/>
          <w:color w:val="000000"/>
          <w:sz w:val="20"/>
          <w:lang w:val="en-US" w:eastAsia="en-US" w:bidi="ar-SA"/>
        </w:rPr>
        <w:t>  Regardless of this finding, the registrar retains the discretion to deny an absolute discharge pursuant to s. 172(1). The bankrupt has not, in my view, accepted responsibility for the situation in which he now finds himself. Even if Mr. Chaytor had met his onus, I would be not be granting an absolute discharge.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61</w:t>
      </w:r>
      <w:r>
        <w:rPr>
          <w:rFonts w:ascii="arial" w:eastAsia="arial" w:hAnsi="arial" w:cs="arial"/>
          <w:color w:val="000000"/>
          <w:sz w:val="20"/>
          <w:lang w:val="en-US" w:eastAsia="en-US" w:bidi="ar-SA"/>
        </w:rPr>
        <w:t>  The vexing question is what type of order is appropriate in this bankrupt's circumstances.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62</w:t>
      </w:r>
      <w:r>
        <w:rPr>
          <w:rFonts w:ascii="arial" w:eastAsia="arial" w:hAnsi="arial" w:cs="arial"/>
          <w:color w:val="000000"/>
          <w:sz w:val="20"/>
          <w:lang w:val="en-US" w:eastAsia="en-US" w:bidi="ar-SA"/>
        </w:rPr>
        <w:t>  ICBC suggests that the discharge either be refused or subject to conditions.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63</w:t>
      </w:r>
      <w:r>
        <w:rPr>
          <w:rFonts w:ascii="arial" w:eastAsia="arial" w:hAnsi="arial" w:cs="arial"/>
          <w:color w:val="000000"/>
          <w:sz w:val="20"/>
          <w:lang w:val="en-US" w:eastAsia="en-US" w:bidi="ar-SA"/>
        </w:rPr>
        <w:t>  It should only be in exceptional circumstances that a discharge is refused. Those circumstances do not exist here, particularly since Mr. Chaytor has complied with all of his duties during the bankruptcy term.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64</w:t>
      </w:r>
      <w:r>
        <w:rPr>
          <w:rFonts w:ascii="arial" w:eastAsia="arial" w:hAnsi="arial" w:cs="arial"/>
          <w:color w:val="000000"/>
          <w:sz w:val="20"/>
          <w:lang w:val="en-US" w:eastAsia="en-US" w:bidi="ar-SA"/>
        </w:rPr>
        <w:t>  The determination of what conditions attach to a discharge is an exercise in judicial discretion. It is, therefore, important to consider some general principles applicable to discharges.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65</w:t>
      </w:r>
      <w:r>
        <w:rPr>
          <w:rFonts w:ascii="arial" w:eastAsia="arial" w:hAnsi="arial" w:cs="arial"/>
          <w:color w:val="000000"/>
          <w:sz w:val="20"/>
          <w:lang w:val="en-US" w:eastAsia="en-US" w:bidi="ar-SA"/>
        </w:rPr>
        <w:t>  The relevant principles include the following:</w:t>
      </w:r>
      <w:r>
        <w:rPr>
          <w:rFonts w:ascii="arial" w:eastAsia="arial" w:hAnsi="arial" w:cs="arial"/>
          <w:sz w:val="20"/>
          <w:lang w:val="en-US" w:eastAsia="en-US" w:bidi="ar-SA"/>
        </w:rPr>
        <w:cr/>
      </w:r>
    </w:p>
    <w:p>
      <w:pPr>
        <w:numPr>
          <w:numId w:val="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In considering discharge, the bankruptcy court must consider the interests of the bankrupt, creditors and the public;</w:t>
      </w:r>
    </w:p>
    <w:p>
      <w:pPr>
        <w:numPr>
          <w:numId w:val="1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 judge or registrar must balance the rehabilitation of the bankrupt with the integrity of the bankruptcy system;</w:t>
      </w:r>
    </w:p>
    <w:p>
      <w:pPr>
        <w:numPr>
          <w:numId w:val="1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It is undesirable that a citizen be so weighed down by debts that he or she is incapable of performing the ordinary duties of citizenship;</w:t>
      </w:r>
    </w:p>
    <w:p>
      <w:pPr>
        <w:numPr>
          <w:numId w:val="1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An object of the </w:t>
      </w:r>
      <w:r>
        <w:rPr>
          <w:rFonts w:ascii="arial" w:eastAsia="arial" w:hAnsi="arial" w:cs="arial"/>
          <w:i/>
          <w:color w:val="000000"/>
          <w:sz w:val="20"/>
          <w:lang w:val="en-US" w:eastAsia="en-US" w:bidi="ar-SA"/>
        </w:rPr>
        <w:t>BIA</w:t>
      </w:r>
      <w:r>
        <w:rPr>
          <w:rFonts w:ascii="arial" w:eastAsia="arial" w:hAnsi="arial" w:cs="arial"/>
          <w:color w:val="000000"/>
          <w:sz w:val="20"/>
          <w:lang w:val="en-US" w:eastAsia="en-US" w:bidi="ar-SA"/>
        </w:rPr>
        <w:t xml:space="preserve"> is to enable an honest debtor, who has made unfortunate business decisions, to make a new start;</w:t>
      </w:r>
    </w:p>
    <w:p>
      <w:pPr>
        <w:numPr>
          <w:numId w:val="1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bankruptcy system should not be viewed as a clearinghouse where debts are liquidated regardless of the circumstances which created them;</w:t>
      </w:r>
    </w:p>
    <w:p>
      <w:pPr>
        <w:numPr>
          <w:numId w:val="1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bankruptcy court should not be seen as a charitable institution;</w:t>
      </w:r>
    </w:p>
    <w:p>
      <w:pPr>
        <w:numPr>
          <w:numId w:val="1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Discharge is not a matter of right; and</w:t>
      </w:r>
    </w:p>
    <w:p>
      <w:pPr>
        <w:numPr>
          <w:numId w:val="16"/>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 bankruptcy court should scrutinize carefully and take a tougher approach to discharge where the assignment is made principally because of a judgment debt.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(see </w:t>
      </w:r>
      <w:r>
        <w:rPr>
          <w:rFonts w:ascii="arial" w:eastAsia="arial" w:hAnsi="arial" w:cs="arial"/>
          <w:i/>
          <w:color w:val="000000"/>
          <w:sz w:val="20"/>
          <w:lang w:val="en-US" w:eastAsia="en-US" w:bidi="ar-SA"/>
        </w:rPr>
        <w:t>Re Raftis</w:t>
      </w:r>
      <w:r>
        <w:rPr>
          <w:rFonts w:ascii="arial" w:eastAsia="arial" w:hAnsi="arial" w:cs="arial"/>
          <w:color w:val="000000"/>
          <w:sz w:val="20"/>
          <w:lang w:val="en-US" w:eastAsia="en-US" w:bidi="ar-SA"/>
        </w:rPr>
        <w:t xml:space="preserve"> </w:t>
      </w:r>
      <w:hyperlink r:id="rId352" w:history="1">
        <w:r>
          <w:rPr>
            <w:rFonts w:ascii="arial" w:eastAsia="arial" w:hAnsi="arial" w:cs="arial"/>
            <w:i/>
            <w:color w:val="0077CC"/>
            <w:sz w:val="20"/>
            <w:u w:val="single"/>
            <w:shd w:val="clear" w:color="auto" w:fill="FFFFFF"/>
            <w:lang w:val="en-US" w:eastAsia="en-US" w:bidi="ar-SA"/>
          </w:rPr>
          <w:t>(1984), 53 C.B.R. (N.S.) 19</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McAfee v. Westmore</w:t>
      </w:r>
      <w:r>
        <w:rPr>
          <w:rFonts w:ascii="arial" w:eastAsia="arial" w:hAnsi="arial" w:cs="arial"/>
          <w:color w:val="000000"/>
          <w:sz w:val="20"/>
          <w:lang w:val="en-US" w:eastAsia="en-US" w:bidi="ar-SA"/>
        </w:rPr>
        <w:t xml:space="preserve"> </w:t>
      </w:r>
      <w:hyperlink r:id="rId353" w:history="1">
        <w:r>
          <w:rPr>
            <w:rFonts w:ascii="arial" w:eastAsia="arial" w:hAnsi="arial" w:cs="arial"/>
            <w:i/>
            <w:color w:val="0077CC"/>
            <w:sz w:val="20"/>
            <w:u w:val="single"/>
            <w:shd w:val="clear" w:color="auto" w:fill="FFFFFF"/>
            <w:lang w:val="en-US" w:eastAsia="en-US" w:bidi="ar-SA"/>
          </w:rPr>
          <w:t>(1988), 23 B.C.L.R. (2d) 273</w:t>
        </w:r>
      </w:hyperlink>
      <w:r>
        <w:rPr>
          <w:rFonts w:ascii="arial" w:eastAsia="arial" w:hAnsi="arial" w:cs="arial"/>
          <w:color w:val="000000"/>
          <w:sz w:val="20"/>
          <w:lang w:val="en-US" w:eastAsia="en-US" w:bidi="ar-SA"/>
        </w:rPr>
        <w:t xml:space="preserve"> (B.C.C.A.), </w:t>
      </w:r>
      <w:r>
        <w:rPr>
          <w:rFonts w:ascii="arial" w:eastAsia="arial" w:hAnsi="arial" w:cs="arial"/>
          <w:i/>
          <w:color w:val="000000"/>
          <w:sz w:val="20"/>
          <w:lang w:val="en-US" w:eastAsia="en-US" w:bidi="ar-SA"/>
        </w:rPr>
        <w:t>Marshall v. Bank of Nova Scotia</w:t>
      </w:r>
      <w:r>
        <w:rPr>
          <w:rFonts w:ascii="arial" w:eastAsia="arial" w:hAnsi="arial" w:cs="arial"/>
          <w:color w:val="000000"/>
          <w:sz w:val="20"/>
          <w:lang w:val="en-US" w:eastAsia="en-US" w:bidi="ar-SA"/>
        </w:rPr>
        <w:t xml:space="preserve"> </w:t>
      </w:r>
      <w:hyperlink r:id="rId354" w:history="1">
        <w:r>
          <w:rPr>
            <w:rFonts w:ascii="arial" w:eastAsia="arial" w:hAnsi="arial" w:cs="arial"/>
            <w:i/>
            <w:color w:val="0077CC"/>
            <w:sz w:val="20"/>
            <w:u w:val="single"/>
            <w:shd w:val="clear" w:color="auto" w:fill="FFFFFF"/>
            <w:lang w:val="en-US" w:eastAsia="en-US" w:bidi="ar-SA"/>
          </w:rPr>
          <w:t>(1986), 62 C.B.R. (N.S.) 118</w:t>
        </w:r>
      </w:hyperlink>
      <w:r>
        <w:rPr>
          <w:rFonts w:ascii="arial" w:eastAsia="arial" w:hAnsi="arial" w:cs="arial"/>
          <w:color w:val="000000"/>
          <w:sz w:val="20"/>
          <w:lang w:val="en-US" w:eastAsia="en-US" w:bidi="ar-SA"/>
        </w:rPr>
        <w:t xml:space="preserve"> (B.C.C.A), </w:t>
      </w:r>
      <w:r>
        <w:rPr>
          <w:rFonts w:ascii="arial" w:eastAsia="arial" w:hAnsi="arial" w:cs="arial"/>
          <w:i/>
          <w:color w:val="000000"/>
          <w:sz w:val="20"/>
          <w:lang w:val="en-US" w:eastAsia="en-US" w:bidi="ar-SA"/>
        </w:rPr>
        <w:t>Re Barnwall</w:t>
      </w:r>
      <w:r>
        <w:rPr>
          <w:rFonts w:ascii="arial" w:eastAsia="arial" w:hAnsi="arial" w:cs="arial"/>
          <w:color w:val="000000"/>
          <w:sz w:val="20"/>
          <w:lang w:val="en-US" w:eastAsia="en-US" w:bidi="ar-SA"/>
        </w:rPr>
        <w:t xml:space="preserve"> </w:t>
      </w:r>
      <w:hyperlink r:id="rId355" w:history="1">
        <w:r>
          <w:rPr>
            <w:rFonts w:ascii="arial" w:eastAsia="arial" w:hAnsi="arial" w:cs="arial"/>
            <w:i/>
            <w:color w:val="0077CC"/>
            <w:sz w:val="20"/>
            <w:u w:val="single"/>
            <w:shd w:val="clear" w:color="auto" w:fill="FFFFFF"/>
            <w:lang w:val="en-US" w:eastAsia="en-US" w:bidi="ar-SA"/>
          </w:rPr>
          <w:t>(1980), 34 C.B.R. (N.S.) 171</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Re Graham</w:t>
      </w:r>
      <w:r>
        <w:rPr>
          <w:rFonts w:ascii="arial" w:eastAsia="arial" w:hAnsi="arial" w:cs="arial"/>
          <w:color w:val="000000"/>
          <w:sz w:val="20"/>
          <w:lang w:val="en-US" w:eastAsia="en-US" w:bidi="ar-SA"/>
        </w:rPr>
        <w:t xml:space="preserve"> </w:t>
      </w:r>
      <w:hyperlink r:id="rId356" w:history="1">
        <w:r>
          <w:rPr>
            <w:rFonts w:ascii="arial" w:eastAsia="arial" w:hAnsi="arial" w:cs="arial"/>
            <w:i/>
            <w:color w:val="0077CC"/>
            <w:sz w:val="20"/>
            <w:u w:val="single"/>
            <w:shd w:val="clear" w:color="auto" w:fill="FFFFFF"/>
            <w:lang w:val="en-US" w:eastAsia="en-US" w:bidi="ar-SA"/>
          </w:rPr>
          <w:t>(1992), 16 C.B.R. (3d) 58</w:t>
        </w:r>
      </w:hyperlink>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66</w:t>
      </w:r>
      <w:r>
        <w:rPr>
          <w:rFonts w:ascii="arial" w:eastAsia="arial" w:hAnsi="arial" w:cs="arial"/>
          <w:color w:val="000000"/>
          <w:sz w:val="20"/>
          <w:lang w:val="en-US" w:eastAsia="en-US" w:bidi="ar-SA"/>
        </w:rPr>
        <w:t>  In general, the bankruptcy courts appear to deal with tortfeasors more harshly than those debtors whose assignments are business-related. The tortfeasor is considered the author of his own misfortune rather than honest but unfortunate. Nonetheless, the courts have imposed a range of conditions to any discharge, depending not only on the debtor's financial circumstances but also on the nature of the tort committed and the circumstances of the tortfeasor's victim.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67</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Kozack</w:t>
      </w:r>
      <w:r>
        <w:rPr>
          <w:rFonts w:ascii="arial" w:eastAsia="arial" w:hAnsi="arial" w:cs="arial"/>
          <w:color w:val="000000"/>
          <w:sz w:val="20"/>
          <w:lang w:val="en-US" w:eastAsia="en-US" w:bidi="ar-SA"/>
        </w:rPr>
        <w:t>, supra, the court ordered payments over an eight year period which represented 50% of the total indebtedness. There is no discussion of the bankrupt's ability to meet this condition. As discussed above, Mr. Kozack was found to have been "grossly negligent" and the payments ordered would be the only compensation to his victim.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68</w:t>
      </w:r>
      <w:r>
        <w:rPr>
          <w:rFonts w:ascii="arial" w:eastAsia="arial" w:hAnsi="arial" w:cs="arial"/>
          <w:color w:val="000000"/>
          <w:sz w:val="20"/>
          <w:lang w:val="en-US" w:eastAsia="en-US" w:bidi="ar-SA"/>
        </w:rPr>
        <w:t xml:space="preserve">  In this province, the courts have typically required the tortfeasor bankrupt to make payments over a three to five year period, requiring monthly instalments based on the </w:t>
      </w:r>
      <w:r>
        <w:rPr>
          <w:rFonts w:ascii="arial" w:eastAsia="arial" w:hAnsi="arial" w:cs="arial"/>
          <w:i/>
          <w:color w:val="000000"/>
          <w:sz w:val="20"/>
          <w:lang w:val="en-US" w:eastAsia="en-US" w:bidi="ar-SA"/>
        </w:rPr>
        <w:t>Superintendent's Guidelines</w:t>
      </w:r>
      <w:r>
        <w:rPr>
          <w:rFonts w:ascii="arial" w:eastAsia="arial" w:hAnsi="arial" w:cs="arial"/>
          <w:color w:val="000000"/>
          <w:sz w:val="20"/>
          <w:lang w:val="en-US" w:eastAsia="en-US" w:bidi="ar-SA"/>
        </w:rPr>
        <w:t>:</w:t>
      </w:r>
      <w:r>
        <w:rPr>
          <w:rFonts w:ascii="arial" w:eastAsia="arial" w:hAnsi="arial" w:cs="arial"/>
          <w:i/>
          <w:color w:val="000000"/>
          <w:sz w:val="20"/>
          <w:lang w:val="en-US" w:eastAsia="en-US" w:bidi="ar-SA"/>
        </w:rPr>
        <w:t>Klassen (Re)</w:t>
      </w:r>
      <w:r>
        <w:rPr>
          <w:rFonts w:ascii="arial" w:eastAsia="arial" w:hAnsi="arial" w:cs="arial"/>
          <w:color w:val="000000"/>
          <w:sz w:val="20"/>
          <w:lang w:val="en-US" w:eastAsia="en-US" w:bidi="ar-SA"/>
        </w:rPr>
        <w:t xml:space="preserve"> </w:t>
      </w:r>
      <w:hyperlink r:id="rId357" w:history="1">
        <w:r>
          <w:rPr>
            <w:rFonts w:ascii="arial" w:eastAsia="arial" w:hAnsi="arial" w:cs="arial"/>
            <w:i/>
            <w:color w:val="0077CC"/>
            <w:sz w:val="20"/>
            <w:u w:val="single"/>
            <w:shd w:val="clear" w:color="auto" w:fill="FFFFFF"/>
            <w:lang w:val="en-US" w:eastAsia="en-US" w:bidi="ar-SA"/>
          </w:rPr>
          <w:t>[1993] B.C.J. No. 3060</w:t>
        </w:r>
      </w:hyperlink>
      <w:r>
        <w:rPr>
          <w:rFonts w:ascii="arial" w:eastAsia="arial" w:hAnsi="arial" w:cs="arial"/>
          <w:color w:val="000000"/>
          <w:sz w:val="20"/>
          <w:lang w:val="en-US" w:eastAsia="en-US" w:bidi="ar-SA"/>
        </w:rPr>
        <w:t xml:space="preserve"> (Registrar), </w:t>
      </w:r>
      <w:r>
        <w:rPr>
          <w:rFonts w:ascii="arial" w:eastAsia="arial" w:hAnsi="arial" w:cs="arial"/>
          <w:i/>
          <w:color w:val="000000"/>
          <w:sz w:val="20"/>
          <w:lang w:val="en-US" w:eastAsia="en-US" w:bidi="ar-SA"/>
        </w:rPr>
        <w:t>D.C.G. (Re)</w:t>
      </w:r>
      <w:r>
        <w:rPr>
          <w:rFonts w:ascii="arial" w:eastAsia="arial" w:hAnsi="arial" w:cs="arial"/>
          <w:color w:val="000000"/>
          <w:sz w:val="20"/>
          <w:lang w:val="en-US" w:eastAsia="en-US" w:bidi="ar-SA"/>
        </w:rPr>
        <w:t xml:space="preserve"> </w:t>
      </w:r>
      <w:hyperlink r:id="rId358" w:history="1">
        <w:r>
          <w:rPr>
            <w:rFonts w:ascii="arial" w:eastAsia="arial" w:hAnsi="arial" w:cs="arial"/>
            <w:i/>
            <w:color w:val="0077CC"/>
            <w:sz w:val="20"/>
            <w:u w:val="single"/>
            <w:shd w:val="clear" w:color="auto" w:fill="FFFFFF"/>
            <w:lang w:val="en-US" w:eastAsia="en-US" w:bidi="ar-SA"/>
          </w:rPr>
          <w:t>[1992] B.C.J. No. 2506</w:t>
        </w:r>
      </w:hyperlink>
      <w:r>
        <w:rPr>
          <w:rFonts w:ascii="arial" w:eastAsia="arial" w:hAnsi="arial" w:cs="arial"/>
          <w:color w:val="000000"/>
          <w:sz w:val="20"/>
          <w:lang w:val="en-US" w:eastAsia="en-US" w:bidi="ar-SA"/>
        </w:rPr>
        <w:t xml:space="preserve"> (S.C.), and </w:t>
      </w:r>
      <w:r>
        <w:rPr>
          <w:rFonts w:ascii="arial" w:eastAsia="arial" w:hAnsi="arial" w:cs="arial"/>
          <w:i/>
          <w:color w:val="000000"/>
          <w:sz w:val="20"/>
          <w:lang w:val="en-US" w:eastAsia="en-US" w:bidi="ar-SA"/>
        </w:rPr>
        <w:t>Re Heinonen</w:t>
      </w:r>
      <w:r>
        <w:rPr>
          <w:rFonts w:ascii="arial" w:eastAsia="arial" w:hAnsi="arial" w:cs="arial"/>
          <w:color w:val="000000"/>
          <w:sz w:val="20"/>
          <w:lang w:val="en-US" w:eastAsia="en-US" w:bidi="ar-SA"/>
        </w:rPr>
        <w:t xml:space="preserve"> </w:t>
      </w:r>
      <w:hyperlink r:id="rId359" w:history="1">
        <w:r>
          <w:rPr>
            <w:rFonts w:ascii="arial" w:eastAsia="arial" w:hAnsi="arial" w:cs="arial"/>
            <w:i/>
            <w:color w:val="0077CC"/>
            <w:sz w:val="20"/>
            <w:u w:val="single"/>
            <w:shd w:val="clear" w:color="auto" w:fill="FFFFFF"/>
            <w:lang w:val="en-US" w:eastAsia="en-US" w:bidi="ar-SA"/>
          </w:rPr>
          <w:t>[1989] B.C.J. No. 1640</w:t>
        </w:r>
      </w:hyperlink>
      <w:r>
        <w:rPr>
          <w:rFonts w:ascii="arial" w:eastAsia="arial" w:hAnsi="arial" w:cs="arial"/>
          <w:color w:val="000000"/>
          <w:sz w:val="20"/>
          <w:lang w:val="en-US" w:eastAsia="en-US" w:bidi="ar-SA"/>
        </w:rPr>
        <w:t xml:space="preserve"> (S.C.). In each of these cases, the court found that the bankrupt had the ability to make the monthly payments.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69</w:t>
      </w:r>
      <w:r>
        <w:rPr>
          <w:rFonts w:ascii="arial" w:eastAsia="arial" w:hAnsi="arial" w:cs="arial"/>
          <w:color w:val="000000"/>
          <w:sz w:val="20"/>
          <w:lang w:val="en-US" w:eastAsia="en-US" w:bidi="ar-SA"/>
        </w:rPr>
        <w:t xml:space="preserve">  In other jurisdictions, the tortfeasor bankrupt has been required to make payments representing less than 5% of the total indebtedness (see </w:t>
      </w:r>
      <w:r>
        <w:rPr>
          <w:rFonts w:ascii="arial" w:eastAsia="arial" w:hAnsi="arial" w:cs="arial"/>
          <w:i/>
          <w:color w:val="000000"/>
          <w:sz w:val="20"/>
          <w:lang w:val="en-US" w:eastAsia="en-US" w:bidi="ar-SA"/>
        </w:rPr>
        <w:t>Re Herrod</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[2000] A.J. No. 189</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2000 ABQB 101</w:t>
      </w:r>
      <w:r>
        <w:rPr>
          <w:rFonts w:ascii="arial" w:eastAsia="arial" w:hAnsi="arial" w:cs="arial"/>
          <w:color w:val="000000"/>
          <w:sz w:val="20"/>
          <w:lang w:val="en-US" w:eastAsia="en-US" w:bidi="ar-SA"/>
        </w:rPr>
        <w:t xml:space="preserve">) to nothing at all (see </w:t>
      </w:r>
      <w:r>
        <w:rPr>
          <w:rFonts w:ascii="arial" w:eastAsia="arial" w:hAnsi="arial" w:cs="arial"/>
          <w:i/>
          <w:color w:val="000000"/>
          <w:sz w:val="20"/>
          <w:lang w:val="en-US" w:eastAsia="en-US" w:bidi="ar-SA"/>
        </w:rPr>
        <w:t>Re Smith</w:t>
      </w:r>
      <w:r>
        <w:rPr>
          <w:rFonts w:ascii="arial" w:eastAsia="arial" w:hAnsi="arial" w:cs="arial"/>
          <w:color w:val="000000"/>
          <w:sz w:val="20"/>
          <w:lang w:val="en-US" w:eastAsia="en-US" w:bidi="ar-SA"/>
        </w:rPr>
        <w:t xml:space="preserve"> </w:t>
      </w:r>
      <w:hyperlink r:id="rId360" w:history="1">
        <w:r>
          <w:rPr>
            <w:rFonts w:ascii="arial" w:eastAsia="arial" w:hAnsi="arial" w:cs="arial"/>
            <w:i/>
            <w:color w:val="0077CC"/>
            <w:sz w:val="20"/>
            <w:u w:val="single"/>
            <w:shd w:val="clear" w:color="auto" w:fill="FFFFFF"/>
            <w:lang w:val="en-US" w:eastAsia="en-US" w:bidi="ar-SA"/>
          </w:rPr>
          <w:t>(1989), 74 Nfld. &amp; P.E.I.R. 284</w:t>
        </w:r>
      </w:hyperlink>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70</w:t>
      </w:r>
      <w:r>
        <w:rPr>
          <w:rFonts w:ascii="arial" w:eastAsia="arial" w:hAnsi="arial" w:cs="arial"/>
          <w:color w:val="000000"/>
          <w:sz w:val="20"/>
          <w:lang w:val="en-US" w:eastAsia="en-US" w:bidi="ar-SA"/>
        </w:rPr>
        <w:t>  As has been stated time and again, each discharge order depends on the peculiar set of circumstances before the bankruptcy court.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71</w:t>
      </w:r>
      <w:r>
        <w:rPr>
          <w:rFonts w:ascii="arial" w:eastAsia="arial" w:hAnsi="arial" w:cs="arial"/>
          <w:color w:val="000000"/>
          <w:sz w:val="20"/>
          <w:lang w:val="en-US" w:eastAsia="en-US" w:bidi="ar-SA"/>
        </w:rPr>
        <w:t>  ICBC submits that all, or substantially all of the Judgment should be paid by the bankrupt as a condition of his discharge. Any such payment would be to the trustee for the general benefit of creditors. However, as the Judgment represents 98% of the bankrupt's debt, the result would be that any payment would be almost entirely to ICBC.</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72</w:t>
      </w:r>
      <w:r>
        <w:rPr>
          <w:rFonts w:ascii="arial" w:eastAsia="arial" w:hAnsi="arial" w:cs="arial"/>
          <w:color w:val="000000"/>
          <w:sz w:val="20"/>
          <w:lang w:val="en-US" w:eastAsia="en-US" w:bidi="ar-SA"/>
        </w:rPr>
        <w:t>  Here, ordering the payment suggested by ICBC would be akin to refusing the discharge as the Chaytors would remain in bankruptcy for perpetuity.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73</w:t>
      </w:r>
      <w:r>
        <w:rPr>
          <w:rFonts w:ascii="arial" w:eastAsia="arial" w:hAnsi="arial" w:cs="arial"/>
          <w:color w:val="000000"/>
          <w:sz w:val="20"/>
          <w:lang w:val="en-US" w:eastAsia="en-US" w:bidi="ar-SA"/>
        </w:rPr>
        <w:t>  The Chaytors were of modest means when the bankruptcy process started. As a result of the Superintendent's decision to cancel Mr. Chaytor's driver's licence, those circumstances have been made even more difficult. Based on Mr. Chaytor's uncontroverted evidence, social assistance will be the only source of income to the family if he is unable to travel to work. To ask the bankrupt to make significant payments from this limited income would not serve the purpose of returning Mr. Chaytor to a productive economic life let alone allow him to maintain a family, including an 11 year old child.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74</w:t>
      </w:r>
      <w:r>
        <w:rPr>
          <w:rFonts w:ascii="arial" w:eastAsia="arial" w:hAnsi="arial" w:cs="arial"/>
          <w:color w:val="000000"/>
          <w:sz w:val="20"/>
          <w:lang w:val="en-US" w:eastAsia="en-US" w:bidi="ar-SA"/>
        </w:rPr>
        <w:t xml:space="preserve">  I also note that in the decisions relied on by ICBC, the courts make reference to the difficult financial circumstances of the bankrupt's main creditor (in many cases, the tortfeasor's injured victim). That appears to have been a strong factor in the court's decision to require payments as a condition of discharge regardless of ability. There is no evidence that ICBC will suffer if it is not fully indemnified for the payment made to Ms. Brown's husband. Absent empirical evidence, I am not prepared to draw the same conclusions of the registrar in </w:t>
      </w:r>
      <w:r>
        <w:rPr>
          <w:rFonts w:ascii="arial" w:eastAsia="arial" w:hAnsi="arial" w:cs="arial"/>
          <w:i/>
          <w:color w:val="000000"/>
          <w:sz w:val="20"/>
          <w:lang w:val="en-US" w:eastAsia="en-US" w:bidi="ar-SA"/>
        </w:rPr>
        <w:t>Sangha (Re</w:t>
      </w:r>
      <w:r>
        <w:rPr>
          <w:rFonts w:ascii="arial" w:eastAsia="arial" w:hAnsi="arial" w:cs="arial"/>
          <w:b/>
          <w:i/>
          <w:color w:val="000000"/>
          <w:sz w:val="20"/>
          <w:lang w:val="en-US" w:eastAsia="en-US" w:bidi="ar-SA"/>
        </w:rPr>
        <w:t>)</w:t>
      </w:r>
      <w:r>
        <w:rPr>
          <w:rFonts w:ascii="arial" w:eastAsia="arial" w:hAnsi="arial" w:cs="arial"/>
          <w:color w:val="000000"/>
          <w:sz w:val="20"/>
          <w:lang w:val="en-US" w:eastAsia="en-US" w:bidi="ar-SA"/>
        </w:rPr>
        <w:t xml:space="preserve"> as to this insurer's future actions if no payments are required of the bankrupt.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75</w:t>
      </w:r>
      <w:r>
        <w:rPr>
          <w:rFonts w:ascii="arial" w:eastAsia="arial" w:hAnsi="arial" w:cs="arial"/>
          <w:color w:val="000000"/>
          <w:sz w:val="20"/>
          <w:lang w:val="en-US" w:eastAsia="en-US" w:bidi="ar-SA"/>
        </w:rPr>
        <w:t>  Nonetheless, in the circumstances of this case, it is appropriate to require Mr. Chaytor to make some payment for the general benefit of creditors as a condition of his discharge. The payment amount will be somewhat arbitrary. It should recognize the true cause of the bankruptcy: Mr. Chaytor's consent to the use of his vehicle by an unlicensed driver and the tragic consequences. It should also balance the right of Mr. Chaytor to eventually start afresh, without being so lenient as to impair the bankruptcy system in the eyes of the general public.</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76</w:t>
      </w:r>
      <w:r>
        <w:rPr>
          <w:rFonts w:ascii="arial" w:eastAsia="arial" w:hAnsi="arial" w:cs="arial"/>
          <w:color w:val="000000"/>
          <w:sz w:val="20"/>
          <w:lang w:val="en-US" w:eastAsia="en-US" w:bidi="ar-SA"/>
        </w:rPr>
        <w:t>  During the bankruptcy term, the Chaytors were able to make payments of $200 to $220 each month to the trustee. However, the ability to pay even that amount is entirely uncertain given the license cancellation. The bankruptcy court has no control over decisions of the Superintendent of Motor Vehicles. However, it would seem counter-productive to ICBC's interests to continue to press its claim with the possible result that it will see no recovery if the bankrupt moves to another country for employment.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77</w:t>
      </w:r>
      <w:r>
        <w:rPr>
          <w:rFonts w:ascii="arial" w:eastAsia="arial" w:hAnsi="arial" w:cs="arial"/>
          <w:color w:val="000000"/>
          <w:sz w:val="20"/>
          <w:lang w:val="en-US" w:eastAsia="en-US" w:bidi="ar-SA"/>
        </w:rPr>
        <w:t>  In the result, I order the bankrupt to pay the sum of $5,000 as a condition of his discharge. I make no order as to a minimum monthly payment given the uncertainty of the Chaytor family income.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COSTS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78</w:t>
      </w:r>
      <w:r>
        <w:rPr>
          <w:rFonts w:ascii="arial" w:eastAsia="arial" w:hAnsi="arial" w:cs="arial"/>
          <w:color w:val="000000"/>
          <w:sz w:val="20"/>
          <w:lang w:val="en-US" w:eastAsia="en-US" w:bidi="ar-SA"/>
        </w:rPr>
        <w:t>  Given the bankrupt's circumstances and the divided success in these applications, I make no order as to costs.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DISTRICT REGISTRAR BOUCK</w:t>
      </w:r>
      <w:r>
        <w:rPr>
          <w:rFonts w:ascii="arial" w:eastAsia="arial" w:hAnsi="arial" w:cs="arial"/>
          <w:sz w:val="20"/>
          <w:lang w:val="en-US" w:eastAsia="en-US" w:bidi="ar-SA"/>
        </w:rPr>
        <w:cr/>
      </w:r>
    </w:p>
    <w:p>
      <w:pPr>
        <w:rPr>
          <w:rFonts w:ascii="arial" w:eastAsia="arial" w:hAnsi="arial" w:cs="arial"/>
          <w:sz w:val="20"/>
          <w:lang w:val="en-US" w:eastAsia="en-US" w:bidi="ar-SA"/>
        </w:rPr>
      </w:pPr>
    </w:p>
    <w:p>
      <w:pPr>
        <w:ind w:left="200"/>
        <w:rPr>
          <w:rFonts w:ascii="arial" w:eastAsia="arial" w:hAnsi="arial" w:cs="arial"/>
          <w:sz w:val="20"/>
          <w:lang w:val="en-US" w:eastAsia="en-US" w:bidi="ar-SA"/>
        </w:rPr>
        <w:sectPr>
          <w:type w:val="continuous"/>
          <w:pgMar w:top="840" w:right="1000" w:bottom="840" w:left="1000" w:header="400" w:footer="400"/>
          <w:pgNumType w:fmt="decimal"/>
          <w:cols w:space="720"/>
        </w:sectPr>
      </w:pPr>
      <w:r>
        <w:rPr>
          <w:rFonts w:ascii="arial" w:eastAsia="arial" w:hAnsi="arial" w:cs="arial"/>
          <w:sz w:val="20"/>
          <w:lang w:val="en-US" w:eastAsia="en-US" w:bidi="ar-SA"/>
        </w:rPr>
        <w:br/>
      </w:r>
      <w:r>
        <w:pict>
          <v:line id="_x0000_s1092" style="position:absolute;z-index:251869184" from="0,10pt" to="512pt,10pt" strokecolor="black" strokeweight="1pt">
            <v:stroke linestyle="single"/>
          </v:line>
        </w:pict>
      </w:r>
      <w:r>
        <w:rPr>
          <w:b/>
          <w:color w:val="767676"/>
          <w:sz w:val="16"/>
          <w:lang w:val="en-US" w:eastAsia="en-US" w:bidi="ar-SA"/>
        </w:rPr>
        <w:t>End of Document</w:t>
      </w:r>
    </w:p>
    <w:p>
      <w:pPr>
        <w:rPr>
          <w:rFonts w:ascii="arial" w:eastAsia="arial" w:hAnsi="arial" w:cs="arial"/>
          <w:sz w:val="20"/>
          <w:lang w:val="en-US" w:eastAsia="en-US" w:bidi="ar-SA"/>
        </w:rPr>
        <w:sectPr>
          <w:headerReference w:type="even" r:id="rId361"/>
          <w:headerReference w:type="default" r:id="rId362"/>
          <w:footerReference w:type="even" r:id="rId363"/>
          <w:footerReference w:type="default" r:id="rId364"/>
          <w:headerReference w:type="first" r:id="rId365"/>
          <w:footerReference w:type="first" r:id="rId366"/>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eastAsia="arial" w:hAnsi="Arial" w:cs="Arial"/>
          <w:b/>
          <w:bCs/>
          <w:kern w:val="32"/>
          <w:sz w:val="32"/>
          <w:szCs w:val="32"/>
          <w:lang w:val="en-US" w:eastAsia="en-US" w:bidi="ar-SA"/>
        </w:rPr>
      </w:pPr>
      <w:hyperlink r:id="rId367" w:history="1">
        <w:r>
          <w:rPr>
            <w:rFonts w:ascii="arial" w:eastAsia="arial" w:hAnsi="arial" w:cs="arial"/>
            <w:b/>
            <w:bCs/>
            <w:i/>
            <w:color w:val="0077CC"/>
            <w:kern w:val="32"/>
            <w:sz w:val="28"/>
            <w:szCs w:val="32"/>
            <w:u w:val="single"/>
            <w:shd w:val="clear" w:color="auto" w:fill="FFFFFF"/>
            <w:lang w:val="en-US" w:eastAsia="en-US" w:bidi="ar-SA"/>
          </w:rPr>
          <w:t>Downs Construction Ltd. v. British Columbia (Workers' Compensation Appeal Tribunal), [2011] B.C.J. No. 1583</w:t>
        </w:r>
      </w:hyperlink>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Judgments</w:t>
      </w:r>
    </w:p>
    <w:p>
      <w:pPr>
        <w:rPr>
          <w:rFonts w:ascii="arial" w:eastAsia="arial" w:hAnsi="arial" w:cs="arial"/>
          <w:sz w:val="20"/>
          <w:lang w:val="en-US" w:eastAsia="en-US" w:bidi="ar-SA"/>
        </w:rPr>
      </w:pP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Victoria, British Columbia</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M.D. Macaulay J. (In Chambers)</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Heard: July 6 and 7, 2011.</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Judgment: August 18, 2011.</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Docket: 10-5153</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Registry: Victoria</w:t>
      </w:r>
    </w:p>
    <w:p>
      <w:pPr>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r>
        <w:rPr>
          <w:rFonts w:ascii="arial" w:eastAsia="arial" w:hAnsi="arial" w:cs="arial"/>
          <w:b/>
          <w:color w:val="000000"/>
          <w:sz w:val="20"/>
          <w:lang w:val="en-US" w:eastAsia="en-US" w:bidi="ar-SA"/>
        </w:rPr>
        <w:t>[2011] B.C.J. No. 1583</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2011 BCSC 1129</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27 Admin. L.R. (5th) 74</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206 A.C.W.S. (3d) 645</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2011 CarswellBC 2165</w:t>
      </w:r>
    </w:p>
    <w:p>
      <w:pPr>
        <w:spacing w:before="120" w:line="260" w:lineRule="atLeast"/>
        <w:rPr>
          <w:rFonts w:ascii="arial" w:eastAsia="arial" w:hAnsi="arial" w:cs="arial"/>
          <w:sz w:val="20"/>
          <w:lang w:val="en-US" w:eastAsia="en-US" w:bidi="ar-SA"/>
        </w:rPr>
      </w:pPr>
      <w:r>
        <w:rPr>
          <w:rFonts w:ascii="arial" w:eastAsia="arial" w:hAnsi="arial" w:cs="arial"/>
          <w:color w:val="000000"/>
          <w:sz w:val="20"/>
          <w:lang w:val="en-US" w:eastAsia="en-US" w:bidi="ar-SA"/>
        </w:rPr>
        <w:t>IN THE MATTER OF the Judicial Review Procedure Act, R.S.B.C. 1996, c. 241; and the Workers Compensation Act, R.S.B.C. 1996, c. 492; and two Decisions of the Workers' Compensation Appeal Tribunal Rendered on October 22, 2010, WCAT Decision Nos. WCAT-2010-02811 and WCAT-2010-02812 Between Downs Construction Ltd. and Jerry Webster, Petitioners, and The Workers' Compensation Appeal Tribunal and Vicki Lynn Christianson, Respondents</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(70 paras.)</w:t>
      </w:r>
    </w:p>
    <w:p>
      <w:pPr>
        <w:keepNext/>
        <w:spacing w:before="12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Case Summary</w:t>
      </w:r>
    </w:p>
    <w:p>
      <w:pPr>
        <w:spacing w:line="60" w:lineRule="exact"/>
        <w:rPr>
          <w:rFonts w:ascii="arial" w:eastAsia="arial" w:hAnsi="arial" w:cs="arial"/>
          <w:sz w:val="20"/>
          <w:lang w:val="en-US" w:eastAsia="en-US" w:bidi="ar-SA"/>
        </w:rPr>
      </w:pPr>
      <w:r>
        <w:pict>
          <v:line id="_x0000_s1093" style="position:absolute;z-index:251672576"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bookmarkStart w:id="86" w:name="Keywords_12"/>
      <w:bookmarkEnd w:id="86"/>
      <w:r>
        <w:rPr>
          <w:rFonts w:ascii="arial" w:eastAsia="arial" w:hAnsi="arial" w:cs="arial"/>
          <w:b/>
          <w:color w:val="000000"/>
          <w:sz w:val="20"/>
          <w:lang w:val="en-US" w:eastAsia="en-US" w:bidi="ar-SA"/>
        </w:rPr>
        <w:t xml:space="preserve">Workplace health, safety and compensation law — Worker's compensation — Election by claimant — To make a claim in tort — When available — Legislation — Interpretation — Appeals and judicial review — Standard of review — Reasonableness — Patent unreasonableness — Application by defendant employer and employee for judicial review of Workers' Compensation Appeal Tribunal decision that the plaintiff's </w:t>
      </w:r>
      <w:r>
        <w:rPr>
          <w:rFonts w:ascii="arial" w:eastAsia="arial" w:hAnsi="arial" w:cs="arial"/>
          <w:b/>
          <w:i/>
          <w:color w:val="000000"/>
          <w:sz w:val="20"/>
          <w:u w:val="single"/>
          <w:lang w:val="en-US" w:eastAsia="en-US" w:bidi="ar-SA"/>
        </w:rPr>
        <w:t>negligence</w:t>
      </w:r>
      <w:r>
        <w:rPr>
          <w:rFonts w:ascii="arial" w:eastAsia="arial" w:hAnsi="arial" w:cs="arial"/>
          <w:b/>
          <w:color w:val="000000"/>
          <w:sz w:val="20"/>
          <w:lang w:val="en-US" w:eastAsia="en-US" w:bidi="ar-SA"/>
        </w:rPr>
        <w:t xml:space="preserve"> claim could proceed as her mental stress did not arise in the course of her employment dismissed — The plaintiff was humiliated by the defendant employee in front of a client over the company radio — She never returned to work after the incident — The decision that the traumatic event was not unexpected was not patently unreasonable — The record showed a history of the defendant's similar conduct towards the plaintiff — The tribunal's interpretation of unexpected was not patently unreasonable.</w:t>
      </w:r>
    </w:p>
    <w:p>
      <w:pPr>
        <w:jc w:val="both"/>
        <w:rPr>
          <w:rFonts w:ascii="arial" w:eastAsia="arial" w:hAnsi="arial" w:cs="arial"/>
          <w:sz w:val="20"/>
          <w:lang w:val="en-US" w:eastAsia="en-US" w:bidi="ar-SA"/>
        </w:rPr>
      </w:pPr>
      <w:bookmarkStart w:id="87" w:name="Legislation Cited_8"/>
      <w:bookmarkEnd w:id="87"/>
      <w:r>
        <w:rPr>
          <w:rFonts w:ascii="arial" w:eastAsia="arial" w:hAnsi="arial" w:cs="arial"/>
          <w:sz w:val="20"/>
          <w:lang w:val="en-US" w:eastAsia="en-US" w:bidi="ar-SA"/>
        </w:rPr>
        <w:br/>
      </w:r>
    </w:p>
    <w:p>
      <w:pPr>
        <w:keepNext/>
        <w:spacing w:before="24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Statutes, Regulations and Rules Cited:</w:t>
      </w:r>
    </w:p>
    <w:p>
      <w:pPr>
        <w:spacing w:line="60" w:lineRule="exact"/>
        <w:rPr>
          <w:rFonts w:ascii="arial" w:eastAsia="arial" w:hAnsi="arial" w:cs="arial"/>
          <w:sz w:val="20"/>
          <w:lang w:val="en-US" w:eastAsia="en-US" w:bidi="ar-SA"/>
        </w:rPr>
      </w:pPr>
      <w:r>
        <w:pict>
          <v:line id="_x0000_s1094" style="position:absolute;z-index:251723776"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Administrative Tribunals Act, </w:t>
      </w:r>
      <w:hyperlink r:id="rId368" w:history="1">
        <w:r>
          <w:rPr>
            <w:rFonts w:ascii="arial" w:eastAsia="arial" w:hAnsi="arial" w:cs="arial"/>
            <w:i/>
            <w:color w:val="0077CC"/>
            <w:sz w:val="20"/>
            <w:u w:val="single"/>
            <w:shd w:val="clear" w:color="auto" w:fill="FFFFFF"/>
            <w:lang w:val="en-US" w:eastAsia="en-US" w:bidi="ar-SA"/>
          </w:rPr>
          <w:t>SBC 2004, CHAPTER 45, s. 58</w:t>
        </w:r>
      </w:hyperlink>
      <w:r>
        <w:rPr>
          <w:rFonts w:ascii="arial" w:eastAsia="arial" w:hAnsi="arial" w:cs="arial"/>
          <w:color w:val="000000"/>
          <w:sz w:val="20"/>
          <w:lang w:val="en-US" w:eastAsia="en-US" w:bidi="ar-SA"/>
        </w:rPr>
        <w:t>, s. 58(2)(a), s. 58(2)(b), s. 58(2)(c), s. 59</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Canadian Charter of Rights and Freedoms, 1982, R.S.C. 1985, App. II, No. 44, Schedule B, s. 1, s. 15(1)</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Judicial Review Procedure Act, </w:t>
      </w:r>
      <w:r>
        <w:rPr>
          <w:rFonts w:ascii="arial" w:eastAsia="arial" w:hAnsi="arial" w:cs="arial"/>
          <w:i/>
          <w:color w:val="000000"/>
          <w:sz w:val="20"/>
          <w:lang w:val="en-US" w:eastAsia="en-US" w:bidi="ar-SA"/>
        </w:rPr>
        <w:t>RSBC 1996, CHAPTER 241</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Rehabilitation Services and Claims Manual, Volume II, Policy item 13.30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Residential Tenancy Act, </w:t>
      </w:r>
      <w:r>
        <w:rPr>
          <w:rFonts w:ascii="arial" w:eastAsia="arial" w:hAnsi="arial" w:cs="arial"/>
          <w:i/>
          <w:color w:val="000000"/>
          <w:sz w:val="20"/>
          <w:lang w:val="en-US" w:eastAsia="en-US" w:bidi="ar-SA"/>
        </w:rPr>
        <w:t>SBC 2002, CHAPTER 78</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Workers Compensation Act, </w:t>
      </w:r>
      <w:r>
        <w:rPr>
          <w:rFonts w:ascii="arial" w:eastAsia="arial" w:hAnsi="arial" w:cs="arial"/>
          <w:i/>
          <w:color w:val="000000"/>
          <w:sz w:val="20"/>
          <w:lang w:val="en-US" w:eastAsia="en-US" w:bidi="ar-SA"/>
        </w:rPr>
        <w:t>RSBC 1996, CHAPTER 492</w:t>
      </w:r>
      <w:r>
        <w:rPr>
          <w:rFonts w:ascii="arial" w:eastAsia="arial" w:hAnsi="arial" w:cs="arial"/>
          <w:color w:val="000000"/>
          <w:sz w:val="20"/>
          <w:lang w:val="en-US" w:eastAsia="en-US" w:bidi="ar-SA"/>
        </w:rPr>
        <w:t>, Part 1, Part 4, s. 1, s. 5, s. 5(1), s. 5.1, s. 5.1(1)(a), s. 10, s. 10(1), s. 82(1)(a), s. 96, s. 96(a), s. 250(2), s. 254, s. 255, s. 257, s. 257(2)</w:t>
      </w:r>
      <w:r>
        <w:rPr>
          <w:rFonts w:ascii="arial" w:eastAsia="arial" w:hAnsi="arial" w:cs="arial"/>
          <w:sz w:val="20"/>
          <w:lang w:val="en-US" w:eastAsia="en-US" w:bidi="ar-SA"/>
        </w:rPr>
        <w:cr/>
      </w:r>
    </w:p>
    <w:p>
      <w:pPr>
        <w:rPr>
          <w:rFonts w:ascii="arial" w:eastAsia="arial" w:hAnsi="arial" w:cs="arial"/>
          <w:sz w:val="20"/>
          <w:lang w:val="en-US" w:eastAsia="en-US" w:bidi="ar-SA"/>
        </w:rPr>
      </w:pPr>
    </w:p>
    <w:tbl>
      <w:tblPr>
        <w:tblStyle w:val="TableNormal"/>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
      <w:tblGrid>
        <w:gridCol w:w="10225"/>
      </w:tblGrid>
      <w:tr>
        <w:tblPrEx>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Ex>
        <w:tc>
          <w:tcPr/>
          <w:p>
            <w:pPr>
              <w:rPr>
                <w:rFonts w:ascii="arial" w:eastAsia="arial" w:hAnsi="arial" w:cs="arial"/>
                <w:sz w:val="20"/>
                <w:lang w:val="en-US" w:eastAsia="en-US" w:bidi="ar-SA"/>
              </w:rPr>
            </w:pPr>
            <w:bookmarkStart w:id="88" w:name="Case Summary_11"/>
            <w:bookmarkEnd w:id="88"/>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On judicial review from two Decisions of the Workers' Compensation Appeal Tribunal Rendered on October 22, 2010, WCAT Decision Nos. WCAT-2010-02811 and WCAT-2010-02812 </w:t>
            </w:r>
            <w:r>
              <w:rPr>
                <w:rFonts w:ascii="arial" w:eastAsia="arial" w:hAnsi="arial" w:cs="arial"/>
                <w:sz w:val="20"/>
                <w:lang w:val="en-US" w:eastAsia="en-US" w:bidi="ar-SA"/>
              </w:rPr>
              <w:cr/>
            </w:r>
          </w:p>
          <w:p>
            <w:pPr>
              <w:rPr>
                <w:rFonts w:ascii="arial" w:eastAsia="arial" w:hAnsi="arial" w:cs="arial"/>
                <w:sz w:val="20"/>
                <w:lang w:val="en-US" w:eastAsia="en-US" w:bidi="ar-SA"/>
              </w:rPr>
            </w:pPr>
          </w:p>
        </w:tc>
      </w:tr>
    </w:tbl>
    <w:p>
      <w:pPr>
        <w:jc w:val="both"/>
        <w:rPr>
          <w:rFonts w:ascii="arial" w:eastAsia="arial" w:hAnsi="arial" w:cs="arial"/>
          <w:sz w:val="20"/>
          <w:lang w:val="en-US" w:eastAsia="en-US" w:bidi="ar-SA"/>
        </w:rPr>
      </w:pPr>
      <w:bookmarkStart w:id="89" w:name="Counsel_12"/>
      <w:bookmarkEnd w:id="89"/>
      <w:r>
        <w:rPr>
          <w:rFonts w:ascii="arial" w:eastAsia="arial" w:hAnsi="arial" w:cs="arial"/>
          <w:sz w:val="20"/>
          <w:lang w:val="en-US" w:eastAsia="en-US" w:bidi="ar-SA"/>
        </w:rPr>
        <w:br/>
      </w:r>
    </w:p>
    <w:p>
      <w:pPr>
        <w:keepNext/>
        <w:spacing w:before="24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Counsel</w:t>
      </w:r>
    </w:p>
    <w:p>
      <w:pPr>
        <w:spacing w:line="60" w:lineRule="exact"/>
        <w:rPr>
          <w:rFonts w:ascii="arial" w:eastAsia="arial" w:hAnsi="arial" w:cs="arial"/>
          <w:sz w:val="20"/>
          <w:lang w:val="en-US" w:eastAsia="en-US" w:bidi="ar-SA"/>
        </w:rPr>
      </w:pPr>
      <w:r>
        <w:pict>
          <v:line id="_x0000_s1095" style="position:absolute;z-index:251774976"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Counsel for the Petitioner, Downs Construction Ltd.: L.A. Slater.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Counsel for the Petitioner, Jerry Webster: H.F. Turnham.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Counsel for the Respondent, Workers' Compensation Appeal Tribunal: W.A. Pylypchuk.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Counsel for the Respondent, Vicki Lynn Christianson: M.N. Hillard.</w:t>
      </w:r>
      <w:r>
        <w:rPr>
          <w:rFonts w:ascii="arial" w:eastAsia="arial" w:hAnsi="arial" w:cs="arial"/>
          <w:sz w:val="20"/>
          <w:lang w:val="en-US" w:eastAsia="en-US" w:bidi="ar-SA"/>
        </w:rPr>
        <w:cr/>
      </w:r>
    </w:p>
    <w:p>
      <w:pPr>
        <w:spacing w:after="240"/>
        <w:rPr>
          <w:rFonts w:ascii="arial" w:eastAsia="arial" w:hAnsi="arial" w:cs="arial"/>
          <w:sz w:val="20"/>
          <w:lang w:val="en-US" w:eastAsia="en-US" w:bidi="ar-SA"/>
        </w:rPr>
      </w:pPr>
      <w:bookmarkStart w:id="90" w:name="Judgment_13"/>
      <w:bookmarkEnd w:id="90"/>
      <w:r>
        <w:pict>
          <v:line id="_x0000_s1096" style="position:absolute;z-index:251824128" from="0,12pt" to="512pt,12pt" strokecolor="#009ddb" strokeweight="1.5pt">
            <v:stroke linestyle="single"/>
          </v:line>
        </w:pict>
      </w:r>
    </w:p>
    <w:p>
      <w:pPr>
        <w:spacing w:before="120" w:line="260" w:lineRule="atLeast"/>
        <w:jc w:val="center"/>
        <w:rPr>
          <w:rFonts w:ascii="arial" w:eastAsia="arial" w:hAnsi="arial" w:cs="arial"/>
          <w:sz w:val="20"/>
          <w:lang w:val="en-US" w:eastAsia="en-US" w:bidi="ar-SA"/>
        </w:rPr>
      </w:pPr>
      <w:r>
        <w:rPr>
          <w:rFonts w:ascii="arial" w:eastAsia="arial" w:hAnsi="arial" w:cs="arial"/>
          <w:b/>
          <w:color w:val="000000"/>
          <w:sz w:val="20"/>
          <w:lang w:val="en-US" w:eastAsia="en-US" w:bidi="ar-SA"/>
        </w:rPr>
        <w:t>Reasons for Judgment</w:t>
      </w:r>
      <w:r>
        <w:rPr>
          <w:rFonts w:ascii="arial" w:eastAsia="arial" w:hAnsi="arial" w:cs="arial"/>
          <w:sz w:val="20"/>
          <w:lang w:val="en-US" w:eastAsia="en-US" w:bidi="ar-SA"/>
        </w:rPr>
        <w:cr/>
      </w:r>
    </w:p>
    <w:p>
      <w:pPr>
        <w:rPr>
          <w:rFonts w:ascii="arial" w:eastAsia="arial" w:hAnsi="arial" w:cs="arial"/>
          <w:sz w:val="20"/>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3037"/>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rFonts w:ascii="arial" w:eastAsia="arial" w:hAnsi="arial" w:cs="arial"/>
                <w:sz w:val="20"/>
                <w:lang w:val="en-US" w:eastAsia="en-US" w:bidi="ar-SA"/>
              </w:rPr>
            </w:pPr>
            <w:bookmarkStart w:id="91" w:name="M.D. MACAULAY J."/>
            <w:bookmarkEnd w:id="91"/>
            <w:r>
              <w:rPr>
                <w:rFonts w:ascii="arial" w:eastAsia="arial" w:hAnsi="arial" w:cs="arial"/>
                <w:b/>
                <w:color w:val="000000"/>
                <w:sz w:val="30"/>
                <w:lang w:val="en-US" w:eastAsia="en-US" w:bidi="ar-SA"/>
              </w:rPr>
              <w:t>M.D. MACAULAY J.</w:t>
            </w:r>
          </w:p>
        </w:tc>
      </w:tr>
    </w:tbl>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i/>
          <w:color w:val="000000"/>
          <w:sz w:val="20"/>
          <w:lang w:val="en-US" w:eastAsia="en-US" w:bidi="ar-SA"/>
        </w:rPr>
        <w:t>INTRODUCTION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The petitioners, Downs Construction Ltd. ("DCL") and Jerry Webster ("Webster"), are respectively an employer and employee. At all material times, DCL was engaged in the business of fire and flood restoration. Webster was a project manager with DCL. The respondent, Vicki Lynn Christianson ("Christianson"), was also an employee of DCL and worked on projects under the direction of Webster.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xml:space="preserve">  The petitioners seek, pursuant to the </w:t>
      </w:r>
      <w:r>
        <w:rPr>
          <w:rFonts w:ascii="arial" w:eastAsia="arial" w:hAnsi="arial" w:cs="arial"/>
          <w:i/>
          <w:color w:val="000000"/>
          <w:sz w:val="20"/>
          <w:lang w:val="en-US" w:eastAsia="en-US" w:bidi="ar-SA"/>
        </w:rPr>
        <w:t>Judicial Review Procedure Act,</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R.S.B.C. 1996, c. 241</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JRPA</w:t>
      </w:r>
      <w:r>
        <w:rPr>
          <w:rFonts w:ascii="arial" w:eastAsia="arial" w:hAnsi="arial" w:cs="arial"/>
          <w:color w:val="000000"/>
          <w:sz w:val="20"/>
          <w:lang w:val="en-US" w:eastAsia="en-US" w:bidi="ar-SA"/>
        </w:rPr>
        <w:t xml:space="preserve">"), to set aside the decisions of the respondent, Workers' Compensation Appeal Tribunal ("WCAT"), dated October 22, 2010, and identified as decisions numbered WCAT-2010-02811/WCAT-2010-02812 (the "decisions") as well as the certificate that the WCAT issued pursuant to s. 257 of the </w:t>
      </w:r>
      <w:r>
        <w:rPr>
          <w:rFonts w:ascii="arial" w:eastAsia="arial" w:hAnsi="arial" w:cs="arial"/>
          <w:i/>
          <w:color w:val="000000"/>
          <w:sz w:val="20"/>
          <w:lang w:val="en-US" w:eastAsia="en-US" w:bidi="ar-SA"/>
        </w:rPr>
        <w:t>Workers Compensation Act</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R.S.B.C. 1996, c. 492</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WCA</w:t>
      </w:r>
      <w:r>
        <w:rPr>
          <w:rFonts w:ascii="arial" w:eastAsia="arial" w:hAnsi="arial" w:cs="arial"/>
          <w:color w:val="000000"/>
          <w:sz w:val="20"/>
          <w:lang w:val="en-US" w:eastAsia="en-US" w:bidi="ar-SA"/>
        </w:rPr>
        <w:t>"), consequent upon the decisions. The petitioners seek a further order remitting the matters to the WCAT for reconsideration.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xml:space="preserve">  After an incident occurred at work on January 12, 2006, Christianson left her employment at DCL and never returned. In January 2008, Christianson commenced a Supreme Court action alleging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and breach of contract against DCL and Webster seeking damages for personal injury, including mental distress. DCL defended, in part, relying on s. 257 of the </w:t>
      </w:r>
      <w:r>
        <w:rPr>
          <w:rFonts w:ascii="arial" w:eastAsia="arial" w:hAnsi="arial" w:cs="arial"/>
          <w:i/>
          <w:color w:val="000000"/>
          <w:sz w:val="20"/>
          <w:lang w:val="en-US" w:eastAsia="en-US" w:bidi="ar-SA"/>
        </w:rPr>
        <w:t>WCA</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xml:space="preserve">  Section 257(2) of the </w:t>
      </w:r>
      <w:r>
        <w:rPr>
          <w:rFonts w:ascii="arial" w:eastAsia="arial" w:hAnsi="arial" w:cs="arial"/>
          <w:i/>
          <w:color w:val="000000"/>
          <w:sz w:val="20"/>
          <w:lang w:val="en-US" w:eastAsia="en-US" w:bidi="ar-SA"/>
        </w:rPr>
        <w:t>WCA</w:t>
      </w:r>
      <w:r>
        <w:rPr>
          <w:rFonts w:ascii="arial" w:eastAsia="arial" w:hAnsi="arial" w:cs="arial"/>
          <w:color w:val="000000"/>
          <w:sz w:val="20"/>
          <w:lang w:val="en-US" w:eastAsia="en-US" w:bidi="ar-SA"/>
        </w:rPr>
        <w:t xml:space="preserve"> permits WCAT to determine, upon the request of a party to an action based on personal injury, whether:</w:t>
      </w:r>
      <w:r>
        <w:rPr>
          <w:rFonts w:ascii="arial" w:eastAsia="arial" w:hAnsi="arial" w:cs="arial"/>
          <w:sz w:val="20"/>
          <w:lang w:val="en-US" w:eastAsia="en-US" w:bidi="ar-SA"/>
        </w:rPr>
        <w:cr/>
      </w:r>
    </w:p>
    <w:p>
      <w:pPr>
        <w:numPr>
          <w:numId w:val="8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 person was, at the time the cause of action arose, a worker,</w:t>
      </w:r>
    </w:p>
    <w:p>
      <w:pPr>
        <w:numPr>
          <w:numId w:val="8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injury, disability or death of a worker arose out of, and in the course of, the worker's employment,</w:t>
      </w:r>
    </w:p>
    <w:p>
      <w:pPr>
        <w:numPr>
          <w:numId w:val="8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an employer or the employer's servant or agent was, at the time the cause of action arose, employed by another employer, or</w:t>
      </w:r>
    </w:p>
    <w:p>
      <w:pPr>
        <w:numPr>
          <w:numId w:val="8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an employer was, at the time the cause of action arose, engaged in an industry within the meaning of Part 1.</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If the WCAT determined all these issues in the affirmative, the defendants to the action could then rely on the prohibition against suing employers and co-workers found in s. 10(1) of Part 1 of the </w:t>
      </w:r>
      <w:r>
        <w:rPr>
          <w:rFonts w:ascii="arial" w:eastAsia="arial" w:hAnsi="arial" w:cs="arial"/>
          <w:i/>
          <w:color w:val="000000"/>
          <w:sz w:val="20"/>
          <w:lang w:val="en-US" w:eastAsia="en-US" w:bidi="ar-SA"/>
        </w:rPr>
        <w:t>WCA</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xml:space="preserve">  Part 1 governs workers compensation claims brought under the </w:t>
      </w:r>
      <w:r>
        <w:rPr>
          <w:rFonts w:ascii="arial" w:eastAsia="arial" w:hAnsi="arial" w:cs="arial"/>
          <w:i/>
          <w:color w:val="000000"/>
          <w:sz w:val="20"/>
          <w:lang w:val="en-US" w:eastAsia="en-US" w:bidi="ar-SA"/>
        </w:rPr>
        <w:t>WCA</w:t>
      </w:r>
      <w:r>
        <w:rPr>
          <w:rFonts w:ascii="arial" w:eastAsia="arial" w:hAnsi="arial" w:cs="arial"/>
          <w:color w:val="000000"/>
          <w:sz w:val="20"/>
          <w:lang w:val="en-US" w:eastAsia="en-US" w:bidi="ar-SA"/>
        </w:rPr>
        <w:t xml:space="preserve"> and includes ss. 5 and 5.1 to be discussed later. Section 10(1) prevents an injured worker from suing an employer or co-worker for conduct in breach of a duty arising out of and in the course of employment, "in respect of any personal injury, disablement or death arising out of and in the course of employment and no action in respect of it lies."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xml:space="preserve">  In March 2008, Christianson applied to the Workers' Compensation Board (the "Board") under Part 1 claiming compensation for post-traumatic stress disorder ("PTSD"), humiliation, emotional stress and loss of sleep. Ultimately, after a number of lower level decisions, on October 22, 2010, the WCAT issued reasons upholding earlier decisions that rejected Christianson's claim. In particular, the WCAT concluded that the event giving rise to the claim was not unexpected as required by s. 5.1(1)(a) of the </w:t>
      </w:r>
      <w:r>
        <w:rPr>
          <w:rFonts w:ascii="arial" w:eastAsia="arial" w:hAnsi="arial" w:cs="arial"/>
          <w:i/>
          <w:color w:val="000000"/>
          <w:sz w:val="20"/>
          <w:lang w:val="en-US" w:eastAsia="en-US" w:bidi="ar-SA"/>
        </w:rPr>
        <w:t>WCA</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Also on October 22, 2010, and upon application by DCL, the WCAT issued a certificate under s. 257(2) answering all but one of the questions in the affirmative. The exception, answered in the negative, is as follows:</w:t>
      </w:r>
      <w:r>
        <w:rPr>
          <w:rFonts w:ascii="arial" w:eastAsia="arial" w:hAnsi="arial" w:cs="arial"/>
          <w:sz w:val="20"/>
          <w:lang w:val="en-US" w:eastAsia="en-US" w:bidi="ar-SA"/>
        </w:rPr>
        <w:cr/>
      </w:r>
    </w:p>
    <w:p>
      <w:pPr>
        <w:numPr>
          <w:numId w:val="2"/>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mental stress injury suffered by the Plaintiff, VICKI LYNN CHRISTIANSON, did not arise out of and in the course of her employment within the scope of Part 1 of the </w:t>
      </w:r>
      <w:r>
        <w:rPr>
          <w:rFonts w:ascii="arial" w:eastAsia="arial" w:hAnsi="arial" w:cs="arial"/>
          <w:i/>
          <w:color w:val="000000"/>
          <w:sz w:val="20"/>
          <w:lang w:val="en-US" w:eastAsia="en-US" w:bidi="ar-SA"/>
        </w:rPr>
        <w:t>Workers' Compensation Act.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i/>
          <w:color w:val="000000"/>
          <w:sz w:val="20"/>
          <w:lang w:val="en-US" w:eastAsia="en-US" w:bidi="ar-SA"/>
        </w:rPr>
        <w:t>Issues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DCL and Webster raise three main issues:</w:t>
      </w:r>
      <w:r>
        <w:rPr>
          <w:rFonts w:ascii="arial" w:eastAsia="arial" w:hAnsi="arial" w:cs="arial"/>
          <w:sz w:val="20"/>
          <w:lang w:val="en-US" w:eastAsia="en-US" w:bidi="ar-SA"/>
        </w:rPr>
        <w:cr/>
      </w:r>
    </w:p>
    <w:p>
      <w:pPr>
        <w:numPr>
          <w:numId w:val="3"/>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standard of review applicable to findings of mixed fact and law made under the </w:t>
      </w:r>
      <w:r>
        <w:rPr>
          <w:rFonts w:ascii="arial" w:eastAsia="arial" w:hAnsi="arial" w:cs="arial"/>
          <w:i/>
          <w:color w:val="000000"/>
          <w:sz w:val="20"/>
          <w:lang w:val="en-US" w:eastAsia="en-US" w:bidi="ar-SA"/>
        </w:rPr>
        <w:t>WCA</w:t>
      </w:r>
      <w:r>
        <w:rPr>
          <w:rFonts w:ascii="arial" w:eastAsia="arial" w:hAnsi="arial" w:cs="arial"/>
          <w:color w:val="000000"/>
          <w:sz w:val="20"/>
          <w:lang w:val="en-US" w:eastAsia="en-US" w:bidi="ar-SA"/>
        </w:rPr>
        <w:t>;</w:t>
      </w:r>
    </w:p>
    <w:p>
      <w:pPr>
        <w:numPr>
          <w:numId w:val="3"/>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That the WCAT erred, whether on a standard of correctness or patent unreasonableness, in concluding that the event was not unexpected;</w:t>
      </w:r>
    </w:p>
    <w:p>
      <w:pPr>
        <w:numPr>
          <w:numId w:val="3"/>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That the WCAT further erred, whether on a standard of correctness or patent unreasonableness, in concluding, for the purpose of s. 257(2), that the plaintiff's mental stress injury did not arise out of and in the course of her employment within the scope of Part 1 of the </w:t>
      </w:r>
      <w:r>
        <w:rPr>
          <w:rFonts w:ascii="arial" w:eastAsia="arial" w:hAnsi="arial" w:cs="arial"/>
          <w:i/>
          <w:color w:val="000000"/>
          <w:sz w:val="20"/>
          <w:lang w:val="en-US" w:eastAsia="en-US" w:bidi="ar-SA"/>
        </w:rPr>
        <w:t>WCA</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i/>
          <w:color w:val="000000"/>
          <w:sz w:val="20"/>
          <w:lang w:val="en-US" w:eastAsia="en-US" w:bidi="ar-SA"/>
        </w:rPr>
        <w:t>Decision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For the reasons that follow, I conclude that the standard of review is patent unreasonableness, the most deferential standard possible. I also conclude that the petitioners failed to demonstrate that the WCAT, finding that the event was not unexpected, is patently unreasonable or that the WCAT conclusion, for the purpose of s. 257(2) set out above, was patently unreasonable.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i/>
          <w:color w:val="000000"/>
          <w:sz w:val="20"/>
          <w:lang w:val="en-US" w:eastAsia="en-US" w:bidi="ar-SA"/>
        </w:rPr>
        <w:t>Standard of Review</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xml:space="preserve">  The </w:t>
      </w:r>
      <w:r>
        <w:rPr>
          <w:rFonts w:ascii="arial" w:eastAsia="arial" w:hAnsi="arial" w:cs="arial"/>
          <w:i/>
          <w:color w:val="000000"/>
          <w:sz w:val="20"/>
          <w:lang w:val="en-US" w:eastAsia="en-US" w:bidi="ar-SA"/>
        </w:rPr>
        <w:t>WCA</w:t>
      </w:r>
      <w:r>
        <w:rPr>
          <w:rFonts w:ascii="arial" w:eastAsia="arial" w:hAnsi="arial" w:cs="arial"/>
          <w:color w:val="000000"/>
          <w:sz w:val="20"/>
          <w:lang w:val="en-US" w:eastAsia="en-US" w:bidi="ar-SA"/>
        </w:rPr>
        <w:t xml:space="preserve"> contains privative clauses in ss. 96, 254 and 255. The WCAT is the appeal tribunal referred to in the sections (s. 1). The privative clauses read as follows: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Jurisdiction of Board</w:t>
      </w:r>
    </w:p>
    <w:p>
      <w:pPr>
        <w:spacing w:before="120"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96</w:t>
      </w:r>
      <w:r>
        <w:rPr>
          <w:rFonts w:ascii="arial" w:eastAsia="arial" w:hAnsi="arial" w:cs="arial"/>
          <w:color w:val="000000"/>
          <w:sz w:val="20"/>
          <w:lang w:val="en-US" w:eastAsia="en-US" w:bidi="ar-SA"/>
        </w:rPr>
        <w:t xml:space="preserve"> Subject to [administrative rights of appeal], the Board has exclusive jurisdiction to inquire into, hear and determine all matters and questions of fact and law arising under this Part, and the action or decision of the Board on them is final and conclusive and is not open to question or review in any court, ... and, without restricting the generality of the foregoing, the Board has exclusive jurisdiction to inquire into, hear and determine</w:t>
      </w:r>
    </w:p>
    <w:p>
      <w:pPr>
        <w:numPr>
          <w:numId w:val="4"/>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the question whether an injury has arisen out of or in the course of an employment within the scope of this Part;</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Exclusive jurisdiction</w:t>
      </w:r>
    </w:p>
    <w:p>
      <w:pPr>
        <w:spacing w:before="120"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254</w:t>
      </w:r>
      <w:r>
        <w:rPr>
          <w:rFonts w:ascii="arial" w:eastAsia="arial" w:hAnsi="arial" w:cs="arial"/>
          <w:color w:val="000000"/>
          <w:sz w:val="20"/>
          <w:lang w:val="en-US" w:eastAsia="en-US" w:bidi="ar-SA"/>
        </w:rPr>
        <w:t xml:space="preserve"> The appeal tribunal has exclusive jurisdiction to inquire into, hear and determine all those matters and questions of fact, law and discretion arising or required to be determined under this Part and to make any order permitted to be made, including the following:</w:t>
      </w:r>
    </w:p>
    <w:p>
      <w:pPr>
        <w:numPr>
          <w:numId w:val="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all appeals from reviewing officers' decisions as permitted under section 239;</w:t>
      </w:r>
    </w:p>
    <w:p>
      <w:pPr>
        <w:numPr>
          <w:numId w:val="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all appeals from Board decisions or orders as permitted under section 240;</w:t>
      </w:r>
    </w:p>
    <w:p>
      <w:pPr>
        <w:numPr>
          <w:numId w:val="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all matters that the appeal tribunal is requested to determine under section 257;</w:t>
      </w:r>
    </w:p>
    <w:p>
      <w:pPr>
        <w:numPr>
          <w:numId w:val="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all other matters for which the Lieutenant Governor in Council by regulation permits and appeal to the appeal tribunal under this Part.</w:t>
      </w:r>
    </w:p>
    <w:p>
      <w:pPr>
        <w:spacing w:before="120"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Appeal tribunal decision or action final</w:t>
      </w:r>
    </w:p>
    <w:p>
      <w:pPr>
        <w:spacing w:before="120"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255</w:t>
      </w:r>
      <w:r>
        <w:rPr>
          <w:rFonts w:ascii="arial" w:eastAsia="arial" w:hAnsi="arial" w:cs="arial"/>
          <w:color w:val="000000"/>
          <w:sz w:val="20"/>
          <w:lang w:val="en-US" w:eastAsia="en-US" w:bidi="ar-SA"/>
        </w:rPr>
        <w:t xml:space="preserve"> (1) Any decision or action of the chair or the appeal tribunal under this Part is final and conclusive and is not open to question or review in any court.</w:t>
      </w:r>
    </w:p>
    <w:p>
      <w:pPr>
        <w:numPr>
          <w:numId w:val="6"/>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Proceedings by or before the chair or appeal tribunal under this Part must not</w:t>
      </w:r>
    </w:p>
    <w:p>
      <w:pPr>
        <w:numPr>
          <w:numId w:val="7"/>
        </w:numPr>
        <w:tabs>
          <w:tab w:val="clear" w:pos="112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be restrained by injunction, prohibition or other process or proceeding in any court, or</w:t>
      </w:r>
    </w:p>
    <w:p>
      <w:pPr>
        <w:numPr>
          <w:numId w:val="7"/>
        </w:numPr>
        <w:tabs>
          <w:tab w:val="clear" w:pos="112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be removed by certiorari or otherwise into any court.</w:t>
      </w:r>
    </w:p>
    <w:p>
      <w:pPr>
        <w:numPr>
          <w:numId w:val="8"/>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The Board must comply with a final decision of the appeal tribunal made in an appeal under this Part.</w:t>
      </w:r>
    </w:p>
    <w:p>
      <w:pPr>
        <w:numPr>
          <w:numId w:val="8"/>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A party in whose favour the appeal tribunal makes a final decision, or a person designated in the final decision, may file a certified copy of the final decision with the Supreme Court.</w:t>
      </w:r>
    </w:p>
    <w:p>
      <w:pPr>
        <w:numPr>
          <w:numId w:val="8"/>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A final decision filed under subsection (4) has the same force and effect, and all proceedings may be taken on it, as if it were a judgment of the Supreme Court.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xml:space="preserve">  The presence of a privative clause directly affects the standard of review in British Columbia due to the operation of s. 58 of the </w:t>
      </w:r>
      <w:r>
        <w:rPr>
          <w:rFonts w:ascii="arial" w:eastAsia="arial" w:hAnsi="arial" w:cs="arial"/>
          <w:i/>
          <w:color w:val="000000"/>
          <w:sz w:val="20"/>
          <w:lang w:val="en-US" w:eastAsia="en-US" w:bidi="ar-SA"/>
        </w:rPr>
        <w:t>Administrative Tribunals Act,</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S.B.C. 2004, c. 45</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ATA</w:t>
      </w:r>
      <w:r>
        <w:rPr>
          <w:rFonts w:ascii="arial" w:eastAsia="arial" w:hAnsi="arial" w:cs="arial"/>
          <w:color w:val="000000"/>
          <w:sz w:val="20"/>
          <w:lang w:val="en-US" w:eastAsia="en-US" w:bidi="ar-SA"/>
        </w:rPr>
        <w:t>"). Section 58 states, in part: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Standard of review if tribunal's enabling Act has privative clause</w:t>
      </w:r>
    </w:p>
    <w:p>
      <w:pPr>
        <w:numPr>
          <w:numId w:val="9"/>
        </w:numPr>
        <w:tabs>
          <w:tab w:val="clear" w:pos="1480"/>
          <w:tab w:val="num" w:pos="2200"/>
        </w:tabs>
        <w:spacing w:before="120" w:line="260" w:lineRule="atLeast"/>
        <w:ind w:left="2200"/>
        <w:jc w:val="both"/>
        <w:rPr>
          <w:rFonts w:ascii="arial" w:eastAsia="arial" w:hAnsi="arial" w:cs="arial"/>
          <w:sz w:val="20"/>
          <w:lang w:val="en-US" w:eastAsia="en-US" w:bidi="ar-SA"/>
        </w:rPr>
      </w:pPr>
      <w:r>
        <w:rPr>
          <w:rFonts w:ascii="arial" w:eastAsia="arial" w:hAnsi="arial" w:cs="arial"/>
          <w:color w:val="000000"/>
          <w:sz w:val="20"/>
          <w:lang w:val="en-US" w:eastAsia="en-US" w:bidi="ar-SA"/>
        </w:rPr>
        <w:t>If the tribunal's enabling Act contains a privative clause, relative to the courts the tribunal must be considered an expert tribunal in relation to all matters over which it has exclusive jurisdiction.</w:t>
      </w:r>
    </w:p>
    <w:p>
      <w:pPr>
        <w:numPr>
          <w:numId w:val="10"/>
        </w:numPr>
        <w:tabs>
          <w:tab w:val="clear" w:pos="1480"/>
          <w:tab w:val="num" w:pos="2200"/>
        </w:tabs>
        <w:spacing w:before="120" w:line="260" w:lineRule="atLeast"/>
        <w:ind w:left="2200"/>
        <w:jc w:val="both"/>
        <w:rPr>
          <w:rFonts w:ascii="arial" w:eastAsia="arial" w:hAnsi="arial" w:cs="arial"/>
          <w:sz w:val="20"/>
          <w:lang w:val="en-US" w:eastAsia="en-US" w:bidi="ar-SA"/>
        </w:rPr>
      </w:pPr>
      <w:r>
        <w:rPr>
          <w:rFonts w:ascii="arial" w:eastAsia="arial" w:hAnsi="arial" w:cs="arial"/>
          <w:color w:val="000000"/>
          <w:sz w:val="20"/>
          <w:lang w:val="en-US" w:eastAsia="en-US" w:bidi="ar-SA"/>
        </w:rPr>
        <w:t>In a judicial review proceeding relating to expert tribunals under subsection (1)</w:t>
      </w:r>
    </w:p>
    <w:p>
      <w:pPr>
        <w:numPr>
          <w:numId w:val="11"/>
        </w:numPr>
        <w:tabs>
          <w:tab w:val="clear" w:pos="1480"/>
          <w:tab w:val="num" w:pos="2560"/>
        </w:tabs>
        <w:spacing w:before="120" w:line="260" w:lineRule="atLeast"/>
        <w:ind w:left="2560"/>
        <w:jc w:val="both"/>
        <w:rPr>
          <w:rFonts w:ascii="arial" w:eastAsia="arial" w:hAnsi="arial" w:cs="arial"/>
          <w:sz w:val="20"/>
          <w:lang w:val="en-US" w:eastAsia="en-US" w:bidi="ar-SA"/>
        </w:rPr>
      </w:pPr>
      <w:r>
        <w:rPr>
          <w:rFonts w:ascii="arial" w:eastAsia="arial" w:hAnsi="arial" w:cs="arial"/>
          <w:color w:val="000000"/>
          <w:sz w:val="20"/>
          <w:lang w:val="en-US" w:eastAsia="en-US" w:bidi="ar-SA"/>
        </w:rPr>
        <w:t>a finding of fact or an exercise of discretion by the tribunal in respect of a matter over which it has exclusive jurisdiction under a privative clause must not be interfered with unless it is patently unreasonable,</w:t>
      </w:r>
    </w:p>
    <w:p>
      <w:pPr>
        <w:spacing w:before="120" w:line="260" w:lineRule="atLeast"/>
        <w:ind w:left="180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numPr>
          <w:numId w:val="12"/>
        </w:numPr>
        <w:tabs>
          <w:tab w:val="clear" w:pos="1480"/>
          <w:tab w:val="num" w:pos="2560"/>
        </w:tabs>
        <w:spacing w:before="120" w:line="260" w:lineRule="atLeast"/>
        <w:ind w:left="2560"/>
        <w:jc w:val="both"/>
        <w:rPr>
          <w:rFonts w:ascii="arial" w:eastAsia="arial" w:hAnsi="arial" w:cs="arial"/>
          <w:sz w:val="20"/>
          <w:lang w:val="en-US" w:eastAsia="en-US" w:bidi="ar-SA"/>
        </w:rPr>
      </w:pPr>
      <w:r>
        <w:rPr>
          <w:rFonts w:ascii="arial" w:eastAsia="arial" w:hAnsi="arial" w:cs="arial"/>
          <w:color w:val="000000"/>
          <w:sz w:val="20"/>
          <w:lang w:val="en-US" w:eastAsia="en-US" w:bidi="ar-SA"/>
        </w:rPr>
        <w:t>for all matters other than those identified in paragraphs (a) and (b), the standard of review to be applied to the tribunal's decision is correctness.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According to the petitioners, the decisions by the WCAT were mixed fact and law and are subject to the higher standard of correctness referred to in s. 58(2)(c).</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xml:space="preserve">  The petitioners say that questions of mixed fact and law determined under the </w:t>
      </w:r>
      <w:r>
        <w:rPr>
          <w:rFonts w:ascii="arial" w:eastAsia="arial" w:hAnsi="arial" w:cs="arial"/>
          <w:i/>
          <w:color w:val="000000"/>
          <w:sz w:val="20"/>
          <w:lang w:val="en-US" w:eastAsia="en-US" w:bidi="ar-SA"/>
        </w:rPr>
        <w:t>WCA</w:t>
      </w:r>
      <w:r>
        <w:rPr>
          <w:rFonts w:ascii="arial" w:eastAsia="arial" w:hAnsi="arial" w:cs="arial"/>
          <w:color w:val="000000"/>
          <w:sz w:val="20"/>
          <w:lang w:val="en-US" w:eastAsia="en-US" w:bidi="ar-SA"/>
        </w:rPr>
        <w:t xml:space="preserve"> fall within s. 58(2)(c) of the </w:t>
      </w:r>
      <w:r>
        <w:rPr>
          <w:rFonts w:ascii="arial" w:eastAsia="arial" w:hAnsi="arial" w:cs="arial"/>
          <w:i/>
          <w:color w:val="000000"/>
          <w:sz w:val="20"/>
          <w:lang w:val="en-US" w:eastAsia="en-US" w:bidi="ar-SA"/>
        </w:rPr>
        <w:t>ATA</w:t>
      </w:r>
      <w:r>
        <w:rPr>
          <w:rFonts w:ascii="arial" w:eastAsia="arial" w:hAnsi="arial" w:cs="arial"/>
          <w:color w:val="000000"/>
          <w:sz w:val="20"/>
          <w:lang w:val="en-US" w:eastAsia="en-US" w:bidi="ar-SA"/>
        </w:rPr>
        <w:t xml:space="preserve"> and cites </w:t>
      </w:r>
      <w:r>
        <w:rPr>
          <w:rFonts w:ascii="arial" w:eastAsia="arial" w:hAnsi="arial" w:cs="arial"/>
          <w:i/>
          <w:color w:val="000000"/>
          <w:sz w:val="20"/>
          <w:lang w:val="en-US" w:eastAsia="en-US" w:bidi="ar-SA"/>
        </w:rPr>
        <w:t>Ford v. Lavender Co-operative Housing Association,</w:t>
      </w:r>
      <w:r>
        <w:rPr>
          <w:rFonts w:ascii="arial" w:eastAsia="arial" w:hAnsi="arial" w:cs="arial"/>
          <w:color w:val="000000"/>
          <w:sz w:val="20"/>
          <w:lang w:val="en-US" w:eastAsia="en-US" w:bidi="ar-SA"/>
        </w:rPr>
        <w:t xml:space="preserve"> </w:t>
      </w:r>
      <w:hyperlink r:id="rId369" w:history="1">
        <w:r>
          <w:rPr>
            <w:rFonts w:ascii="arial" w:eastAsia="arial" w:hAnsi="arial" w:cs="arial"/>
            <w:i/>
            <w:color w:val="0077CC"/>
            <w:sz w:val="20"/>
            <w:u w:val="single"/>
            <w:shd w:val="clear" w:color="auto" w:fill="FFFFFF"/>
            <w:lang w:val="en-US" w:eastAsia="en-US" w:bidi="ar-SA"/>
          </w:rPr>
          <w:t>2011 BCCA 114</w:t>
        </w:r>
      </w:hyperlink>
      <w:r>
        <w:rPr>
          <w:rFonts w:ascii="arial" w:eastAsia="arial" w:hAnsi="arial" w:cs="arial"/>
          <w:color w:val="000000"/>
          <w:sz w:val="20"/>
          <w:lang w:val="en-US" w:eastAsia="en-US" w:bidi="ar-SA"/>
        </w:rPr>
        <w:t xml:space="preserve">, in support. In my view, </w:t>
      </w:r>
      <w:r>
        <w:rPr>
          <w:rFonts w:ascii="arial" w:eastAsia="arial" w:hAnsi="arial" w:cs="arial"/>
          <w:i/>
          <w:color w:val="000000"/>
          <w:sz w:val="20"/>
          <w:lang w:val="en-US" w:eastAsia="en-US" w:bidi="ar-SA"/>
        </w:rPr>
        <w:t>Ford</w:t>
      </w:r>
      <w:r>
        <w:rPr>
          <w:rFonts w:ascii="arial" w:eastAsia="arial" w:hAnsi="arial" w:cs="arial"/>
          <w:color w:val="000000"/>
          <w:sz w:val="20"/>
          <w:lang w:val="en-US" w:eastAsia="en-US" w:bidi="ar-SA"/>
        </w:rPr>
        <w:t xml:space="preserve"> does not support the petitioners' contention respecting s. 58(2)(c).</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xml:space="preserve">  The central issue in </w:t>
      </w:r>
      <w:r>
        <w:rPr>
          <w:rFonts w:ascii="arial" w:eastAsia="arial" w:hAnsi="arial" w:cs="arial"/>
          <w:i/>
          <w:color w:val="000000"/>
          <w:sz w:val="20"/>
          <w:lang w:val="en-US" w:eastAsia="en-US" w:bidi="ar-SA"/>
        </w:rPr>
        <w:t>Ford</w:t>
      </w:r>
      <w:r>
        <w:rPr>
          <w:rFonts w:ascii="arial" w:eastAsia="arial" w:hAnsi="arial" w:cs="arial"/>
          <w:color w:val="000000"/>
          <w:sz w:val="20"/>
          <w:lang w:val="en-US" w:eastAsia="en-US" w:bidi="ar-SA"/>
        </w:rPr>
        <w:t xml:space="preserve"> was the standard of review for questions of mixed fact and law where the tribunal's enabling legislation has no privative clause. In that case, s. 59 of the </w:t>
      </w:r>
      <w:r>
        <w:rPr>
          <w:rFonts w:ascii="arial" w:eastAsia="arial" w:hAnsi="arial" w:cs="arial"/>
          <w:i/>
          <w:color w:val="000000"/>
          <w:sz w:val="20"/>
          <w:lang w:val="en-US" w:eastAsia="en-US" w:bidi="ar-SA"/>
        </w:rPr>
        <w:t>ATA</w:t>
      </w:r>
      <w:r>
        <w:rPr>
          <w:rFonts w:ascii="arial" w:eastAsia="arial" w:hAnsi="arial" w:cs="arial"/>
          <w:color w:val="000000"/>
          <w:sz w:val="20"/>
          <w:lang w:val="en-US" w:eastAsia="en-US" w:bidi="ar-SA"/>
        </w:rPr>
        <w:t xml:space="preserve"> applies rather than s. 58 and the standard of review is correctness.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xml:space="preserve">  Because the tribunal in </w:t>
      </w:r>
      <w:r>
        <w:rPr>
          <w:rFonts w:ascii="arial" w:eastAsia="arial" w:hAnsi="arial" w:cs="arial"/>
          <w:i/>
          <w:color w:val="000000"/>
          <w:sz w:val="20"/>
          <w:lang w:val="en-US" w:eastAsia="en-US" w:bidi="ar-SA"/>
        </w:rPr>
        <w:t>Ford</w:t>
      </w:r>
      <w:r>
        <w:rPr>
          <w:rFonts w:ascii="arial" w:eastAsia="arial" w:hAnsi="arial" w:cs="arial"/>
          <w:color w:val="000000"/>
          <w:sz w:val="20"/>
          <w:lang w:val="en-US" w:eastAsia="en-US" w:bidi="ar-SA"/>
        </w:rPr>
        <w:t xml:space="preserve"> contended that the more deferential patently unreasonable standard applied to questions of mixed fact and law, the court also considered the ambit of s. 58. In that regard, the court stated that, under s. 58, all matters over which a tribunal has exclusive jurisdiction under a privative clause "attract a standard of patent unreasonableness" (para. 54).</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w:t>
      </w:r>
      <w:r>
        <w:rPr>
          <w:rFonts w:ascii="arial" w:eastAsia="arial" w:hAnsi="arial" w:cs="arial"/>
          <w:color w:val="000000"/>
          <w:sz w:val="20"/>
          <w:lang w:val="en-US" w:eastAsia="en-US" w:bidi="ar-SA"/>
        </w:rPr>
        <w:t xml:space="preserve">  Determining whether a matter falls within a tribunal's exclusive jurisdiction under a privative clause previously required a "pragmatic and functional approach": </w:t>
      </w:r>
      <w:r>
        <w:rPr>
          <w:rFonts w:ascii="arial" w:eastAsia="arial" w:hAnsi="arial" w:cs="arial"/>
          <w:i/>
          <w:color w:val="000000"/>
          <w:sz w:val="20"/>
          <w:lang w:val="en-US" w:eastAsia="en-US" w:bidi="ar-SA"/>
        </w:rPr>
        <w:t>Ford</w:t>
      </w:r>
      <w:r>
        <w:rPr>
          <w:rFonts w:ascii="arial" w:eastAsia="arial" w:hAnsi="arial" w:cs="arial"/>
          <w:color w:val="000000"/>
          <w:sz w:val="20"/>
          <w:lang w:val="en-US" w:eastAsia="en-US" w:bidi="ar-SA"/>
        </w:rPr>
        <w:t xml:space="preserve"> at para. 54. However, in </w:t>
      </w:r>
      <w:r>
        <w:rPr>
          <w:rFonts w:ascii="arial" w:eastAsia="arial" w:hAnsi="arial" w:cs="arial"/>
          <w:i/>
          <w:color w:val="000000"/>
          <w:sz w:val="20"/>
          <w:lang w:val="en-US" w:eastAsia="en-US" w:bidi="ar-SA"/>
        </w:rPr>
        <w:t>Kerton v. Workers' Compensation Appeal Tribunal,</w:t>
      </w:r>
      <w:r>
        <w:rPr>
          <w:rFonts w:ascii="arial" w:eastAsia="arial" w:hAnsi="arial" w:cs="arial"/>
          <w:color w:val="000000"/>
          <w:sz w:val="20"/>
          <w:lang w:val="en-US" w:eastAsia="en-US" w:bidi="ar-SA"/>
        </w:rPr>
        <w:t xml:space="preserve"> </w:t>
      </w:r>
      <w:hyperlink r:id="rId370" w:history="1">
        <w:r>
          <w:rPr>
            <w:rFonts w:ascii="arial" w:eastAsia="arial" w:hAnsi="arial" w:cs="arial"/>
            <w:i/>
            <w:color w:val="0077CC"/>
            <w:sz w:val="20"/>
            <w:u w:val="single"/>
            <w:shd w:val="clear" w:color="auto" w:fill="FFFFFF"/>
            <w:lang w:val="en-US" w:eastAsia="en-US" w:bidi="ar-SA"/>
          </w:rPr>
          <w:t>2011 BCCA 7</w:t>
        </w:r>
      </w:hyperlink>
      <w:r>
        <w:rPr>
          <w:rFonts w:ascii="arial" w:eastAsia="arial" w:hAnsi="arial" w:cs="arial"/>
          <w:color w:val="000000"/>
          <w:sz w:val="20"/>
          <w:lang w:val="en-US" w:eastAsia="en-US" w:bidi="ar-SA"/>
        </w:rPr>
        <w:t xml:space="preserve">, the Court of Appeal endorsed a simplified approach based on a consideration of "the language of the applicable privative clause rather than the pragmatic and functional approach" (para. 29). The question, as was stated in </w:t>
      </w:r>
      <w:r>
        <w:rPr>
          <w:rFonts w:ascii="arial" w:eastAsia="arial" w:hAnsi="arial" w:cs="arial"/>
          <w:i/>
          <w:color w:val="000000"/>
          <w:sz w:val="20"/>
          <w:lang w:val="en-US" w:eastAsia="en-US" w:bidi="ar-SA"/>
        </w:rPr>
        <w:t>Kerton,</w:t>
      </w:r>
      <w:r>
        <w:rPr>
          <w:rFonts w:ascii="arial" w:eastAsia="arial" w:hAnsi="arial" w:cs="arial"/>
          <w:color w:val="000000"/>
          <w:sz w:val="20"/>
          <w:lang w:val="en-US" w:eastAsia="en-US" w:bidi="ar-SA"/>
        </w:rPr>
        <w:t xml:space="preserve"> is "whether the privative clause covers the 'matters' in issue" (para. 29).</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w:t>
      </w:r>
      <w:r>
        <w:rPr>
          <w:rFonts w:ascii="arial" w:eastAsia="arial" w:hAnsi="arial" w:cs="arial"/>
          <w:color w:val="000000"/>
          <w:sz w:val="20"/>
          <w:lang w:val="en-US" w:eastAsia="en-US" w:bidi="ar-SA"/>
        </w:rPr>
        <w:t xml:space="preserve">  According to s. 96 of the </w:t>
      </w:r>
      <w:r>
        <w:rPr>
          <w:rFonts w:ascii="arial" w:eastAsia="arial" w:hAnsi="arial" w:cs="arial"/>
          <w:i/>
          <w:color w:val="000000"/>
          <w:sz w:val="20"/>
          <w:lang w:val="en-US" w:eastAsia="en-US" w:bidi="ar-SA"/>
        </w:rPr>
        <w:t>WCA</w:t>
      </w:r>
      <w:r>
        <w:rPr>
          <w:rFonts w:ascii="arial" w:eastAsia="arial" w:hAnsi="arial" w:cs="arial"/>
          <w:color w:val="000000"/>
          <w:sz w:val="20"/>
          <w:lang w:val="en-US" w:eastAsia="en-US" w:bidi="ar-SA"/>
        </w:rPr>
        <w:t xml:space="preserve">, the Board has exclusive jurisdiction to inquire into, hear and determine the question whether an injury has arisen out of or in the course of employment within the scope of Part 1 of the </w:t>
      </w:r>
      <w:r>
        <w:rPr>
          <w:rFonts w:ascii="arial" w:eastAsia="arial" w:hAnsi="arial" w:cs="arial"/>
          <w:i/>
          <w:color w:val="000000"/>
          <w:sz w:val="20"/>
          <w:lang w:val="en-US" w:eastAsia="en-US" w:bidi="ar-SA"/>
        </w:rPr>
        <w:t>WCA</w:t>
      </w:r>
      <w:r>
        <w:rPr>
          <w:rFonts w:ascii="arial" w:eastAsia="arial" w:hAnsi="arial" w:cs="arial"/>
          <w:color w:val="000000"/>
          <w:sz w:val="20"/>
          <w:lang w:val="en-US" w:eastAsia="en-US" w:bidi="ar-SA"/>
        </w:rPr>
        <w:t>. Section 254 specifically covers all questions of law, fact or exercises of discretion arising in an appeal under Part 4 and includes an express reference to s. 257. This extends to issues, such as causation, appealed from the Review Division that were originally decided by the Board and protected by s. 96.</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w:t>
      </w:r>
      <w:r>
        <w:rPr>
          <w:rFonts w:ascii="arial" w:eastAsia="arial" w:hAnsi="arial" w:cs="arial"/>
          <w:color w:val="000000"/>
          <w:sz w:val="20"/>
          <w:lang w:val="en-US" w:eastAsia="en-US" w:bidi="ar-SA"/>
        </w:rPr>
        <w:t xml:space="preserve">  Given the recent changes to the approach to determining the standard of review applicable to the </w:t>
      </w:r>
      <w:r>
        <w:rPr>
          <w:rFonts w:ascii="arial" w:eastAsia="arial" w:hAnsi="arial" w:cs="arial"/>
          <w:i/>
          <w:color w:val="000000"/>
          <w:sz w:val="20"/>
          <w:lang w:val="en-US" w:eastAsia="en-US" w:bidi="ar-SA"/>
        </w:rPr>
        <w:t>WCA</w:t>
      </w:r>
      <w:r>
        <w:rPr>
          <w:rFonts w:ascii="arial" w:eastAsia="arial" w:hAnsi="arial" w:cs="arial"/>
          <w:color w:val="000000"/>
          <w:sz w:val="20"/>
          <w:lang w:val="en-US" w:eastAsia="en-US" w:bidi="ar-SA"/>
        </w:rPr>
        <w:t xml:space="preserve">, I approach previous decisions with caution. Nonetheless, I observe that Ker J., in </w:t>
      </w:r>
      <w:r>
        <w:rPr>
          <w:rFonts w:ascii="arial" w:eastAsia="arial" w:hAnsi="arial" w:cs="arial"/>
          <w:i/>
          <w:color w:val="000000"/>
          <w:sz w:val="20"/>
          <w:lang w:val="en-US" w:eastAsia="en-US" w:bidi="ar-SA"/>
        </w:rPr>
        <w:t>Buttar v. Workers' Compensation Appeal Tribunal,</w:t>
      </w:r>
      <w:r>
        <w:rPr>
          <w:rFonts w:ascii="arial" w:eastAsia="arial" w:hAnsi="arial" w:cs="arial"/>
          <w:color w:val="000000"/>
          <w:sz w:val="20"/>
          <w:lang w:val="en-US" w:eastAsia="en-US" w:bidi="ar-SA"/>
        </w:rPr>
        <w:t xml:space="preserve"> </w:t>
      </w:r>
      <w:hyperlink r:id="rId371" w:history="1">
        <w:r>
          <w:rPr>
            <w:rFonts w:ascii="arial" w:eastAsia="arial" w:hAnsi="arial" w:cs="arial"/>
            <w:i/>
            <w:color w:val="0077CC"/>
            <w:sz w:val="20"/>
            <w:u w:val="single"/>
            <w:shd w:val="clear" w:color="auto" w:fill="FFFFFF"/>
            <w:lang w:val="en-US" w:eastAsia="en-US" w:bidi="ar-SA"/>
          </w:rPr>
          <w:t>2009 BCSC 1228</w:t>
        </w:r>
      </w:hyperlink>
      <w:r>
        <w:rPr>
          <w:rFonts w:ascii="arial" w:eastAsia="arial" w:hAnsi="arial" w:cs="arial"/>
          <w:color w:val="000000"/>
          <w:sz w:val="20"/>
          <w:lang w:val="en-US" w:eastAsia="en-US" w:bidi="ar-SA"/>
        </w:rPr>
        <w:t xml:space="preserve">, tracked the analysis of s. 58 of the </w:t>
      </w:r>
      <w:r>
        <w:rPr>
          <w:rFonts w:ascii="arial" w:eastAsia="arial" w:hAnsi="arial" w:cs="arial"/>
          <w:i/>
          <w:color w:val="000000"/>
          <w:sz w:val="20"/>
          <w:lang w:val="en-US" w:eastAsia="en-US" w:bidi="ar-SA"/>
        </w:rPr>
        <w:t>ATA</w:t>
      </w:r>
      <w:r>
        <w:rPr>
          <w:rFonts w:ascii="arial" w:eastAsia="arial" w:hAnsi="arial" w:cs="arial"/>
          <w:color w:val="000000"/>
          <w:sz w:val="20"/>
          <w:lang w:val="en-US" w:eastAsia="en-US" w:bidi="ar-SA"/>
        </w:rPr>
        <w:t xml:space="preserve"> and the privative clauses and concluded that the standard of "patently unreasonable" applied to issues arising out of "findings of fact and law" (para. 52). Having reviewed the circumstances giving rise to the issues in the case, I find no merit in the petitioners' reply submission to the effect that there is a meaningful distinction created by the omission of the word "mixed".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w:t>
      </w:r>
      <w:r>
        <w:rPr>
          <w:rFonts w:ascii="arial" w:eastAsia="arial" w:hAnsi="arial" w:cs="arial"/>
          <w:color w:val="000000"/>
          <w:sz w:val="20"/>
          <w:lang w:val="en-US" w:eastAsia="en-US" w:bidi="ar-SA"/>
        </w:rPr>
        <w:t xml:space="preserve">  The petitioners' submission that questions of mixed fact and law are reviewable under the standard of correctness reserved by s. 58(2)(c) of the </w:t>
      </w:r>
      <w:r>
        <w:rPr>
          <w:rFonts w:ascii="arial" w:eastAsia="arial" w:hAnsi="arial" w:cs="arial"/>
          <w:i/>
          <w:color w:val="000000"/>
          <w:sz w:val="20"/>
          <w:lang w:val="en-US" w:eastAsia="en-US" w:bidi="ar-SA"/>
        </w:rPr>
        <w:t>ATA</w:t>
      </w:r>
      <w:r>
        <w:rPr>
          <w:rFonts w:ascii="arial" w:eastAsia="arial" w:hAnsi="arial" w:cs="arial"/>
          <w:color w:val="000000"/>
          <w:sz w:val="20"/>
          <w:lang w:val="en-US" w:eastAsia="en-US" w:bidi="ar-SA"/>
        </w:rPr>
        <w:t xml:space="preserve"> for all matters other than those identified in s. 58(2)(a) and (b), such as findings of fact or law, to which the standard of patent unreasonableness applies, is anomalous. Counsel did not offer any authority in support of the proposition, or interpreting the ambit of s. 58(2)(c) generally. I observe that Harris J. in </w:t>
      </w:r>
      <w:r>
        <w:rPr>
          <w:rFonts w:ascii="arial" w:eastAsia="arial" w:hAnsi="arial" w:cs="arial"/>
          <w:i/>
          <w:color w:val="000000"/>
          <w:sz w:val="20"/>
          <w:lang w:val="en-US" w:eastAsia="en-US" w:bidi="ar-SA"/>
        </w:rPr>
        <w:t>Andree v. Bentley</w:t>
      </w:r>
      <w:r>
        <w:rPr>
          <w:rFonts w:ascii="arial" w:eastAsia="arial" w:hAnsi="arial" w:cs="arial"/>
          <w:color w:val="000000"/>
          <w:sz w:val="20"/>
          <w:lang w:val="en-US" w:eastAsia="en-US" w:bidi="ar-SA"/>
        </w:rPr>
        <w:t xml:space="preserve">, </w:t>
      </w:r>
      <w:hyperlink r:id="rId372" w:history="1">
        <w:r>
          <w:rPr>
            <w:rFonts w:ascii="arial" w:eastAsia="arial" w:hAnsi="arial" w:cs="arial"/>
            <w:i/>
            <w:color w:val="0077CC"/>
            <w:sz w:val="20"/>
            <w:u w:val="single"/>
            <w:shd w:val="clear" w:color="auto" w:fill="FFFFFF"/>
            <w:lang w:val="en-US" w:eastAsia="en-US" w:bidi="ar-SA"/>
          </w:rPr>
          <w:t>2011 BCSC 641</w:t>
        </w:r>
      </w:hyperlink>
      <w:r>
        <w:rPr>
          <w:rFonts w:ascii="arial" w:eastAsia="arial" w:hAnsi="arial" w:cs="arial"/>
          <w:color w:val="000000"/>
          <w:sz w:val="20"/>
          <w:lang w:val="en-US" w:eastAsia="en-US" w:bidi="ar-SA"/>
        </w:rPr>
        <w:t xml:space="preserve"> at para. 16, stated in relation to the </w:t>
      </w:r>
      <w:r>
        <w:rPr>
          <w:rFonts w:ascii="arial" w:eastAsia="arial" w:hAnsi="arial" w:cs="arial"/>
          <w:i/>
          <w:color w:val="000000"/>
          <w:sz w:val="20"/>
          <w:lang w:val="en-US" w:eastAsia="en-US" w:bidi="ar-SA"/>
        </w:rPr>
        <w:t>Residential Tenancy Act</w:t>
      </w:r>
      <w:r>
        <w:rPr>
          <w:rFonts w:ascii="arial" w:eastAsia="arial" w:hAnsi="arial" w:cs="arial"/>
          <w:color w:val="000000"/>
          <w:sz w:val="20"/>
          <w:lang w:val="en-US" w:eastAsia="en-US" w:bidi="ar-SA"/>
        </w:rPr>
        <w:t>, which also contains a privative clause, that a question of mixed fact and law invokes the patent unreasonableness standard. I am not aware of any decision that supports the petitioners' submission.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w:t>
      </w:r>
      <w:r>
        <w:rPr>
          <w:rFonts w:ascii="arial" w:eastAsia="arial" w:hAnsi="arial" w:cs="arial"/>
          <w:color w:val="000000"/>
          <w:sz w:val="20"/>
          <w:lang w:val="en-US" w:eastAsia="en-US" w:bidi="ar-SA"/>
        </w:rPr>
        <w:t xml:space="preserve">  I am satisfied that questions of mixed law and fact that the Board or WCAT decide fall within s. 58(2)(a) of the </w:t>
      </w:r>
      <w:r>
        <w:rPr>
          <w:rFonts w:ascii="arial" w:eastAsia="arial" w:hAnsi="arial" w:cs="arial"/>
          <w:i/>
          <w:color w:val="000000"/>
          <w:sz w:val="20"/>
          <w:lang w:val="en-US" w:eastAsia="en-US" w:bidi="ar-SA"/>
        </w:rPr>
        <w:t>ATA</w:t>
      </w:r>
      <w:r>
        <w:rPr>
          <w:rFonts w:ascii="arial" w:eastAsia="arial" w:hAnsi="arial" w:cs="arial"/>
          <w:color w:val="000000"/>
          <w:sz w:val="20"/>
          <w:lang w:val="en-US" w:eastAsia="en-US" w:bidi="ar-SA"/>
        </w:rPr>
        <w:t xml:space="preserve"> and are to be dealt with under the patently unreasonable standard. I turn next to the meaning of that standard.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Manz v. British Columbia (Workers' Compensation Appeal Tribunal),</w:t>
      </w:r>
      <w:r>
        <w:rPr>
          <w:rFonts w:ascii="arial" w:eastAsia="arial" w:hAnsi="arial" w:cs="arial"/>
          <w:color w:val="000000"/>
          <w:sz w:val="20"/>
          <w:lang w:val="en-US" w:eastAsia="en-US" w:bidi="ar-SA"/>
        </w:rPr>
        <w:t xml:space="preserve"> </w:t>
      </w:r>
      <w:hyperlink r:id="rId373" w:history="1">
        <w:r>
          <w:rPr>
            <w:rFonts w:ascii="arial" w:eastAsia="arial" w:hAnsi="arial" w:cs="arial"/>
            <w:i/>
            <w:color w:val="0077CC"/>
            <w:sz w:val="20"/>
            <w:u w:val="single"/>
            <w:shd w:val="clear" w:color="auto" w:fill="FFFFFF"/>
            <w:lang w:val="en-US" w:eastAsia="en-US" w:bidi="ar-SA"/>
          </w:rPr>
          <w:t>2009 BCCA 92</w:t>
        </w:r>
      </w:hyperlink>
      <w:r>
        <w:rPr>
          <w:rFonts w:ascii="arial" w:eastAsia="arial" w:hAnsi="arial" w:cs="arial"/>
          <w:color w:val="000000"/>
          <w:sz w:val="20"/>
          <w:lang w:val="en-US" w:eastAsia="en-US" w:bidi="ar-SA"/>
        </w:rPr>
        <w:t xml:space="preserve">, the Court of Appeal confirmed that, in spite of changes to the common law standard as a result of </w:t>
      </w:r>
      <w:r>
        <w:rPr>
          <w:rFonts w:ascii="arial" w:eastAsia="arial" w:hAnsi="arial" w:cs="arial"/>
          <w:i/>
          <w:color w:val="000000"/>
          <w:sz w:val="20"/>
          <w:lang w:val="en-US" w:eastAsia="en-US" w:bidi="ar-SA"/>
        </w:rPr>
        <w:t>Dunsmuir v. New Brunswick,</w:t>
      </w:r>
      <w:r>
        <w:rPr>
          <w:rFonts w:ascii="arial" w:eastAsia="arial" w:hAnsi="arial" w:cs="arial"/>
          <w:color w:val="000000"/>
          <w:sz w:val="20"/>
          <w:lang w:val="en-US" w:eastAsia="en-US" w:bidi="ar-SA"/>
        </w:rPr>
        <w:t xml:space="preserve"> </w:t>
      </w:r>
      <w:hyperlink r:id="rId374" w:history="1">
        <w:r>
          <w:rPr>
            <w:rFonts w:ascii="arial" w:eastAsia="arial" w:hAnsi="arial" w:cs="arial"/>
            <w:i/>
            <w:color w:val="0077CC"/>
            <w:sz w:val="20"/>
            <w:u w:val="single"/>
            <w:shd w:val="clear" w:color="auto" w:fill="FFFFFF"/>
            <w:lang w:val="en-US" w:eastAsia="en-US" w:bidi="ar-SA"/>
          </w:rPr>
          <w:t>2008 SCC 9</w:t>
        </w:r>
      </w:hyperlink>
      <w:r>
        <w:rPr>
          <w:rFonts w:ascii="arial" w:eastAsia="arial" w:hAnsi="arial" w:cs="arial"/>
          <w:color w:val="000000"/>
          <w:sz w:val="20"/>
          <w:lang w:val="en-US" w:eastAsia="en-US" w:bidi="ar-SA"/>
        </w:rPr>
        <w:t xml:space="preserve">, the standard of patently unreasonable under s. 58(2)(a) of the </w:t>
      </w:r>
      <w:r>
        <w:rPr>
          <w:rFonts w:ascii="arial" w:eastAsia="arial" w:hAnsi="arial" w:cs="arial"/>
          <w:i/>
          <w:color w:val="000000"/>
          <w:sz w:val="20"/>
          <w:lang w:val="en-US" w:eastAsia="en-US" w:bidi="ar-SA"/>
        </w:rPr>
        <w:t>ATA</w:t>
      </w:r>
      <w:r>
        <w:rPr>
          <w:rFonts w:ascii="arial" w:eastAsia="arial" w:hAnsi="arial" w:cs="arial"/>
          <w:color w:val="000000"/>
          <w:sz w:val="20"/>
          <w:lang w:val="en-US" w:eastAsia="en-US" w:bidi="ar-SA"/>
        </w:rPr>
        <w:t xml:space="preserve"> still applies and the meaning of the phrase is as set out in the earlier Court of Appeal decision in </w:t>
      </w:r>
      <w:r>
        <w:rPr>
          <w:rFonts w:ascii="arial" w:eastAsia="arial" w:hAnsi="arial" w:cs="arial"/>
          <w:i/>
          <w:color w:val="000000"/>
          <w:sz w:val="20"/>
          <w:lang w:val="en-US" w:eastAsia="en-US" w:bidi="ar-SA"/>
        </w:rPr>
        <w:t>Speckling v. British Columbia (Workers' Compensation Board),</w:t>
      </w:r>
      <w:r>
        <w:rPr>
          <w:rFonts w:ascii="arial" w:eastAsia="arial" w:hAnsi="arial" w:cs="arial"/>
          <w:color w:val="000000"/>
          <w:sz w:val="20"/>
          <w:lang w:val="en-US" w:eastAsia="en-US" w:bidi="ar-SA"/>
        </w:rPr>
        <w:t xml:space="preserve"> </w:t>
      </w:r>
      <w:hyperlink r:id="rId375" w:history="1">
        <w:r>
          <w:rPr>
            <w:rFonts w:ascii="arial" w:eastAsia="arial" w:hAnsi="arial" w:cs="arial"/>
            <w:i/>
            <w:color w:val="0077CC"/>
            <w:sz w:val="20"/>
            <w:u w:val="single"/>
            <w:shd w:val="clear" w:color="auto" w:fill="FFFFFF"/>
            <w:lang w:val="en-US" w:eastAsia="en-US" w:bidi="ar-SA"/>
          </w:rPr>
          <w:t>2005 BCCA 80</w:t>
        </w:r>
      </w:hyperlink>
      <w:r>
        <w:rPr>
          <w:rFonts w:ascii="arial" w:eastAsia="arial" w:hAnsi="arial" w:cs="arial"/>
          <w:color w:val="000000"/>
          <w:sz w:val="20"/>
          <w:lang w:val="en-US" w:eastAsia="en-US" w:bidi="ar-SA"/>
        </w:rPr>
        <w:t xml:space="preserve"> at para. 37:</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As the chambers judge noted, a decision is not patently unreasonable because the evidence is insufficient. It is not for the court on judicial review, or for this Court on appeal, to second guess the conclusions drawn from the evidence considered by the Appeal Division and substitute different findings of fact or inferences drawn from those facts. A court on review or appeal cannot reweigh the evidence. Only if there is no evidence to support the findings, or the decision is "openly, clearly, evidently unreasonable", can it be said to be patently unreasonable. ...</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Recently, and to similar effect, is </w:t>
      </w:r>
      <w:r>
        <w:rPr>
          <w:rFonts w:ascii="arial" w:eastAsia="arial" w:hAnsi="arial" w:cs="arial"/>
          <w:i/>
          <w:color w:val="000000"/>
          <w:sz w:val="20"/>
          <w:lang w:val="en-US" w:eastAsia="en-US" w:bidi="ar-SA"/>
        </w:rPr>
        <w:t>Coast Mountain Bus Company Ltd. v. National Automobile, Aerospace, Transportation and General Workers of Canada (CAW-Canada), Local 111,</w:t>
      </w:r>
      <w:r>
        <w:rPr>
          <w:rFonts w:ascii="arial" w:eastAsia="arial" w:hAnsi="arial" w:cs="arial"/>
          <w:color w:val="000000"/>
          <w:sz w:val="20"/>
          <w:lang w:val="en-US" w:eastAsia="en-US" w:bidi="ar-SA"/>
        </w:rPr>
        <w:t xml:space="preserve"> </w:t>
      </w:r>
      <w:hyperlink r:id="rId376" w:history="1">
        <w:r>
          <w:rPr>
            <w:rFonts w:ascii="arial" w:eastAsia="arial" w:hAnsi="arial" w:cs="arial"/>
            <w:i/>
            <w:color w:val="0077CC"/>
            <w:sz w:val="20"/>
            <w:u w:val="single"/>
            <w:shd w:val="clear" w:color="auto" w:fill="FFFFFF"/>
            <w:lang w:val="en-US" w:eastAsia="en-US" w:bidi="ar-SA"/>
          </w:rPr>
          <w:t>2010 BCCA 447</w:t>
        </w:r>
      </w:hyperlink>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United Steelworkers, Paper and Forestry, Rubber, Manufacturing, Energy (Allied Industrial and Service Workers International Union, Local 2009) v. Auyeung,</w:t>
      </w:r>
      <w:r>
        <w:rPr>
          <w:rFonts w:ascii="arial" w:eastAsia="arial" w:hAnsi="arial" w:cs="arial"/>
          <w:color w:val="000000"/>
          <w:sz w:val="20"/>
          <w:lang w:val="en-US" w:eastAsia="en-US" w:bidi="ar-SA"/>
        </w:rPr>
        <w:t xml:space="preserve"> </w:t>
      </w:r>
      <w:hyperlink r:id="rId377" w:history="1">
        <w:r>
          <w:rPr>
            <w:rFonts w:ascii="arial" w:eastAsia="arial" w:hAnsi="arial" w:cs="arial"/>
            <w:i/>
            <w:color w:val="0077CC"/>
            <w:sz w:val="20"/>
            <w:u w:val="single"/>
            <w:shd w:val="clear" w:color="auto" w:fill="FFFFFF"/>
            <w:lang w:val="en-US" w:eastAsia="en-US" w:bidi="ar-SA"/>
          </w:rPr>
          <w:t>2011 BCSC 220</w:t>
        </w:r>
      </w:hyperlink>
      <w:r>
        <w:rPr>
          <w:rFonts w:ascii="arial" w:eastAsia="arial" w:hAnsi="arial" w:cs="arial"/>
          <w:color w:val="000000"/>
          <w:sz w:val="20"/>
          <w:lang w:val="en-US" w:eastAsia="en-US" w:bidi="ar-SA"/>
        </w:rPr>
        <w:t xml:space="preserve">, Davies J. concluded that the applicability of the unreasonableness standard under s. 58 of the </w:t>
      </w:r>
      <w:r>
        <w:rPr>
          <w:rFonts w:ascii="arial" w:eastAsia="arial" w:hAnsi="arial" w:cs="arial"/>
          <w:i/>
          <w:color w:val="000000"/>
          <w:sz w:val="20"/>
          <w:lang w:val="en-US" w:eastAsia="en-US" w:bidi="ar-SA"/>
        </w:rPr>
        <w:t>ATA</w:t>
      </w:r>
      <w:r>
        <w:rPr>
          <w:rFonts w:ascii="arial" w:eastAsia="arial" w:hAnsi="arial" w:cs="arial"/>
          <w:color w:val="000000"/>
          <w:sz w:val="20"/>
          <w:lang w:val="en-US" w:eastAsia="en-US" w:bidi="ar-SA"/>
        </w:rPr>
        <w:t xml:space="preserve"> is now settled. He also emphasized (at para. 64) the reference in </w:t>
      </w:r>
      <w:r>
        <w:rPr>
          <w:rFonts w:ascii="arial" w:eastAsia="arial" w:hAnsi="arial" w:cs="arial"/>
          <w:i/>
          <w:color w:val="000000"/>
          <w:sz w:val="20"/>
          <w:lang w:val="en-US" w:eastAsia="en-US" w:bidi="ar-SA"/>
        </w:rPr>
        <w:t>Speckling</w:t>
      </w:r>
      <w:r>
        <w:rPr>
          <w:rFonts w:ascii="arial" w:eastAsia="arial" w:hAnsi="arial" w:cs="arial"/>
          <w:color w:val="000000"/>
          <w:sz w:val="20"/>
          <w:lang w:val="en-US" w:eastAsia="en-US" w:bidi="ar-SA"/>
        </w:rPr>
        <w:t xml:space="preserve"> to the principle that the review must be applied to the result, not to the reasons leading to the result.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w:t>
      </w:r>
      <w:r>
        <w:rPr>
          <w:rFonts w:ascii="arial" w:eastAsia="arial" w:hAnsi="arial" w:cs="arial"/>
          <w:color w:val="000000"/>
          <w:sz w:val="20"/>
          <w:lang w:val="en-US" w:eastAsia="en-US" w:bidi="ar-SA"/>
        </w:rPr>
        <w:t xml:space="preserve">  I accept the submission of the WCAT that "if a rational and understandable basis exists in the record that supports the outcome, and that outcome is within a range 'defensible in respect of the facts and the law' [see </w:t>
      </w:r>
      <w:r>
        <w:rPr>
          <w:rFonts w:ascii="arial" w:eastAsia="arial" w:hAnsi="arial" w:cs="arial"/>
          <w:i/>
          <w:color w:val="000000"/>
          <w:sz w:val="20"/>
          <w:lang w:val="en-US" w:eastAsia="en-US" w:bidi="ar-SA"/>
        </w:rPr>
        <w:t>Viking Logistics Ltd. v. British Columbia Workers' Compensation Board,</w:t>
      </w:r>
      <w:r>
        <w:rPr>
          <w:rFonts w:ascii="arial" w:eastAsia="arial" w:hAnsi="arial" w:cs="arial"/>
          <w:color w:val="000000"/>
          <w:sz w:val="20"/>
          <w:lang w:val="en-US" w:eastAsia="en-US" w:bidi="ar-SA"/>
        </w:rPr>
        <w:t xml:space="preserve"> </w:t>
      </w:r>
      <w:hyperlink r:id="rId378" w:history="1">
        <w:r>
          <w:rPr>
            <w:rFonts w:ascii="arial" w:eastAsia="arial" w:hAnsi="arial" w:cs="arial"/>
            <w:i/>
            <w:color w:val="0077CC"/>
            <w:sz w:val="20"/>
            <w:u w:val="single"/>
            <w:shd w:val="clear" w:color="auto" w:fill="FFFFFF"/>
            <w:lang w:val="en-US" w:eastAsia="en-US" w:bidi="ar-SA"/>
          </w:rPr>
          <w:t>2010 BCSC 1340</w:t>
        </w:r>
      </w:hyperlink>
      <w:r>
        <w:rPr>
          <w:rFonts w:ascii="arial" w:eastAsia="arial" w:hAnsi="arial" w:cs="arial"/>
          <w:color w:val="000000"/>
          <w:sz w:val="20"/>
          <w:lang w:val="en-US" w:eastAsia="en-US" w:bidi="ar-SA"/>
        </w:rPr>
        <w:t xml:space="preserve"> at para. 63], the result should not be disturbed."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i/>
          <w:color w:val="000000"/>
          <w:sz w:val="20"/>
          <w:lang w:val="en-US" w:eastAsia="en-US" w:bidi="ar-SA"/>
        </w:rPr>
        <w:t>The Record and the Decision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w:t>
      </w:r>
      <w:r>
        <w:rPr>
          <w:rFonts w:ascii="arial" w:eastAsia="arial" w:hAnsi="arial" w:cs="arial"/>
          <w:color w:val="000000"/>
          <w:sz w:val="20"/>
          <w:lang w:val="en-US" w:eastAsia="en-US" w:bidi="ar-SA"/>
        </w:rPr>
        <w:t>  While the record before the WCAT was extensive, the tribunal considered the background facts to be largely undisputed and that there were no significant issues of credibility (WCAT decision at para. 8). The WCAT went on to broadly describe the issues as follows: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[9] In the section 257 application, determinations are requested concerning the status of the parties to the legal action, at the time the cause of action arose. At issue in the employer's appeal is whether the Board erred in denying the plaintiff's claim for mental stress.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[10] Given the requirement of section 5.1 that a claim for compensation for mental stress involve "an acute reaction to a sudden and unexpected traumatic event," our primary focus in this decision is on the January 12, 2006 incident which preceded the plaintiff's cessation of employment. However, we have also considered the plaintiff's other employment exposure(s) since she began working for DCL in 2002.</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The content of the petition and the responses to petition demonstrate that the parties substantially agree that the facts were largely undisputed. Neither did any party suggest that there were significant issues of credibility. Further, as will be discussed later, the WCAT ultimately accepted that the mental stress suffered by Christianson was an acute reaction to a sudden traumatic event but did not accept that it was unexpected.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w:t>
      </w:r>
      <w:r>
        <w:rPr>
          <w:rFonts w:ascii="arial" w:eastAsia="arial" w:hAnsi="arial" w:cs="arial"/>
          <w:color w:val="000000"/>
          <w:sz w:val="20"/>
          <w:lang w:val="en-US" w:eastAsia="en-US" w:bidi="ar-SA"/>
        </w:rPr>
        <w:t xml:space="preserve">  In the result, the WCAT decided an issue of mixed fact and law in that it had to interpret the legislation and then determine whether the facts satisfied the legal test: </w:t>
      </w:r>
      <w:r>
        <w:rPr>
          <w:rFonts w:ascii="arial" w:eastAsia="arial" w:hAnsi="arial" w:cs="arial"/>
          <w:i/>
          <w:color w:val="000000"/>
          <w:sz w:val="20"/>
          <w:lang w:val="en-US" w:eastAsia="en-US" w:bidi="ar-SA"/>
        </w:rPr>
        <w:t>Canada (Director of Investigations and Research) v. Southam Inc.</w:t>
      </w:r>
      <w:r>
        <w:rPr>
          <w:rFonts w:ascii="arial" w:eastAsia="arial" w:hAnsi="arial" w:cs="arial"/>
          <w:color w:val="000000"/>
          <w:sz w:val="20"/>
          <w:lang w:val="en-US" w:eastAsia="en-US" w:bidi="ar-SA"/>
        </w:rPr>
        <w:t xml:space="preserve"> </w:t>
      </w:r>
      <w:hyperlink r:id="rId379" w:history="1">
        <w:r>
          <w:rPr>
            <w:rFonts w:ascii="arial" w:eastAsia="arial" w:hAnsi="arial" w:cs="arial"/>
            <w:i/>
            <w:color w:val="0077CC"/>
            <w:sz w:val="20"/>
            <w:u w:val="single"/>
            <w:shd w:val="clear" w:color="auto" w:fill="FFFFFF"/>
            <w:lang w:val="en-US" w:eastAsia="en-US" w:bidi="ar-SA"/>
          </w:rPr>
          <w:t>(1997), 144 D.L.R. (4th) 1</w:t>
        </w:r>
      </w:hyperlink>
      <w:r>
        <w:rPr>
          <w:rFonts w:ascii="arial" w:eastAsia="arial" w:hAnsi="arial" w:cs="arial"/>
          <w:color w:val="000000"/>
          <w:sz w:val="20"/>
          <w:lang w:val="en-US" w:eastAsia="en-US" w:bidi="ar-SA"/>
        </w:rPr>
        <w:t xml:space="preserve"> (S.C.C.) at para. 35. The eventual narrow focus by the tribunal, and again on this judicial review, was on the legal interpretation of s. 5.1 and, in particular, the meaning of "unexpected".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w:t>
      </w:r>
      <w:r>
        <w:rPr>
          <w:rFonts w:ascii="arial" w:eastAsia="arial" w:hAnsi="arial" w:cs="arial"/>
          <w:color w:val="000000"/>
          <w:sz w:val="20"/>
          <w:lang w:val="en-US" w:eastAsia="en-US" w:bidi="ar-SA"/>
        </w:rPr>
        <w:t>  In the circumstances, I can confine my discussion of the relevant facts. An incident occurred on January 12, 2006 that triggered Christianson's WCA claim for compensation for mental stress arising out of her employment with DCL. Christianson claimed to suffer post-traumatic stress disorder, humiliation, emotional stress and loss of sleep. Christianson had worked for DCL since September 2002 but never returned to work after the incident.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w:t>
      </w:r>
      <w:r>
        <w:rPr>
          <w:rFonts w:ascii="arial" w:eastAsia="arial" w:hAnsi="arial" w:cs="arial"/>
          <w:color w:val="000000"/>
          <w:sz w:val="20"/>
          <w:lang w:val="en-US" w:eastAsia="en-US" w:bidi="ar-SA"/>
        </w:rPr>
        <w:t>  The WCAT set out the following facts in its decision. The employer's record of the incident advised that Christianson "felt humiliated in presence of client by the manner in which she was spoken to by project manager over 'Mike radio' specifically swearing and demeaning attitude." Shortly beforehand, in December 2005, Christianson had received a positive performance review from DCL in which she was described as giving "exceptional effort" and as "a very enthusiastic, well organized and dedicated employee."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w:t>
      </w:r>
      <w:r>
        <w:rPr>
          <w:rFonts w:ascii="arial" w:eastAsia="arial" w:hAnsi="arial" w:cs="arial"/>
          <w:color w:val="000000"/>
          <w:sz w:val="20"/>
          <w:lang w:val="en-US" w:eastAsia="en-US" w:bidi="ar-SA"/>
        </w:rPr>
        <w:t>  The DCL file notes showed a previous incident on May 26, 2005. The notes state: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May 26/05</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Vickie [sic] [Christianson] very up-set with Jerry [Webster] due to the way he has been treating her.</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I let Vickie [sic] know that I would speak to Jerry regarding this.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Apparently Jerry was rude and condescending on the radio while client present.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At the material times, the Mike radio was used as a two-way radio. This allows a person nearby to hear both sides of the conversation.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w:t>
      </w:r>
      <w:r>
        <w:rPr>
          <w:rFonts w:ascii="arial" w:eastAsia="arial" w:hAnsi="arial" w:cs="arial"/>
          <w:color w:val="000000"/>
          <w:sz w:val="20"/>
          <w:lang w:val="en-US" w:eastAsia="en-US" w:bidi="ar-SA"/>
        </w:rPr>
        <w:t>  The WCAT concluded that there were two incidents when Webster caused upset to Christianson "based on the way he spoke to her over the Mike radio in the presence of clients." The WCAT went on to review examination for discovery evidence provided by both Christianson and Webster. This included their respective descriptions of the January 12, 2006 incident and Christianson's description of the immediate impact. On discovery, Webster advised it was not his job to discipline employees but he would sometimes swear at them, like "construction guys" do.</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w:t>
      </w:r>
      <w:r>
        <w:rPr>
          <w:rFonts w:ascii="arial" w:eastAsia="arial" w:hAnsi="arial" w:cs="arial"/>
          <w:color w:val="000000"/>
          <w:sz w:val="20"/>
          <w:lang w:val="en-US" w:eastAsia="en-US" w:bidi="ar-SA"/>
        </w:rPr>
        <w:t>  According to the WCAT decision, the DCL file notes also showed: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March 25/04</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Spoke to Jerry regarding his conduct with other employees.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May 26/05</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r>
        <w:rPr>
          <w:rFonts w:ascii="arial" w:eastAsia="arial" w:hAnsi="arial" w:cs="arial"/>
          <w:b/>
          <w:color w:val="000000"/>
          <w:sz w:val="20"/>
          <w:lang w:val="en-US" w:eastAsia="en-US" w:bidi="ar-SA"/>
        </w:rPr>
        <w:t>spoke to Jerry regarding the way he has been speaking to employees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r>
        <w:rPr>
          <w:rFonts w:ascii="arial" w:eastAsia="arial" w:hAnsi="arial" w:cs="arial"/>
          <w:b/>
          <w:color w:val="000000"/>
          <w:sz w:val="20"/>
          <w:lang w:val="en-US" w:eastAsia="en-US" w:bidi="ar-SA"/>
        </w:rPr>
        <w:t>discussed incident with Vickie [sic] and how up-set she is.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r>
        <w:rPr>
          <w:rFonts w:ascii="arial" w:eastAsia="arial" w:hAnsi="arial" w:cs="arial"/>
          <w:b/>
          <w:color w:val="000000"/>
          <w:sz w:val="20"/>
          <w:lang w:val="en-US" w:eastAsia="en-US" w:bidi="ar-SA"/>
        </w:rPr>
        <w:t>let him know that all employees have the right to be treated with respect.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Jan 5/06</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spoke to Jerry regarding incident with Nick Mydonic</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r>
        <w:rPr>
          <w:rFonts w:ascii="arial" w:eastAsia="arial" w:hAnsi="arial" w:cs="arial"/>
          <w:b/>
          <w:color w:val="000000"/>
          <w:sz w:val="20"/>
          <w:lang w:val="en-US" w:eastAsia="en-US" w:bidi="ar-SA"/>
        </w:rPr>
        <w:t>asked him not to yell, swear or discipline employees over the Mike system or in the presence of others.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Jan 13/06</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Spoke to Jerry</w:t>
      </w:r>
    </w:p>
    <w:p>
      <w:pPr>
        <w:numPr>
          <w:numId w:val="13"/>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Valary Terry (Client) called very up-set about the manner in which you spoke with Vicki on the Mike unit.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she claims your manner was awful and it seemed that you were harassing Vicki</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your manner was embarrassing to her and her husband as well as to Vicki</w:t>
      </w:r>
    </w:p>
    <w:p>
      <w:pPr>
        <w:numPr>
          <w:numId w:val="14"/>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Jim Varlas felt very angry with the way you spoke to him and also that you told another employee (Christy Laroche) that he was a [dimwit].</w:t>
      </w:r>
    </w:p>
    <w:p>
      <w:pPr>
        <w:numPr>
          <w:numId w:val="15"/>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Tim McDonald was upset with the manner in which you spoke with him.</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spacing w:line="260" w:lineRule="atLeast"/>
        <w:jc w:val="center"/>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[Emphasis in original]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The DCL file further revealed that the company disciplined Webster for the January 12, 2006, incident and reported to Christianson that her complaints "are justifiable."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w:t>
      </w:r>
      <w:r>
        <w:rPr>
          <w:rFonts w:ascii="arial" w:eastAsia="arial" w:hAnsi="arial" w:cs="arial"/>
          <w:color w:val="000000"/>
          <w:sz w:val="20"/>
          <w:lang w:val="en-US" w:eastAsia="en-US" w:bidi="ar-SA"/>
        </w:rPr>
        <w:t>  The WCAT also referred expressly in its decision to medical evidence from Christianson's physicians, including clinical records and reports. The clinical records include reports of work tension in January 2004, increased stress in February 2004, work issues and, on two occasions, stress in December 2005. Her doctors reported that Christianson suffered heart problems associated with workplace stress.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w:t>
      </w:r>
      <w:r>
        <w:rPr>
          <w:rFonts w:ascii="arial" w:eastAsia="arial" w:hAnsi="arial" w:cs="arial"/>
          <w:color w:val="000000"/>
          <w:sz w:val="20"/>
          <w:lang w:val="en-US" w:eastAsia="en-US" w:bidi="ar-SA"/>
        </w:rPr>
        <w:t>  Of potential significance, one psychiatrist reported that Christianson reported that "Jerry" had been "picking on [her] and harassing [her]", "from soon after when she started with the company." She reported a Mike radio incident during which Webster swore at her and humiliated her shortly after she joined the company and that he "repetitively harassed her on many occasions over the past four years." The psychiatrist went on to provide some examples.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w:t>
      </w:r>
      <w:r>
        <w:rPr>
          <w:rFonts w:ascii="arial" w:eastAsia="arial" w:hAnsi="arial" w:cs="arial"/>
          <w:color w:val="000000"/>
          <w:sz w:val="20"/>
          <w:lang w:val="en-US" w:eastAsia="en-US" w:bidi="ar-SA"/>
        </w:rPr>
        <w:t>  Another psychiatrist noted that Christianson "had been in a very difficult work situation perceiving herself, I think very likely accurately, to have been harassed and humiliated for a considerable length of time, years" resulting in post-traumatic stress disorder and high levels of anxiety. He also recorded Christianson's historical involvement with Webster, including the following:</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patient recalls several instances of humiliating interaction such as being called "a fucking idiot", in front of other people, being scorned with the words "Jesus Christ" when she announced that she couldn't do a particular job because she and her crew had to get flu shots which had been pre-arranged. She recalls being sent to dangerous jobs without being told where the dangers were and how to manage this. She recalls not being given directions about how to conduct a particular operation and then being berated for not meeting unstated expectations. She recalls not being allowed to attend meetings that she was supposed to attend. She recalls on one occasion the client phoning the company to complain about Gerry's offensive behaviour toward Vicki. </w:t>
      </w:r>
      <w:r>
        <w:rPr>
          <w:rFonts w:ascii="arial" w:eastAsia="arial" w:hAnsi="arial" w:cs="arial"/>
          <w:b/>
          <w:color w:val="000000"/>
          <w:sz w:val="20"/>
          <w:lang w:val="en-US" w:eastAsia="en-US" w:bidi="ar-SA"/>
        </w:rPr>
        <w:t>All of this was made more difficult by the fact that Gerry would behave in an unpredictable way, oftentimes neutral or kind for a period of time and then to change and become once again problematic.</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On more than one occasion the patient went to a man I believe to be the president of the company, "Bill" to complain of the situation to be told to stand up for herself, that it wouldn't happen again, etc., but in fact nothing substantial seems to have been done that effected a change in Gerry's behaviour.</w:t>
      </w:r>
    </w:p>
    <w:p>
      <w:pPr>
        <w:spacing w:line="260" w:lineRule="atLeast"/>
        <w:jc w:val="center"/>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[Emphasis in original]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This evidence was also of potential significance.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w:t>
      </w:r>
      <w:r>
        <w:rPr>
          <w:rFonts w:ascii="arial" w:eastAsia="arial" w:hAnsi="arial" w:cs="arial"/>
          <w:color w:val="000000"/>
          <w:sz w:val="20"/>
          <w:lang w:val="en-US" w:eastAsia="en-US" w:bidi="ar-SA"/>
        </w:rPr>
        <w:t>  The WCAT also referred at length in its decision to the evidence directly relating to the question of "not unexpected". Counsel for the WCAT accurately listed the evidence in its submission, along with cross-references to the record demonstrating the source. I summarize the references below, for the most part, as counsel did:</w:t>
      </w:r>
      <w:r>
        <w:rPr>
          <w:rFonts w:ascii="arial" w:eastAsia="arial" w:hAnsi="arial" w:cs="arial"/>
          <w:sz w:val="20"/>
          <w:lang w:val="en-US" w:eastAsia="en-US" w:bidi="ar-SA"/>
        </w:rPr>
        <w:cr/>
      </w:r>
    </w:p>
    <w:p>
      <w:pPr>
        <w:numPr>
          <w:numId w:val="16"/>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DCL file notes demonstrate an earlier complaint that Webster called an employee a dimwit;</w:t>
      </w:r>
    </w:p>
    <w:p>
      <w:pPr>
        <w:numPr>
          <w:numId w:val="16"/>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Downs spoke to Webster about his conduct on other occasions;</w:t>
      </w:r>
    </w:p>
    <w:p>
      <w:pPr>
        <w:numPr>
          <w:numId w:val="16"/>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Christianson expressed concerns to DCL about how Webster spoke to her, that he was rude and possibly swore;</w:t>
      </w:r>
    </w:p>
    <w:p>
      <w:pPr>
        <w:numPr>
          <w:numId w:val="16"/>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Christianson expressed her concerns about Webster a few times before the end of May 2005;</w:t>
      </w:r>
    </w:p>
    <w:p>
      <w:pPr>
        <w:numPr>
          <w:numId w:val="16"/>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Downs was told more than once that Webster swore at Christianson and other employees over the Mike radio;</w:t>
      </w:r>
    </w:p>
    <w:p>
      <w:pPr>
        <w:numPr>
          <w:numId w:val="16"/>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Downs instructed Webster not to swear at Christianson;</w:t>
      </w:r>
    </w:p>
    <w:p>
      <w:pPr>
        <w:numPr>
          <w:numId w:val="16"/>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Downs told Christianson that Webster speaks like that when he gets upset;</w:t>
      </w:r>
    </w:p>
    <w:p>
      <w:pPr>
        <w:numPr>
          <w:numId w:val="16"/>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Webster admitted during his examination for discovery that he blew up in stressful situations;</w:t>
      </w:r>
    </w:p>
    <w:p>
      <w:pPr>
        <w:numPr>
          <w:numId w:val="16"/>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Webster recalled discussions about his behaviour in daily organizational meetings;</w:t>
      </w:r>
    </w:p>
    <w:p>
      <w:pPr>
        <w:numPr>
          <w:numId w:val="17"/>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Webster said that his relationship with Christianson was difficult;</w:t>
      </w:r>
    </w:p>
    <w:p>
      <w:pPr>
        <w:numPr>
          <w:numId w:val="18"/>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Webster admitted swearing and getting angry but considered this the norm in construction;</w:t>
      </w:r>
    </w:p>
    <w:p>
      <w:pPr>
        <w:numPr>
          <w:numId w:val="1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Christianson said that Webster was consistently rude, that he disciplined other workers in front of her, and that he yelled, screamed and swore;</w:t>
      </w:r>
    </w:p>
    <w:p>
      <w:pPr>
        <w:numPr>
          <w:numId w:val="2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Christianson said that she ran away from Webster when he was disciplining another employee; and</w:t>
      </w:r>
    </w:p>
    <w:p>
      <w:pPr>
        <w:numPr>
          <w:numId w:val="2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Christianson was warned about Webster when she was first hired in 2002.</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34</w:t>
      </w:r>
      <w:r>
        <w:rPr>
          <w:rFonts w:ascii="arial" w:eastAsia="arial" w:hAnsi="arial" w:cs="arial"/>
          <w:color w:val="000000"/>
          <w:sz w:val="20"/>
          <w:lang w:val="en-US" w:eastAsia="en-US" w:bidi="ar-SA"/>
        </w:rPr>
        <w:t>  In my view, the record provides ample basis for the points summarized immediately above. Counsel for the petitioners did not seriously seek to challenge it before me but focused instead on their contention that the WCAT did not correctly interpret and apply the legislation to the facts in deciding that the January 12, 2006, event was not unexpected.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35</w:t>
      </w:r>
      <w:r>
        <w:rPr>
          <w:rFonts w:ascii="arial" w:eastAsia="arial" w:hAnsi="arial" w:cs="arial"/>
          <w:color w:val="000000"/>
          <w:sz w:val="20"/>
          <w:lang w:val="en-US" w:eastAsia="en-US" w:bidi="ar-SA"/>
        </w:rPr>
        <w:t xml:space="preserve">  Turning to the decision of the WCAT, the tribunal commenced by setting out s. 5.1 of the </w:t>
      </w:r>
      <w:r>
        <w:rPr>
          <w:rFonts w:ascii="arial" w:eastAsia="arial" w:hAnsi="arial" w:cs="arial"/>
          <w:i/>
          <w:color w:val="000000"/>
          <w:sz w:val="20"/>
          <w:lang w:val="en-US" w:eastAsia="en-US" w:bidi="ar-SA"/>
        </w:rPr>
        <w:t>WCA</w:t>
      </w:r>
      <w:r>
        <w:rPr>
          <w:rFonts w:ascii="arial" w:eastAsia="arial" w:hAnsi="arial" w:cs="arial"/>
          <w:color w:val="000000"/>
          <w:sz w:val="20"/>
          <w:lang w:val="en-US" w:eastAsia="en-US" w:bidi="ar-SA"/>
        </w:rPr>
        <w:t xml:space="preserve"> which, on its face, limits entitlement to compensation for mental stress that does not result from an injury for which the worker is otherwise entitled to compensation, only if the mental stress:</w:t>
      </w:r>
      <w:r>
        <w:rPr>
          <w:rFonts w:ascii="arial" w:eastAsia="arial" w:hAnsi="arial" w:cs="arial"/>
          <w:sz w:val="20"/>
          <w:lang w:val="en-US" w:eastAsia="en-US" w:bidi="ar-SA"/>
        </w:rPr>
        <w:cr/>
      </w:r>
    </w:p>
    <w:p>
      <w:pPr>
        <w:numPr>
          <w:numId w:val="22"/>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is an acute reaction to a sudden and unexpected traumatic event arising out of and in the course of the worker's employment.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The WCAT next referred to policy item #13.30 of the </w:t>
      </w:r>
      <w:r>
        <w:rPr>
          <w:rFonts w:ascii="arial" w:eastAsia="arial" w:hAnsi="arial" w:cs="arial"/>
          <w:i/>
          <w:color w:val="000000"/>
          <w:sz w:val="20"/>
          <w:lang w:val="en-US" w:eastAsia="en-US" w:bidi="ar-SA"/>
        </w:rPr>
        <w:t>Rehabilitation Services and Claims Manual, Volume II</w:t>
      </w:r>
      <w:r>
        <w:rPr>
          <w:rFonts w:ascii="arial" w:eastAsia="arial" w:hAnsi="arial" w:cs="arial"/>
          <w:color w:val="000000"/>
          <w:sz w:val="20"/>
          <w:lang w:val="en-US" w:eastAsia="en-US" w:bidi="ar-SA"/>
        </w:rPr>
        <w:t xml:space="preserve">, as amended after the Court of Appeal decision in </w:t>
      </w:r>
      <w:r>
        <w:rPr>
          <w:rFonts w:ascii="arial" w:eastAsia="arial" w:hAnsi="arial" w:cs="arial"/>
          <w:i/>
          <w:color w:val="000000"/>
          <w:sz w:val="20"/>
          <w:lang w:val="en-US" w:eastAsia="en-US" w:bidi="ar-SA"/>
        </w:rPr>
        <w:t>Plesner v. British Columbia Hydro and Power Authority,</w:t>
      </w:r>
      <w:r>
        <w:rPr>
          <w:rFonts w:ascii="arial" w:eastAsia="arial" w:hAnsi="arial" w:cs="arial"/>
          <w:color w:val="000000"/>
          <w:sz w:val="20"/>
          <w:lang w:val="en-US" w:eastAsia="en-US" w:bidi="ar-SA"/>
        </w:rPr>
        <w:t xml:space="preserve"> </w:t>
      </w:r>
      <w:hyperlink r:id="rId380" w:history="1">
        <w:r>
          <w:rPr>
            <w:rFonts w:ascii="arial" w:eastAsia="arial" w:hAnsi="arial" w:cs="arial"/>
            <w:i/>
            <w:color w:val="0077CC"/>
            <w:sz w:val="20"/>
            <w:u w:val="single"/>
            <w:shd w:val="clear" w:color="auto" w:fill="FFFFFF"/>
            <w:lang w:val="en-US" w:eastAsia="en-US" w:bidi="ar-SA"/>
          </w:rPr>
          <w:t>2009 BCCA 188</w:t>
        </w:r>
      </w:hyperlink>
      <w:r>
        <w:rPr>
          <w:rFonts w:ascii="arial" w:eastAsia="arial" w:hAnsi="arial" w:cs="arial"/>
          <w:color w:val="000000"/>
          <w:sz w:val="20"/>
          <w:lang w:val="en-US" w:eastAsia="en-US" w:bidi="ar-SA"/>
        </w:rPr>
        <w:t xml:space="preserve"> (the "policy"), and described it as "applicable to this decision" (WCAT decision at para. 48). No issue is taken with the binding nature of the policy.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36</w:t>
      </w:r>
      <w:r>
        <w:rPr>
          <w:rFonts w:ascii="arial" w:eastAsia="arial" w:hAnsi="arial" w:cs="arial"/>
          <w:color w:val="000000"/>
          <w:sz w:val="20"/>
          <w:lang w:val="en-US" w:eastAsia="en-US" w:bidi="ar-SA"/>
        </w:rPr>
        <w:t xml:space="preserve">  The board of directors of the Board is required, by s. 82(1)(a) of the </w:t>
      </w:r>
      <w:r>
        <w:rPr>
          <w:rFonts w:ascii="arial" w:eastAsia="arial" w:hAnsi="arial" w:cs="arial"/>
          <w:i/>
          <w:color w:val="000000"/>
          <w:sz w:val="20"/>
          <w:lang w:val="en-US" w:eastAsia="en-US" w:bidi="ar-SA"/>
        </w:rPr>
        <w:t>WCA</w:t>
      </w:r>
      <w:r>
        <w:rPr>
          <w:rFonts w:ascii="arial" w:eastAsia="arial" w:hAnsi="arial" w:cs="arial"/>
          <w:color w:val="000000"/>
          <w:sz w:val="20"/>
          <w:lang w:val="en-US" w:eastAsia="en-US" w:bidi="ar-SA"/>
        </w:rPr>
        <w:t xml:space="preserve">, to set, and revise as necessary, policies, including policy respecting compensation. Section 250(2) requires the WCAT to "apply a policy of the board of directors that is applicable" in deciding the particular case. Subject to one statutory exception that does not apply here, such policies are "effectively inflexible rules": </w:t>
      </w:r>
      <w:r>
        <w:rPr>
          <w:rFonts w:ascii="arial" w:eastAsia="arial" w:hAnsi="arial" w:cs="arial"/>
          <w:i/>
          <w:color w:val="000000"/>
          <w:sz w:val="20"/>
          <w:lang w:val="en-US" w:eastAsia="en-US" w:bidi="ar-SA"/>
        </w:rPr>
        <w:t>Western Stevedoring Co. Ltd. v. W.C.B.,</w:t>
      </w:r>
      <w:r>
        <w:rPr>
          <w:rFonts w:ascii="arial" w:eastAsia="arial" w:hAnsi="arial" w:cs="arial"/>
          <w:color w:val="000000"/>
          <w:sz w:val="20"/>
          <w:lang w:val="en-US" w:eastAsia="en-US" w:bidi="ar-SA"/>
        </w:rPr>
        <w:t xml:space="preserve"> </w:t>
      </w:r>
      <w:hyperlink r:id="rId381" w:history="1">
        <w:r>
          <w:rPr>
            <w:rFonts w:ascii="arial" w:eastAsia="arial" w:hAnsi="arial" w:cs="arial"/>
            <w:i/>
            <w:color w:val="0077CC"/>
            <w:sz w:val="20"/>
            <w:u w:val="single"/>
            <w:shd w:val="clear" w:color="auto" w:fill="FFFFFF"/>
            <w:lang w:val="en-US" w:eastAsia="en-US" w:bidi="ar-SA"/>
          </w:rPr>
          <w:t>2005 BCSC 1650</w:t>
        </w:r>
      </w:hyperlink>
      <w:r>
        <w:rPr>
          <w:rFonts w:ascii="arial" w:eastAsia="arial" w:hAnsi="arial" w:cs="arial"/>
          <w:color w:val="000000"/>
          <w:sz w:val="20"/>
          <w:lang w:val="en-US" w:eastAsia="en-US" w:bidi="ar-SA"/>
        </w:rPr>
        <w:t xml:space="preserve"> at para. 10.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37</w:t>
      </w:r>
      <w:r>
        <w:rPr>
          <w:rFonts w:ascii="arial" w:eastAsia="arial" w:hAnsi="arial" w:cs="arial"/>
          <w:color w:val="000000"/>
          <w:sz w:val="20"/>
          <w:lang w:val="en-US" w:eastAsia="en-US" w:bidi="ar-SA"/>
        </w:rPr>
        <w:t xml:space="preserve">  The policy applies to mental stress claims brought under s. 5.1 of the </w:t>
      </w:r>
      <w:r>
        <w:rPr>
          <w:rFonts w:ascii="arial" w:eastAsia="arial" w:hAnsi="arial" w:cs="arial"/>
          <w:i/>
          <w:color w:val="000000"/>
          <w:sz w:val="20"/>
          <w:lang w:val="en-US" w:eastAsia="en-US" w:bidi="ar-SA"/>
        </w:rPr>
        <w:t>WCA</w:t>
      </w:r>
      <w:r>
        <w:rPr>
          <w:rFonts w:ascii="arial" w:eastAsia="arial" w:hAnsi="arial" w:cs="arial"/>
          <w:color w:val="000000"/>
          <w:sz w:val="20"/>
          <w:lang w:val="en-US" w:eastAsia="en-US" w:bidi="ar-SA"/>
        </w:rPr>
        <w:t>. The policy states, in part: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Under subsection 5.1(1)(a), the </w:t>
      </w:r>
      <w:r>
        <w:rPr>
          <w:rFonts w:ascii="arial" w:eastAsia="arial" w:hAnsi="arial" w:cs="arial"/>
          <w:i/>
          <w:color w:val="000000"/>
          <w:sz w:val="20"/>
          <w:lang w:val="en-US" w:eastAsia="en-US" w:bidi="ar-SA"/>
        </w:rPr>
        <w:t>Act</w:t>
      </w:r>
      <w:r>
        <w:rPr>
          <w:rFonts w:ascii="arial" w:eastAsia="arial" w:hAnsi="arial" w:cs="arial"/>
          <w:color w:val="000000"/>
          <w:sz w:val="20"/>
          <w:lang w:val="en-US" w:eastAsia="en-US" w:bidi="ar-SA"/>
        </w:rPr>
        <w:t xml:space="preserve"> establishes a two-part test:</w:t>
      </w:r>
    </w:p>
    <w:p>
      <w:pPr>
        <w:numPr>
          <w:numId w:val="2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There must be an acute reaction to a sudden and unexpected traumatic event.</w:t>
      </w:r>
    </w:p>
    <w:p>
      <w:pPr>
        <w:numPr>
          <w:numId w:val="2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sudden and unexpected traumatic event must arise out of and in the course of employment.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In all cases, the traumatic event must be</w:t>
      </w:r>
    </w:p>
    <w:p>
      <w:pPr>
        <w:numPr>
          <w:numId w:val="2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clearly and objectively identifiable; and</w:t>
      </w:r>
    </w:p>
    <w:p>
      <w:pPr>
        <w:numPr>
          <w:numId w:val="2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sudden and unexpected in the course of the worker's employment.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This means that the event can be established by the Board through information or knowledge of the event provided by co-workers, supervisory staff, or others. The "arising out of" determination is discussed in policy item #14.00.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38</w:t>
      </w:r>
      <w:r>
        <w:rPr>
          <w:rFonts w:ascii="arial" w:eastAsia="arial" w:hAnsi="arial" w:cs="arial"/>
          <w:color w:val="000000"/>
          <w:sz w:val="20"/>
          <w:lang w:val="en-US" w:eastAsia="en-US" w:bidi="ar-SA"/>
        </w:rPr>
        <w:t>  The WCAT also referred to Practice Directive #C3-3. Practice directives are not policies and there is no similar statutory provision mandating their application. In the decision, the WCAT referred to the practice directive as "not binding ... but may provide useful guidelines which assist in promoting consistency in decision-making."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39</w:t>
      </w:r>
      <w:r>
        <w:rPr>
          <w:rFonts w:ascii="arial" w:eastAsia="arial" w:hAnsi="arial" w:cs="arial"/>
          <w:color w:val="000000"/>
          <w:sz w:val="20"/>
          <w:lang w:val="en-US" w:eastAsia="en-US" w:bidi="ar-SA"/>
        </w:rPr>
        <w:t xml:space="preserve">  The practice directive references s. 5.1 of the </w:t>
      </w:r>
      <w:r>
        <w:rPr>
          <w:rFonts w:ascii="arial" w:eastAsia="arial" w:hAnsi="arial" w:cs="arial"/>
          <w:i/>
          <w:color w:val="000000"/>
          <w:sz w:val="20"/>
          <w:lang w:val="en-US" w:eastAsia="en-US" w:bidi="ar-SA"/>
        </w:rPr>
        <w:t>WCA</w:t>
      </w:r>
      <w:r>
        <w:rPr>
          <w:rFonts w:ascii="arial" w:eastAsia="arial" w:hAnsi="arial" w:cs="arial"/>
          <w:color w:val="000000"/>
          <w:sz w:val="20"/>
          <w:lang w:val="en-US" w:eastAsia="en-US" w:bidi="ar-SA"/>
        </w:rPr>
        <w:t xml:space="preserve"> as well as the policy. Under the heading "Sudden and Unexpected", Practice Directive #C3-3 states: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Policy item #13.30 does recognize that some workers, due to the nature of their occupation, may be exposed to traumatic events on a relatively frequent basis (e.g. emergency care workers). The policy reference is intended to emphasize that employment in a high stress occupation is not a bar to compensation under section 5.1 of the </w:t>
      </w:r>
      <w:r>
        <w:rPr>
          <w:rFonts w:ascii="arial" w:eastAsia="arial" w:hAnsi="arial" w:cs="arial"/>
          <w:i/>
          <w:color w:val="000000"/>
          <w:sz w:val="20"/>
          <w:lang w:val="en-US" w:eastAsia="en-US" w:bidi="ar-SA"/>
        </w:rPr>
        <w:t>Act.</w:t>
      </w:r>
      <w:r>
        <w:rPr>
          <w:rFonts w:ascii="arial" w:eastAsia="arial" w:hAnsi="arial" w:cs="arial"/>
          <w:color w:val="000000"/>
          <w:sz w:val="20"/>
          <w:lang w:val="en-US" w:eastAsia="en-US" w:bidi="ar-SA"/>
        </w:rPr>
        <w:t xml:space="preserve"> Similarly, the fact that a worker may have previously received training to help manage work-related emergency situations, would not preclude a specific traumatic event as being considered sudden and unexpected once it occurs. If such a worker has an acute reaction to a sudden and unexpected traumatic event, compensation for mental stress may be provided even if the worker was able to tolerate similar traumatic events in the past. Again, it must be determined that the most recent traumatic event experienced by the worker is objectively considered sudden and unexpected in the course of the employment.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40</w:t>
      </w:r>
      <w:r>
        <w:rPr>
          <w:rFonts w:ascii="arial" w:eastAsia="arial" w:hAnsi="arial" w:cs="arial"/>
          <w:color w:val="000000"/>
          <w:sz w:val="20"/>
          <w:lang w:val="en-US" w:eastAsia="en-US" w:bidi="ar-SA"/>
        </w:rPr>
        <w:t>  The WCAT commenced its analysis, as follows: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6"/>
        <w:gridCol w:w="521"/>
        <w:gridCol w:w="240"/>
        <w:gridCol w:w="8027"/>
        <w:gridCol w:w="104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[50]</w:t>
            </w:r>
          </w:p>
        </w:tc>
        <w:tc>
          <w:tcPr>
            <w:tcW w:w="205"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There is no dispute concerning the fact that the plaintiff was employed by DCL. We find that she was a worker within the meaning of Part 1 of the Act. A central issue is whether the January 12, 2006 incident at work gave rise to mental stress which meets the conditions of section 5.1 of the Act. A related issue is whether the worker's employment at DCL since 2002 gave rise to mental stress which meets the conditions of section 5.1 of the Act.</w:t>
            </w:r>
          </w:p>
        </w:tc>
        <w:tc>
          <w:tcPr>
            <w:tcW w:w="102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[51]</w:t>
            </w:r>
          </w:p>
        </w:tc>
        <w:tc>
          <w:tcPr>
            <w:tcW w:w="205"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 possible question in this application concerns whether the requirements of section 5.1 are directed to determining work causation in relation to a claim for a mental stress injury, or whether this section simply limits the situations in which compensation may be payable (irrespective of whether the mental stress injury may stem from the work environment).</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Over the next several paragraphs following, the WCAT explored the issue set out immediately above by reciting at length from an earlier decision, </w:t>
      </w:r>
      <w:r>
        <w:rPr>
          <w:rFonts w:ascii="arial" w:eastAsia="arial" w:hAnsi="arial" w:cs="arial"/>
          <w:i/>
          <w:color w:val="000000"/>
          <w:sz w:val="20"/>
          <w:lang w:val="en-US" w:eastAsia="en-US" w:bidi="ar-SA"/>
        </w:rPr>
        <w:t>WCAT-2008- 02103,</w:t>
      </w:r>
      <w:r>
        <w:rPr>
          <w:rFonts w:ascii="arial" w:eastAsia="arial" w:hAnsi="arial" w:cs="arial"/>
          <w:color w:val="000000"/>
          <w:sz w:val="20"/>
          <w:lang w:val="en-US" w:eastAsia="en-US" w:bidi="ar-SA"/>
        </w:rPr>
        <w:t xml:space="preserve"> in which the tribunal analyzed the legislative history of s. 5.1, contrasted it to s. 5(1) which governs claims for personal injury arising out of and in the course of employment, and concluded that the legislative intention of ss. 5(1) and 5.1, taken together, "define the scope of psychological conditions that are recognized as personal injuries arising out of and in the course of employment" (WCAT decision at para. 52). The WCAT then emphasized the following extract from the previous decision at para. 52:</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 Under the Act, psychological impairment is recognized as a personal injury arising out of and in the course of employment when it is a consequence of a compensable injury or disease or it satisfies the employment connection test in section 5.1 of the Act.</w:t>
      </w:r>
    </w:p>
    <w:p>
      <w:pPr>
        <w:spacing w:line="260" w:lineRule="atLeast"/>
        <w:jc w:val="center"/>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[Emphasis in original]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Continuing with the earlier decision, the WCAT referred, at para. 53, to the following extract in which s. 5.1 is described in causation terms: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[53] The WCAT panel further reasoned:</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Under section 5.1 the determination that must be made is whether the worker sustained "an acute reaction to a sudden and unexpected traumatic event arising out of and in the course of the employment." In this regard, it may be said that section 5.1 of the Act establishes a separate test of employment connection for mental stress injuries.</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 xml:space="preserve">Mr. Justice Butler touched on this issue in </w:t>
      </w:r>
      <w:r>
        <w:rPr>
          <w:rFonts w:ascii="arial" w:eastAsia="arial" w:hAnsi="arial" w:cs="arial"/>
          <w:i/>
          <w:color w:val="000000"/>
          <w:sz w:val="20"/>
          <w:lang w:val="en-US" w:eastAsia="en-US" w:bidi="ar-SA"/>
        </w:rPr>
        <w:t>Hill v. Workers' Compensation Board,</w:t>
      </w:r>
      <w:r>
        <w:rPr>
          <w:rFonts w:ascii="arial" w:eastAsia="arial" w:hAnsi="arial" w:cs="arial"/>
          <w:color w:val="000000"/>
          <w:sz w:val="20"/>
          <w:lang w:val="en-US" w:eastAsia="en-US" w:bidi="ar-SA"/>
        </w:rPr>
        <w:t xml:space="preserve"> </w:t>
      </w:r>
      <w:hyperlink r:id="rId382" w:history="1">
        <w:r>
          <w:rPr>
            <w:rFonts w:ascii="arial" w:eastAsia="arial" w:hAnsi="arial" w:cs="arial"/>
            <w:i/>
            <w:color w:val="0077CC"/>
            <w:sz w:val="20"/>
            <w:u w:val="single"/>
            <w:shd w:val="clear" w:color="auto" w:fill="FFFFFF"/>
            <w:lang w:val="en-US" w:eastAsia="en-US" w:bidi="ar-SA"/>
          </w:rPr>
          <w:t>2007 BCSC 1187</w:t>
        </w:r>
      </w:hyperlink>
      <w:r>
        <w:rPr>
          <w:rFonts w:ascii="arial" w:eastAsia="arial" w:hAnsi="arial" w:cs="arial"/>
          <w:color w:val="000000"/>
          <w:sz w:val="20"/>
          <w:lang w:val="en-US" w:eastAsia="en-US" w:bidi="ar-SA"/>
        </w:rPr>
        <w:t xml:space="preserve"> when considering the requirements in policy item #13.30 that a traumatic event be "clearly and objectively identifiable," "sudden and unexpected in the course of the worker's employment" and "generally accepted as traumatic". He stated, at page 11:</w:t>
      </w:r>
    </w:p>
    <w:p>
      <w:pPr>
        <w:spacing w:before="120" w:line="260" w:lineRule="atLeast"/>
        <w:ind w:left="1080"/>
        <w:rPr>
          <w:rFonts w:ascii="arial" w:eastAsia="arial" w:hAnsi="arial" w:cs="arial"/>
          <w:sz w:val="20"/>
          <w:lang w:val="en-US" w:eastAsia="en-US" w:bidi="ar-SA"/>
        </w:rPr>
      </w:pPr>
      <w:r>
        <w:rPr>
          <w:rFonts w:ascii="arial" w:eastAsia="arial" w:hAnsi="arial" w:cs="arial"/>
          <w:b/>
          <w:color w:val="000000"/>
          <w:sz w:val="20"/>
          <w:lang w:val="en-US" w:eastAsia="en-US" w:bidi="ar-SA"/>
        </w:rPr>
        <w:t>This test is somewhat akin to a causation theory because it sets the criteria that must be established before a worker may be entitled to compensation.</w:t>
      </w:r>
      <w:r>
        <w:rPr>
          <w:rFonts w:ascii="arial" w:eastAsia="arial" w:hAnsi="arial" w:cs="arial"/>
          <w:color w:val="000000"/>
          <w:sz w:val="20"/>
          <w:lang w:val="en-US" w:eastAsia="en-US" w:bidi="ar-SA"/>
        </w:rPr>
        <w:t xml:space="preserve"> As noted by- Mr. Justice Donald in </w:t>
      </w:r>
      <w:r>
        <w:rPr>
          <w:rFonts w:ascii="arial" w:eastAsia="arial" w:hAnsi="arial" w:cs="arial"/>
          <w:i/>
          <w:color w:val="000000"/>
          <w:sz w:val="20"/>
          <w:lang w:val="en-US" w:eastAsia="en-US" w:bidi="ar-SA"/>
        </w:rPr>
        <w:t>Kovach</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supra,</w:t>
      </w:r>
      <w:r>
        <w:rPr>
          <w:rFonts w:ascii="arial" w:eastAsia="arial" w:hAnsi="arial" w:cs="arial"/>
          <w:color w:val="000000"/>
          <w:sz w:val="20"/>
          <w:lang w:val="en-US" w:eastAsia="en-US" w:bidi="ar-SA"/>
        </w:rPr>
        <w:t xml:space="preserve"> at para. [paragraph] 28, "No single theory of causation can be said to be </w:t>
      </w:r>
      <w:r>
        <w:rPr>
          <w:rFonts w:ascii="arial" w:eastAsia="arial" w:hAnsi="arial" w:cs="arial"/>
          <w:i/>
          <w:color w:val="000000"/>
          <w:sz w:val="20"/>
          <w:lang w:val="en-US" w:eastAsia="en-US" w:bidi="ar-SA"/>
        </w:rPr>
        <w:t>infallible or</w:t>
      </w:r>
      <w:r>
        <w:rPr>
          <w:rFonts w:ascii="arial" w:eastAsia="arial" w:hAnsi="arial" w:cs="arial"/>
          <w:color w:val="000000"/>
          <w:sz w:val="20"/>
          <w:lang w:val="en-US" w:eastAsia="en-US" w:bidi="ar-SA"/>
        </w:rPr>
        <w:t xml:space="preserve"> universally applicable. What works for a tort based system may be unsuitable for a no fault scheme. It all depends on the policy goals of the system."</w:t>
      </w:r>
    </w:p>
    <w:p>
      <w:pPr>
        <w:spacing w:line="260" w:lineRule="atLeast"/>
        <w:jc w:val="center"/>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[Emphasis in original]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The WCAT then accepted the correctness of the earlier interpretation of s. 5.1 and went on to review extracts from the Court of Appeal decision in </w:t>
      </w:r>
      <w:r>
        <w:rPr>
          <w:rFonts w:ascii="arial" w:eastAsia="arial" w:hAnsi="arial" w:cs="arial"/>
          <w:i/>
          <w:color w:val="000000"/>
          <w:sz w:val="20"/>
          <w:lang w:val="en-US" w:eastAsia="en-US" w:bidi="ar-SA"/>
        </w:rPr>
        <w:t>Plesner</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41</w:t>
      </w:r>
      <w:r>
        <w:rPr>
          <w:rFonts w:ascii="arial" w:eastAsia="arial" w:hAnsi="arial" w:cs="arial"/>
          <w:color w:val="000000"/>
          <w:sz w:val="20"/>
          <w:lang w:val="en-US" w:eastAsia="en-US" w:bidi="ar-SA"/>
        </w:rPr>
        <w:t xml:space="preserve">  In particular, the WCAT noted that, in </w:t>
      </w:r>
      <w:r>
        <w:rPr>
          <w:rFonts w:ascii="arial" w:eastAsia="arial" w:hAnsi="arial" w:cs="arial"/>
          <w:i/>
          <w:color w:val="000000"/>
          <w:sz w:val="20"/>
          <w:lang w:val="en-US" w:eastAsia="en-US" w:bidi="ar-SA"/>
        </w:rPr>
        <w:t>Plesner,</w:t>
      </w:r>
      <w:r>
        <w:rPr>
          <w:rFonts w:ascii="arial" w:eastAsia="arial" w:hAnsi="arial" w:cs="arial"/>
          <w:color w:val="000000"/>
          <w:sz w:val="20"/>
          <w:lang w:val="en-US" w:eastAsia="en-US" w:bidi="ar-SA"/>
        </w:rPr>
        <w:t xml:space="preserve"> Prowse J.A. described the requirements of policy item #13.30 "as establishing both a 'high threshold for compensation' and 'the causative threshold'" (para. 56). Justice Prowse went on to say, at para. 109 of </w:t>
      </w:r>
      <w:r>
        <w:rPr>
          <w:rFonts w:ascii="arial" w:eastAsia="arial" w:hAnsi="arial" w:cs="arial"/>
          <w:i/>
          <w:color w:val="000000"/>
          <w:sz w:val="20"/>
          <w:lang w:val="en-US" w:eastAsia="en-US" w:bidi="ar-SA"/>
        </w:rPr>
        <w:t>Plesner:</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Suffice it to say at this point that the introduction of s. 5.1, together with Policy 13.30, completely removed chronic stress as a basis for the recovery of benefits, and established a very high causative threshold for the recovery of compensation for purely mental injuries. That causative threshold did not apply to physical injuries, or mental injuries linked to physical injuries.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The WCAT considered that the reasoning referred to above "further reinforces the point that the additional requirements of section 5.1 of the </w:t>
      </w:r>
      <w:r>
        <w:rPr>
          <w:rFonts w:ascii="arial" w:eastAsia="arial" w:hAnsi="arial" w:cs="arial"/>
          <w:i/>
          <w:color w:val="000000"/>
          <w:sz w:val="20"/>
          <w:lang w:val="en-US" w:eastAsia="en-US" w:bidi="ar-SA"/>
        </w:rPr>
        <w:t>Act</w:t>
      </w:r>
      <w:r>
        <w:rPr>
          <w:rFonts w:ascii="arial" w:eastAsia="arial" w:hAnsi="arial" w:cs="arial"/>
          <w:color w:val="000000"/>
          <w:sz w:val="20"/>
          <w:lang w:val="en-US" w:eastAsia="en-US" w:bidi="ar-SA"/>
        </w:rPr>
        <w:t xml:space="preserve"> involve a 'causative threshold.'" (para. 57). In a final reference, the WCAT set out the following extract from </w:t>
      </w:r>
      <w:r>
        <w:rPr>
          <w:rFonts w:ascii="arial" w:eastAsia="arial" w:hAnsi="arial" w:cs="arial"/>
          <w:i/>
          <w:color w:val="000000"/>
          <w:sz w:val="20"/>
          <w:lang w:val="en-US" w:eastAsia="en-US" w:bidi="ar-SA"/>
        </w:rPr>
        <w:t>Plesner</w:t>
      </w:r>
      <w:r>
        <w:rPr>
          <w:rFonts w:ascii="arial" w:eastAsia="arial" w:hAnsi="arial" w:cs="arial"/>
          <w:color w:val="000000"/>
          <w:sz w:val="20"/>
          <w:lang w:val="en-US" w:eastAsia="en-US" w:bidi="ar-SA"/>
        </w:rPr>
        <w: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[158] The only other argument alluded to in justification of s. 5.1(1)(a), as read together with Policy 13.30, is that the criteria stipulated in those provisions are similar to the policy line drawn in tort in relation to claims for damages in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giving rise to "nervous shock". The argument is that the Legislature was justified in applying the same, or similar, criteria for recovery for those suffering mental injuries under the </w:t>
      </w:r>
      <w:r>
        <w:rPr>
          <w:rFonts w:ascii="arial" w:eastAsia="arial" w:hAnsi="arial" w:cs="arial"/>
          <w:i/>
          <w:color w:val="000000"/>
          <w:sz w:val="20"/>
          <w:lang w:val="en-US" w:eastAsia="en-US" w:bidi="ar-SA"/>
        </w:rPr>
        <w:t>Act</w:t>
      </w:r>
      <w:r>
        <w:rPr>
          <w:rFonts w:ascii="arial" w:eastAsia="arial" w:hAnsi="arial" w:cs="arial"/>
          <w:color w:val="000000"/>
          <w:sz w:val="20"/>
          <w:lang w:val="en-US" w:eastAsia="en-US" w:bidi="ar-SA"/>
        </w:rPr>
        <w:t xml:space="preserve"> as apply at common law.</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[159] The first answer to that submission is that the historic trade-off giving rise to workers compensation legislation did not purport to substitute an identical or parallel system for those claiming in tort and those claiming under the </w:t>
      </w:r>
      <w:r>
        <w:rPr>
          <w:rFonts w:ascii="arial" w:eastAsia="arial" w:hAnsi="arial" w:cs="arial"/>
          <w:i/>
          <w:color w:val="000000"/>
          <w:sz w:val="20"/>
          <w:lang w:val="en-US" w:eastAsia="en-US" w:bidi="ar-SA"/>
        </w:rPr>
        <w:t>Act.</w:t>
      </w:r>
      <w:r>
        <w:rPr>
          <w:rFonts w:ascii="arial" w:eastAsia="arial" w:hAnsi="arial" w:cs="arial"/>
          <w:color w:val="000000"/>
          <w:sz w:val="20"/>
          <w:lang w:val="en-US" w:eastAsia="en-US" w:bidi="ar-SA"/>
        </w:rPr>
        <w:t xml:space="preserve"> For example, the measure of compensation for the same type of injury under the </w:t>
      </w:r>
      <w:r>
        <w:rPr>
          <w:rFonts w:ascii="arial" w:eastAsia="arial" w:hAnsi="arial" w:cs="arial"/>
          <w:i/>
          <w:color w:val="000000"/>
          <w:sz w:val="20"/>
          <w:lang w:val="en-US" w:eastAsia="en-US" w:bidi="ar-SA"/>
        </w:rPr>
        <w:t>Act</w:t>
      </w:r>
      <w:r>
        <w:rPr>
          <w:rFonts w:ascii="arial" w:eastAsia="arial" w:hAnsi="arial" w:cs="arial"/>
          <w:color w:val="000000"/>
          <w:sz w:val="20"/>
          <w:lang w:val="en-US" w:eastAsia="en-US" w:bidi="ar-SA"/>
        </w:rPr>
        <w:t xml:space="preserve"> may be, and in many cases is, significantly less than the measure of compensation which would be awarded in a successful tort claim. In return, the claimant under the </w:t>
      </w:r>
      <w:r>
        <w:rPr>
          <w:rFonts w:ascii="arial" w:eastAsia="arial" w:hAnsi="arial" w:cs="arial"/>
          <w:i/>
          <w:color w:val="000000"/>
          <w:sz w:val="20"/>
          <w:lang w:val="en-US" w:eastAsia="en-US" w:bidi="ar-SA"/>
        </w:rPr>
        <w:t>Act</w:t>
      </w:r>
      <w:r>
        <w:rPr>
          <w:rFonts w:ascii="arial" w:eastAsia="arial" w:hAnsi="arial" w:cs="arial"/>
          <w:color w:val="000000"/>
          <w:sz w:val="20"/>
          <w:lang w:val="en-US" w:eastAsia="en-US" w:bidi="ar-SA"/>
        </w:rPr>
        <w:t xml:space="preserve"> is not required to undergo the time, expense and uncertainties faced by plaintiffs seeking compensation in the courts.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[160] </w:t>
      </w:r>
      <w:r>
        <w:rPr>
          <w:rFonts w:ascii="arial" w:eastAsia="arial" w:hAnsi="arial" w:cs="arial"/>
          <w:b/>
          <w:color w:val="000000"/>
          <w:sz w:val="20"/>
          <w:lang w:val="en-US" w:eastAsia="en-US" w:bidi="ar-SA"/>
        </w:rPr>
        <w:t xml:space="preserve">Further, there is no requirement that issues of causation under the </w:t>
      </w:r>
      <w:r>
        <w:rPr>
          <w:rFonts w:ascii="arial" w:eastAsia="arial" w:hAnsi="arial" w:cs="arial"/>
          <w:b/>
          <w:i/>
          <w:color w:val="000000"/>
          <w:sz w:val="20"/>
          <w:lang w:val="en-US" w:eastAsia="en-US" w:bidi="ar-SA"/>
        </w:rPr>
        <w:t>Act</w:t>
      </w:r>
      <w:r>
        <w:rPr>
          <w:rFonts w:ascii="arial" w:eastAsia="arial" w:hAnsi="arial" w:cs="arial"/>
          <w:b/>
          <w:color w:val="000000"/>
          <w:sz w:val="20"/>
          <w:lang w:val="en-US" w:eastAsia="en-US" w:bidi="ar-SA"/>
        </w:rPr>
        <w:t xml:space="preserve"> mirror those at common law.</w:t>
      </w:r>
      <w:r>
        <w:rPr>
          <w:rFonts w:ascii="arial" w:eastAsia="arial" w:hAnsi="arial" w:cs="arial"/>
          <w:color w:val="000000"/>
          <w:sz w:val="20"/>
          <w:lang w:val="en-US" w:eastAsia="en-US" w:bidi="ar-SA"/>
        </w:rPr>
        <w:t xml:space="preserve"> As Mr. Justice Donald stated in </w:t>
      </w:r>
      <w:r>
        <w:rPr>
          <w:rFonts w:ascii="arial" w:eastAsia="arial" w:hAnsi="arial" w:cs="arial"/>
          <w:i/>
          <w:color w:val="000000"/>
          <w:sz w:val="20"/>
          <w:lang w:val="en-US" w:eastAsia="en-US" w:bidi="ar-SA"/>
        </w:rPr>
        <w:t>Kovach, Re,</w:t>
      </w:r>
      <w:r>
        <w:rPr>
          <w:rFonts w:ascii="arial" w:eastAsia="arial" w:hAnsi="arial" w:cs="arial"/>
          <w:color w:val="000000"/>
          <w:sz w:val="20"/>
          <w:lang w:val="en-US" w:eastAsia="en-US" w:bidi="ar-SA"/>
        </w:rPr>
        <w:t xml:space="preserve"> </w:t>
      </w:r>
      <w:hyperlink r:id="rId383" w:history="1">
        <w:r>
          <w:rPr>
            <w:rFonts w:ascii="arial" w:eastAsia="arial" w:hAnsi="arial" w:cs="arial"/>
            <w:i/>
            <w:color w:val="0077CC"/>
            <w:sz w:val="20"/>
            <w:u w:val="single"/>
            <w:shd w:val="clear" w:color="auto" w:fill="FFFFFF"/>
            <w:lang w:val="en-US" w:eastAsia="en-US" w:bidi="ar-SA"/>
          </w:rPr>
          <w:t>[1999] 1 W.W.R. 498</w:t>
        </w:r>
      </w:hyperlink>
      <w:r>
        <w:rPr>
          <w:rFonts w:ascii="arial" w:eastAsia="arial" w:hAnsi="arial" w:cs="arial"/>
          <w:color w:val="000000"/>
          <w:sz w:val="20"/>
          <w:lang w:val="en-US" w:eastAsia="en-US" w:bidi="ar-SA"/>
        </w:rPr>
        <w:t xml:space="preserve">, </w:t>
      </w:r>
      <w:hyperlink r:id="rId383" w:history="1">
        <w:r>
          <w:rPr>
            <w:rFonts w:ascii="arial" w:eastAsia="arial" w:hAnsi="arial" w:cs="arial"/>
            <w:i/>
            <w:color w:val="0077CC"/>
            <w:sz w:val="20"/>
            <w:u w:val="single"/>
            <w:shd w:val="clear" w:color="auto" w:fill="FFFFFF"/>
            <w:lang w:val="en-US" w:eastAsia="en-US" w:bidi="ar-SA"/>
          </w:rPr>
          <w:t>52 B.C.L.R. (3d) 98</w:t>
        </w:r>
      </w:hyperlink>
      <w:r>
        <w:rPr>
          <w:rFonts w:ascii="arial" w:eastAsia="arial" w:hAnsi="arial" w:cs="arial"/>
          <w:color w:val="000000"/>
          <w:sz w:val="20"/>
          <w:lang w:val="en-US" w:eastAsia="en-US" w:bidi="ar-SA"/>
        </w:rPr>
        <w:t xml:space="preserve">, at para. [paragraph] 28 (cited to B.C.L.R.), in dissenting reasons adopted by the Supreme Court of Canada on appeal, </w:t>
      </w:r>
      <w:r>
        <w:rPr>
          <w:rFonts w:ascii="arial" w:eastAsia="arial" w:hAnsi="arial" w:cs="arial"/>
          <w:i/>
          <w:color w:val="000000"/>
          <w:sz w:val="20"/>
          <w:lang w:val="en-US" w:eastAsia="en-US" w:bidi="ar-SA"/>
        </w:rPr>
        <w:t>Kovach v. British Columbia (Workers' Compensation Board),</w:t>
      </w:r>
      <w:r>
        <w:rPr>
          <w:rFonts w:ascii="arial" w:eastAsia="arial" w:hAnsi="arial" w:cs="arial"/>
          <w:color w:val="000000"/>
          <w:sz w:val="20"/>
          <w:lang w:val="en-US" w:eastAsia="en-US" w:bidi="ar-SA"/>
        </w:rPr>
        <w:t xml:space="preserve"> </w:t>
      </w:r>
      <w:hyperlink r:id="rId384" w:history="1">
        <w:r>
          <w:rPr>
            <w:rFonts w:ascii="arial" w:eastAsia="arial" w:hAnsi="arial" w:cs="arial"/>
            <w:i/>
            <w:color w:val="0077CC"/>
            <w:sz w:val="20"/>
            <w:u w:val="single"/>
            <w:shd w:val="clear" w:color="auto" w:fill="FFFFFF"/>
            <w:lang w:val="en-US" w:eastAsia="en-US" w:bidi="ar-SA"/>
          </w:rPr>
          <w:t>2000 SCC 3</w:t>
        </w:r>
      </w:hyperlink>
      <w:r>
        <w:rPr>
          <w:rFonts w:ascii="arial" w:eastAsia="arial" w:hAnsi="arial" w:cs="arial"/>
          <w:color w:val="000000"/>
          <w:sz w:val="20"/>
          <w:lang w:val="en-US" w:eastAsia="en-US" w:bidi="ar-SA"/>
        </w:rPr>
        <w:t xml:space="preserve">, </w:t>
      </w:r>
      <w:hyperlink r:id="rId384" w:history="1">
        <w:r>
          <w:rPr>
            <w:rFonts w:ascii="arial" w:eastAsia="arial" w:hAnsi="arial" w:cs="arial"/>
            <w:i/>
            <w:color w:val="0077CC"/>
            <w:sz w:val="20"/>
            <w:u w:val="single"/>
            <w:shd w:val="clear" w:color="auto" w:fill="FFFFFF"/>
            <w:lang w:val="en-US" w:eastAsia="en-US" w:bidi="ar-SA"/>
          </w:rPr>
          <w:t>[2000] 1 S.C.R. 55</w:t>
        </w:r>
      </w:hyperlink>
      <w:r>
        <w:rPr>
          <w:rFonts w:ascii="arial" w:eastAsia="arial" w:hAnsi="arial" w:cs="arial"/>
          <w:color w:val="000000"/>
          <w:sz w:val="20"/>
          <w:lang w:val="en-US" w:eastAsia="en-US" w:bidi="ar-SA"/>
        </w:rPr>
        <w:t>:</w:t>
      </w:r>
    </w:p>
    <w:p>
      <w:pPr>
        <w:spacing w:before="120" w:line="260" w:lineRule="atLeast"/>
        <w:ind w:left="1080"/>
        <w:rPr>
          <w:rFonts w:ascii="arial" w:eastAsia="arial" w:hAnsi="arial" w:cs="arial"/>
          <w:sz w:val="20"/>
          <w:lang w:val="en-US" w:eastAsia="en-US" w:bidi="ar-SA"/>
        </w:rPr>
      </w:pPr>
      <w:r>
        <w:rPr>
          <w:rFonts w:ascii="arial" w:eastAsia="arial" w:hAnsi="arial" w:cs="arial"/>
          <w:b/>
          <w:color w:val="000000"/>
          <w:sz w:val="20"/>
          <w:lang w:val="en-US" w:eastAsia="en-US" w:bidi="ar-SA"/>
        </w:rPr>
        <w:t xml:space="preserve">The Board was not bound to apply common law principles of causation, such as </w:t>
      </w:r>
      <w:r>
        <w:rPr>
          <w:rFonts w:ascii="arial" w:eastAsia="arial" w:hAnsi="arial" w:cs="arial"/>
          <w:b/>
          <w:i/>
          <w:color w:val="000000"/>
          <w:sz w:val="20"/>
          <w:lang w:val="en-US" w:eastAsia="en-US" w:bidi="ar-SA"/>
        </w:rPr>
        <w:t>novus actus interveniens,</w:t>
      </w:r>
      <w:r>
        <w:rPr>
          <w:rFonts w:ascii="arial" w:eastAsia="arial" w:hAnsi="arial" w:cs="arial"/>
          <w:b/>
          <w:color w:val="000000"/>
          <w:sz w:val="20"/>
          <w:lang w:val="en-US" w:eastAsia="en-US" w:bidi="ar-SA"/>
        </w:rPr>
        <w:t xml:space="preserve"> in deciding the matter. No single theory of causation can be said to be infallible or universally applicable.</w:t>
      </w:r>
      <w:r>
        <w:rPr>
          <w:rFonts w:ascii="arial" w:eastAsia="arial" w:hAnsi="arial" w:cs="arial"/>
          <w:color w:val="000000"/>
          <w:sz w:val="20"/>
          <w:lang w:val="en-US" w:eastAsia="en-US" w:bidi="ar-SA"/>
        </w:rPr>
        <w:t xml:space="preserve"> What works for a tort based system may be unsuitable for a no fault scheme. It all depends on the policy goals of the system.</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[161] It does not follow, therefore, that the criteria for succeeding in obtaining an award of damages in tort are an appropriate standard for determining compensation under the no-fault provisions of the </w:t>
      </w:r>
      <w:r>
        <w:rPr>
          <w:rFonts w:ascii="arial" w:eastAsia="arial" w:hAnsi="arial" w:cs="arial"/>
          <w:i/>
          <w:color w:val="000000"/>
          <w:sz w:val="20"/>
          <w:lang w:val="en-US" w:eastAsia="en-US" w:bidi="ar-SA"/>
        </w:rPr>
        <w:t>Act</w:t>
      </w:r>
      <w:r>
        <w:rPr>
          <w:rFonts w:ascii="arial" w:eastAsia="arial" w:hAnsi="arial" w:cs="arial"/>
          <w:color w:val="000000"/>
          <w:sz w:val="20"/>
          <w:lang w:val="en-US" w:eastAsia="en-US" w:bidi="ar-SA"/>
        </w:rPr>
        <w:t>. These are two distinct compensation systems which differ in many fundamental respects.</w:t>
      </w:r>
    </w:p>
    <w:p>
      <w:pPr>
        <w:spacing w:line="260" w:lineRule="atLeast"/>
        <w:jc w:val="center"/>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[Emphasis in original]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Following these references, the WCAT concluded that there is a link between causation and compensability "rather than treating the requirements of section 5.1 and the policies governing its application as being concerned only with compensation as a separate and distinct issue" (para. 59).</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42</w:t>
      </w:r>
      <w:r>
        <w:rPr>
          <w:rFonts w:ascii="arial" w:eastAsia="arial" w:hAnsi="arial" w:cs="arial"/>
          <w:color w:val="000000"/>
          <w:sz w:val="20"/>
          <w:lang w:val="en-US" w:eastAsia="en-US" w:bidi="ar-SA"/>
        </w:rPr>
        <w:t>  The importance of the conclusion respecting the link is evident from the next paragraph of the decision. The WCAT stated, at para. 60:</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We agree, therefore, with the analysis provided in </w:t>
      </w:r>
      <w:r>
        <w:rPr>
          <w:rFonts w:ascii="arial" w:eastAsia="arial" w:hAnsi="arial" w:cs="arial"/>
          <w:i/>
          <w:color w:val="000000"/>
          <w:sz w:val="20"/>
          <w:lang w:val="en-US" w:eastAsia="en-US" w:bidi="ar-SA"/>
        </w:rPr>
        <w:t>WCAT-2008-02103</w:t>
      </w:r>
      <w:r>
        <w:rPr>
          <w:rFonts w:ascii="arial" w:eastAsia="arial" w:hAnsi="arial" w:cs="arial"/>
          <w:color w:val="000000"/>
          <w:sz w:val="20"/>
          <w:lang w:val="en-US" w:eastAsia="en-US" w:bidi="ar-SA"/>
        </w:rPr>
        <w:t xml:space="preserve"> since, consistent with the reasoning of the majority in </w:t>
      </w:r>
      <w:r>
        <w:rPr>
          <w:rFonts w:ascii="arial" w:eastAsia="arial" w:hAnsi="arial" w:cs="arial"/>
          <w:i/>
          <w:color w:val="000000"/>
          <w:sz w:val="20"/>
          <w:lang w:val="en-US" w:eastAsia="en-US" w:bidi="ar-SA"/>
        </w:rPr>
        <w:t>Plesner,</w:t>
      </w:r>
      <w:r>
        <w:rPr>
          <w:rFonts w:ascii="arial" w:eastAsia="arial" w:hAnsi="arial" w:cs="arial"/>
          <w:color w:val="000000"/>
          <w:sz w:val="20"/>
          <w:lang w:val="en-US" w:eastAsia="en-US" w:bidi="ar-SA"/>
        </w:rPr>
        <w:t xml:space="preserve"> the panel treated the high threshold for compensation in section 5.1 as also amounting to a causative threshold. Accordingly, the determination that must be made is whether the plaintiff's circumstances satisfy the criteria under section 5.1 of the Act. Only if the plaintiff's circumstances meet the criteria in section 5.1 can it be said that (in the absence of any physical injury under section 5(1) of the Act) she suffered a mental stress injury which arose out of and in the course of her employment for the purposes of section 257 of the Act.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I have referred to these aspects of the WCAT decision at some length as it is apparent that the petitioners' second argument, in particular, hinges on the link between causation and compensability referred to above. Unless the reasoning of the WCAT in such regard is patently unreasonable, the petitioners' second contention necessarily fails.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i/>
          <w:color w:val="000000"/>
          <w:sz w:val="20"/>
          <w:lang w:val="en-US" w:eastAsia="en-US" w:bidi="ar-SA"/>
        </w:rPr>
        <w:t>Plesner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43</w:t>
      </w:r>
      <w:r>
        <w:rPr>
          <w:rFonts w:ascii="arial" w:eastAsia="arial" w:hAnsi="arial" w:cs="arial"/>
          <w:color w:val="000000"/>
          <w:sz w:val="20"/>
          <w:lang w:val="en-US" w:eastAsia="en-US" w:bidi="ar-SA"/>
        </w:rPr>
        <w:t xml:space="preserve">  Before turning to the specific submissions in this case, it is helpful to consider </w:t>
      </w:r>
      <w:r>
        <w:rPr>
          <w:rFonts w:ascii="arial" w:eastAsia="arial" w:hAnsi="arial" w:cs="arial"/>
          <w:i/>
          <w:color w:val="000000"/>
          <w:sz w:val="20"/>
          <w:lang w:val="en-US" w:eastAsia="en-US" w:bidi="ar-SA"/>
        </w:rPr>
        <w:t>Plesner</w:t>
      </w:r>
      <w:r>
        <w:rPr>
          <w:rFonts w:ascii="arial" w:eastAsia="arial" w:hAnsi="arial" w:cs="arial"/>
          <w:color w:val="000000"/>
          <w:sz w:val="20"/>
          <w:lang w:val="en-US" w:eastAsia="en-US" w:bidi="ar-SA"/>
        </w:rPr>
        <w:t xml:space="preserve"> in some detail to appreciate the context for and the significance of the various passages that the WCAT considered important.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44</w:t>
      </w:r>
      <w:r>
        <w:rPr>
          <w:rFonts w:ascii="arial" w:eastAsia="arial" w:hAnsi="arial" w:cs="arial"/>
          <w:color w:val="000000"/>
          <w:sz w:val="20"/>
          <w:lang w:val="en-US" w:eastAsia="en-US" w:bidi="ar-SA"/>
        </w:rPr>
        <w:t>  In the majority judgment of the Court of Appeal, Prowse J.A. set out the relevant factual background, at para. 89:</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89</w:t>
      </w:r>
      <w:r>
        <w:rPr>
          <w:rFonts w:ascii="arial" w:eastAsia="arial" w:hAnsi="arial" w:cs="arial"/>
          <w:color w:val="000000"/>
          <w:sz w:val="20"/>
          <w:lang w:val="en-US" w:eastAsia="en-US" w:bidi="ar-SA"/>
        </w:rPr>
        <w:t xml:space="preserve"> Mr. Plesner suffered post traumatic stress disorder ("PTSD") as a result of the rupture of a natural gas pipeline at his workplace on January 16, 2003. There is no question that this injury arose out of and in the course of his employment. If he had suffered a broken leg while running from the site of the rupture, he would have been compensated for his broken leg. If he had suffered a broken leg while running from the site of the rupture and had then suffered debilitating depression because of a slow recovery from that injury, he would have been compensated for both injuries (because the mental injury was tied to the physical injury). But Mr. Plesner's claim for compensation for PTSD was denied, despite WCAT's finding that his injury was work-related. His "mental stress" injury was found to be non-compensable on the basis that it did not fit within what is now s. 5.1(1)(a) of the </w:t>
      </w:r>
      <w:r>
        <w:rPr>
          <w:rFonts w:ascii="arial" w:eastAsia="arial" w:hAnsi="arial" w:cs="arial"/>
          <w:i/>
          <w:color w:val="000000"/>
          <w:sz w:val="20"/>
          <w:lang w:val="en-US" w:eastAsia="en-US" w:bidi="ar-SA"/>
        </w:rPr>
        <w:t>Workers Compensation Act</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R.S.B.C. 1996, c. 492</w:t>
      </w:r>
      <w:r>
        <w:rPr>
          <w:rFonts w:ascii="arial" w:eastAsia="arial" w:hAnsi="arial" w:cs="arial"/>
          <w:color w:val="000000"/>
          <w:sz w:val="20"/>
          <w:lang w:val="en-US" w:eastAsia="en-US" w:bidi="ar-SA"/>
        </w:rPr>
        <w:t xml:space="preserve"> (the "</w:t>
      </w:r>
      <w:r>
        <w:rPr>
          <w:rFonts w:ascii="arial" w:eastAsia="arial" w:hAnsi="arial" w:cs="arial"/>
          <w:i/>
          <w:color w:val="000000"/>
          <w:sz w:val="20"/>
          <w:lang w:val="en-US" w:eastAsia="en-US" w:bidi="ar-SA"/>
        </w:rPr>
        <w:t>Act</w:t>
      </w:r>
      <w:r>
        <w:rPr>
          <w:rFonts w:ascii="arial" w:eastAsia="arial" w:hAnsi="arial" w:cs="arial"/>
          <w:color w:val="000000"/>
          <w:sz w:val="20"/>
          <w:lang w:val="en-US" w:eastAsia="en-US" w:bidi="ar-SA"/>
        </w:rPr>
        <w:t>"), when read together with Policy Item #13.30 ("Policy 13.30"). In particular, WCAT found that his injury was not an acute reaction to a sudden and unexpected "traumatic event".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The procedural history of the </w:t>
      </w:r>
      <w:r>
        <w:rPr>
          <w:rFonts w:ascii="arial" w:eastAsia="arial" w:hAnsi="arial" w:cs="arial"/>
          <w:i/>
          <w:color w:val="000000"/>
          <w:sz w:val="20"/>
          <w:lang w:val="en-US" w:eastAsia="en-US" w:bidi="ar-SA"/>
        </w:rPr>
        <w:t>Plesner</w:t>
      </w:r>
      <w:r>
        <w:rPr>
          <w:rFonts w:ascii="arial" w:eastAsia="arial" w:hAnsi="arial" w:cs="arial"/>
          <w:color w:val="000000"/>
          <w:sz w:val="20"/>
          <w:lang w:val="en-US" w:eastAsia="en-US" w:bidi="ar-SA"/>
        </w:rPr>
        <w:t xml:space="preserve"> claim, and subsequent judicial review, is complex but it is important to observe as the Court of Appeal did: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90</w:t>
      </w:r>
      <w:r>
        <w:rPr>
          <w:rFonts w:ascii="arial" w:eastAsia="arial" w:hAnsi="arial" w:cs="arial"/>
          <w:color w:val="000000"/>
          <w:sz w:val="20"/>
          <w:lang w:val="en-US" w:eastAsia="en-US" w:bidi="ar-SA"/>
        </w:rPr>
        <w:t xml:space="preserve"> In brief reasons for judgment, the chambers judge concluded that there was a fundamental inconsistency between WCAT's finding that Mr. Plesner's PTSD was work-related and its denial of compensation. In coming to that conclusion, the chambers judge undoubtedly had in mind the fact that a fundamental underlying purpose of the </w:t>
      </w:r>
      <w:r>
        <w:rPr>
          <w:rFonts w:ascii="arial" w:eastAsia="arial" w:hAnsi="arial" w:cs="arial"/>
          <w:i/>
          <w:color w:val="000000"/>
          <w:sz w:val="20"/>
          <w:lang w:val="en-US" w:eastAsia="en-US" w:bidi="ar-SA"/>
        </w:rPr>
        <w:t>Act</w:t>
      </w:r>
      <w:r>
        <w:rPr>
          <w:rFonts w:ascii="arial" w:eastAsia="arial" w:hAnsi="arial" w:cs="arial"/>
          <w:color w:val="000000"/>
          <w:sz w:val="20"/>
          <w:lang w:val="en-US" w:eastAsia="en-US" w:bidi="ar-SA"/>
        </w:rPr>
        <w:t xml:space="preserve"> is to compensate workers for work-related injuries.</w:t>
      </w:r>
    </w:p>
    <w:p>
      <w:pPr>
        <w:spacing w:before="120"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91</w:t>
      </w:r>
      <w:r>
        <w:rPr>
          <w:rFonts w:ascii="arial" w:eastAsia="arial" w:hAnsi="arial" w:cs="arial"/>
          <w:color w:val="000000"/>
          <w:sz w:val="20"/>
          <w:lang w:val="en-US" w:eastAsia="en-US" w:bidi="ar-SA"/>
        </w:rPr>
        <w:t xml:space="preserve"> All of the parties to this appeal agree, however, that the chambers judge erred in finding an inconsistency between the finding that Mr. Plesner's PTSD was work-related and the denial of compensation. In fact, Mr. Plesner agrees that WCAT's interpretation of s. 5.1(1)(a) of the </w:t>
      </w:r>
      <w:r>
        <w:rPr>
          <w:rFonts w:ascii="arial" w:eastAsia="arial" w:hAnsi="arial" w:cs="arial"/>
          <w:i/>
          <w:color w:val="000000"/>
          <w:sz w:val="20"/>
          <w:lang w:val="en-US" w:eastAsia="en-US" w:bidi="ar-SA"/>
        </w:rPr>
        <w:t>Act</w:t>
      </w:r>
      <w:r>
        <w:rPr>
          <w:rFonts w:ascii="arial" w:eastAsia="arial" w:hAnsi="arial" w:cs="arial"/>
          <w:color w:val="000000"/>
          <w:sz w:val="20"/>
          <w:lang w:val="en-US" w:eastAsia="en-US" w:bidi="ar-SA"/>
        </w:rPr>
        <w:t xml:space="preserve">, when read together with Policy 13.30, was reasonable and that those provisions, either read separately, or together, preclude Mr. Plesner from receiving compensation for his work-related mental stress injury. His position is that these provisions, insofar as they require a purely mental work-related injury to arise from a "traumatic event", as described in Policy 13.30, are contrary to s. 15(1) of the </w:t>
      </w:r>
      <w:r>
        <w:rPr>
          <w:rFonts w:ascii="arial" w:eastAsia="arial" w:hAnsi="arial" w:cs="arial"/>
          <w:i/>
          <w:color w:val="000000"/>
          <w:sz w:val="20"/>
          <w:lang w:val="en-US" w:eastAsia="en-US" w:bidi="ar-SA"/>
        </w:rPr>
        <w:t>Charter</w:t>
      </w:r>
      <w:r>
        <w:rPr>
          <w:rFonts w:ascii="arial" w:eastAsia="arial" w:hAnsi="arial" w:cs="arial"/>
          <w:color w:val="000000"/>
          <w:sz w:val="20"/>
          <w:lang w:val="en-US" w:eastAsia="en-US" w:bidi="ar-SA"/>
        </w:rPr>
        <w:t xml:space="preserve"> and cannot be saved under s. 1.</w:t>
      </w:r>
    </w:p>
    <w:p>
      <w:pPr>
        <w:spacing w:before="120"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92</w:t>
      </w:r>
      <w:r>
        <w:rPr>
          <w:rFonts w:ascii="arial" w:eastAsia="arial" w:hAnsi="arial" w:cs="arial"/>
          <w:color w:val="000000"/>
          <w:sz w:val="20"/>
          <w:lang w:val="en-US" w:eastAsia="en-US" w:bidi="ar-SA"/>
        </w:rPr>
        <w:t xml:space="preserve"> It should be noted that s. 15(1) of the </w:t>
      </w:r>
      <w:r>
        <w:rPr>
          <w:rFonts w:ascii="arial" w:eastAsia="arial" w:hAnsi="arial" w:cs="arial"/>
          <w:i/>
          <w:color w:val="000000"/>
          <w:sz w:val="20"/>
          <w:lang w:val="en-US" w:eastAsia="en-US" w:bidi="ar-SA"/>
        </w:rPr>
        <w:t>Charter</w:t>
      </w:r>
      <w:r>
        <w:rPr>
          <w:rFonts w:ascii="arial" w:eastAsia="arial" w:hAnsi="arial" w:cs="arial"/>
          <w:color w:val="000000"/>
          <w:sz w:val="20"/>
          <w:lang w:val="en-US" w:eastAsia="en-US" w:bidi="ar-SA"/>
        </w:rPr>
        <w:t xml:space="preserve"> was not raised before WCAT. This is because, by reason of the combined effect of s. 245.1 of the </w:t>
      </w:r>
      <w:r>
        <w:rPr>
          <w:rFonts w:ascii="arial" w:eastAsia="arial" w:hAnsi="arial" w:cs="arial"/>
          <w:i/>
          <w:color w:val="000000"/>
          <w:sz w:val="20"/>
          <w:lang w:val="en-US" w:eastAsia="en-US" w:bidi="ar-SA"/>
        </w:rPr>
        <w:t>Act</w:t>
      </w:r>
      <w:r>
        <w:rPr>
          <w:rFonts w:ascii="arial" w:eastAsia="arial" w:hAnsi="arial" w:cs="arial"/>
          <w:color w:val="000000"/>
          <w:sz w:val="20"/>
          <w:lang w:val="en-US" w:eastAsia="en-US" w:bidi="ar-SA"/>
        </w:rPr>
        <w:t xml:space="preserve"> and s. 44(1) of the </w:t>
      </w:r>
      <w:r>
        <w:rPr>
          <w:rFonts w:ascii="arial" w:eastAsia="arial" w:hAnsi="arial" w:cs="arial"/>
          <w:i/>
          <w:color w:val="000000"/>
          <w:sz w:val="20"/>
          <w:lang w:val="en-US" w:eastAsia="en-US" w:bidi="ar-SA"/>
        </w:rPr>
        <w:t>Administrative Tribunals Act</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S.B.C. 2004, c. 45</w:t>
      </w:r>
      <w:r>
        <w:rPr>
          <w:rFonts w:ascii="arial" w:eastAsia="arial" w:hAnsi="arial" w:cs="arial"/>
          <w:color w:val="000000"/>
          <w:sz w:val="20"/>
          <w:lang w:val="en-US" w:eastAsia="en-US" w:bidi="ar-SA"/>
        </w:rPr>
        <w:t>, WCAT "does not have jurisdiction over constitutional questions".</w:t>
      </w:r>
    </w:p>
    <w:p>
      <w:pPr>
        <w:spacing w:before="120"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ISSUES ON APPEAL</w:t>
      </w:r>
    </w:p>
    <w:p>
      <w:pPr>
        <w:spacing w:before="120"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93</w:t>
      </w:r>
      <w:r>
        <w:rPr>
          <w:rFonts w:ascii="arial" w:eastAsia="arial" w:hAnsi="arial" w:cs="arial"/>
          <w:color w:val="000000"/>
          <w:sz w:val="20"/>
          <w:lang w:val="en-US" w:eastAsia="en-US" w:bidi="ar-SA"/>
        </w:rPr>
        <w:t xml:space="preserve"> The only live issues before us on this appeal are whether the requirement of a "traumatic event" in s. 5.1(1)(a) of the </w:t>
      </w:r>
      <w:r>
        <w:rPr>
          <w:rFonts w:ascii="arial" w:eastAsia="arial" w:hAnsi="arial" w:cs="arial"/>
          <w:i/>
          <w:color w:val="000000"/>
          <w:sz w:val="20"/>
          <w:lang w:val="en-US" w:eastAsia="en-US" w:bidi="ar-SA"/>
        </w:rPr>
        <w:t>Act</w:t>
      </w:r>
      <w:r>
        <w:rPr>
          <w:rFonts w:ascii="arial" w:eastAsia="arial" w:hAnsi="arial" w:cs="arial"/>
          <w:color w:val="000000"/>
          <w:sz w:val="20"/>
          <w:lang w:val="en-US" w:eastAsia="en-US" w:bidi="ar-SA"/>
        </w:rPr>
        <w:t xml:space="preserve">, either alone, or when read together with Policy 13.30, breaches s. 15(1) of the </w:t>
      </w:r>
      <w:r>
        <w:rPr>
          <w:rFonts w:ascii="arial" w:eastAsia="arial" w:hAnsi="arial" w:cs="arial"/>
          <w:i/>
          <w:color w:val="000000"/>
          <w:sz w:val="20"/>
          <w:lang w:val="en-US" w:eastAsia="en-US" w:bidi="ar-SA"/>
        </w:rPr>
        <w:t>Charter</w:t>
      </w:r>
      <w:r>
        <w:rPr>
          <w:rFonts w:ascii="arial" w:eastAsia="arial" w:hAnsi="arial" w:cs="arial"/>
          <w:color w:val="000000"/>
          <w:sz w:val="20"/>
          <w:lang w:val="en-US" w:eastAsia="en-US" w:bidi="ar-SA"/>
        </w:rPr>
        <w:t xml:space="preserve"> and, if so, whether that breach can be justified under s. 1 of the </w:t>
      </w:r>
      <w:r>
        <w:rPr>
          <w:rFonts w:ascii="arial" w:eastAsia="arial" w:hAnsi="arial" w:cs="arial"/>
          <w:i/>
          <w:color w:val="000000"/>
          <w:sz w:val="20"/>
          <w:lang w:val="en-US" w:eastAsia="en-US" w:bidi="ar-SA"/>
        </w:rPr>
        <w:t>Charter</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The conclusions are set out commencing at paras 96-101:</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96</w:t>
      </w:r>
      <w:r>
        <w:rPr>
          <w:rFonts w:ascii="arial" w:eastAsia="arial" w:hAnsi="arial" w:cs="arial"/>
          <w:color w:val="000000"/>
          <w:sz w:val="20"/>
          <w:lang w:val="en-US" w:eastAsia="en-US" w:bidi="ar-SA"/>
        </w:rPr>
        <w:t xml:space="preserve"> I am satisfied that the requirement of a "traumatic event" in s. 5.1(1)(a) of the </w:t>
      </w:r>
      <w:r>
        <w:rPr>
          <w:rFonts w:ascii="arial" w:eastAsia="arial" w:hAnsi="arial" w:cs="arial"/>
          <w:i/>
          <w:color w:val="000000"/>
          <w:sz w:val="20"/>
          <w:lang w:val="en-US" w:eastAsia="en-US" w:bidi="ar-SA"/>
        </w:rPr>
        <w:t>Act</w:t>
      </w:r>
      <w:r>
        <w:rPr>
          <w:rFonts w:ascii="arial" w:eastAsia="arial" w:hAnsi="arial" w:cs="arial"/>
          <w:color w:val="000000"/>
          <w:sz w:val="20"/>
          <w:lang w:val="en-US" w:eastAsia="en-US" w:bidi="ar-SA"/>
        </w:rPr>
        <w:t xml:space="preserve">, when read together with Policy 13.30, breaches s. 15(1) of the </w:t>
      </w:r>
      <w:r>
        <w:rPr>
          <w:rFonts w:ascii="arial" w:eastAsia="arial" w:hAnsi="arial" w:cs="arial"/>
          <w:i/>
          <w:color w:val="000000"/>
          <w:sz w:val="20"/>
          <w:lang w:val="en-US" w:eastAsia="en-US" w:bidi="ar-SA"/>
        </w:rPr>
        <w:t>Charter</w:t>
      </w:r>
      <w:r>
        <w:rPr>
          <w:rFonts w:ascii="arial" w:eastAsia="arial" w:hAnsi="arial" w:cs="arial"/>
          <w:color w:val="000000"/>
          <w:sz w:val="20"/>
          <w:lang w:val="en-US" w:eastAsia="en-US" w:bidi="ar-SA"/>
        </w:rPr>
        <w:t xml:space="preserve"> by discriminating against Mr. Plesner, and other workers like him who suffer from purely mental work-related injuries, on the basis of mental disability. Workers with purely mental injuries are forced to meet a significantly higher threshold for compensation which is not required of those who suffer work-related injuries that are purely physical, or who suffer mental injuries which are linked to physical work-related injuries.</w:t>
      </w:r>
    </w:p>
    <w:p>
      <w:pPr>
        <w:spacing w:before="120"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97</w:t>
      </w:r>
      <w:r>
        <w:rPr>
          <w:rFonts w:ascii="arial" w:eastAsia="arial" w:hAnsi="arial" w:cs="arial"/>
          <w:color w:val="000000"/>
          <w:sz w:val="20"/>
          <w:lang w:val="en-US" w:eastAsia="en-US" w:bidi="ar-SA"/>
        </w:rPr>
        <w:t xml:space="preserve"> I am also satisfied that the breach of s. 15(1) cannot be saved under s. 1.</w:t>
      </w:r>
    </w:p>
    <w:p>
      <w:pPr>
        <w:spacing w:before="120"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98</w:t>
      </w:r>
      <w:r>
        <w:rPr>
          <w:rFonts w:ascii="arial" w:eastAsia="arial" w:hAnsi="arial" w:cs="arial"/>
          <w:color w:val="000000"/>
          <w:sz w:val="20"/>
          <w:lang w:val="en-US" w:eastAsia="en-US" w:bidi="ar-SA"/>
        </w:rPr>
        <w:t xml:space="preserve"> In my view, it is not an answer to Mr. Plesner's claim of an unjustified breach of s. 15(1) of the </w:t>
      </w:r>
      <w:r>
        <w:rPr>
          <w:rFonts w:ascii="arial" w:eastAsia="arial" w:hAnsi="arial" w:cs="arial"/>
          <w:i/>
          <w:color w:val="000000"/>
          <w:sz w:val="20"/>
          <w:lang w:val="en-US" w:eastAsia="en-US" w:bidi="ar-SA"/>
        </w:rPr>
        <w:t>Charter</w:t>
      </w:r>
      <w:r>
        <w:rPr>
          <w:rFonts w:ascii="arial" w:eastAsia="arial" w:hAnsi="arial" w:cs="arial"/>
          <w:color w:val="000000"/>
          <w:sz w:val="20"/>
          <w:lang w:val="en-US" w:eastAsia="en-US" w:bidi="ar-SA"/>
        </w:rPr>
        <w:t xml:space="preserve"> to say (as do the respondents) that the impugned provisions are designed to enable the fact-finder to more readily determine whether mental injuries are work-related; that is, to say that they are simply causative provisions. The same argument could be made about a causative provision which said that workers suffering work-related mental injuries could only receive compensation if the event giving rise to their disability was a hostage-taking incident in which the worker affected was the hostage. There is no doubt that such a limiting provision would simplify the problem of determining causation for the purpose of compensation, but, in my view, it would clearly discriminate against those suffering mental injuries by setting a threshold of causation which was not required for those with physical injuries, and which was tailored to exclude most claims for compensation for purely mental injuries.</w:t>
      </w:r>
    </w:p>
    <w:p>
      <w:pPr>
        <w:spacing w:before="120"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99</w:t>
      </w:r>
      <w:r>
        <w:rPr>
          <w:rFonts w:ascii="arial" w:eastAsia="arial" w:hAnsi="arial" w:cs="arial"/>
          <w:color w:val="000000"/>
          <w:sz w:val="20"/>
          <w:lang w:val="en-US" w:eastAsia="en-US" w:bidi="ar-SA"/>
        </w:rPr>
        <w:t xml:space="preserve"> Nor is it an answer to say that, where the issue is one akin to the distribution of benefits under a legislated benefit plan (in this case an employer-funded plan), the Legislature can draw any line it thinks fit between those who are entitled to receive benefits and those who are not, without risk of </w:t>
      </w:r>
      <w:r>
        <w:rPr>
          <w:rFonts w:ascii="arial" w:eastAsia="arial" w:hAnsi="arial" w:cs="arial"/>
          <w:i/>
          <w:color w:val="000000"/>
          <w:sz w:val="20"/>
          <w:lang w:val="en-US" w:eastAsia="en-US" w:bidi="ar-SA"/>
        </w:rPr>
        <w:t>Charter</w:t>
      </w:r>
      <w:r>
        <w:rPr>
          <w:rFonts w:ascii="arial" w:eastAsia="arial" w:hAnsi="arial" w:cs="arial"/>
          <w:color w:val="000000"/>
          <w:sz w:val="20"/>
          <w:lang w:val="en-US" w:eastAsia="en-US" w:bidi="ar-SA"/>
        </w:rPr>
        <w:t xml:space="preserve"> intervention. The Legislature can draw lines, but those lines cannot run afoul of s. 15(1) of the </w:t>
      </w:r>
      <w:r>
        <w:rPr>
          <w:rFonts w:ascii="arial" w:eastAsia="arial" w:hAnsi="arial" w:cs="arial"/>
          <w:i/>
          <w:color w:val="000000"/>
          <w:sz w:val="20"/>
          <w:lang w:val="en-US" w:eastAsia="en-US" w:bidi="ar-SA"/>
        </w:rPr>
        <w:t>Charter.</w:t>
      </w:r>
    </w:p>
    <w:p>
      <w:pPr>
        <w:spacing w:before="120"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100</w:t>
      </w:r>
      <w:r>
        <w:rPr>
          <w:rFonts w:ascii="arial" w:eastAsia="arial" w:hAnsi="arial" w:cs="arial"/>
          <w:color w:val="000000"/>
          <w:sz w:val="20"/>
          <w:lang w:val="en-US" w:eastAsia="en-US" w:bidi="ar-SA"/>
        </w:rPr>
        <w:t xml:space="preserve"> The real question in this appeal is whether the causative threshold set by the impugned provisions, and the line-drawing exercise engaged in by the Legislature and the policy drafters, give rise to discriminatory treatment based on an enumerated or analogous ground within the meaning of s. 15(1). Mr. Plesner says that these provisions discriminate against him on the ground of mental disability as compared with those who suffer from physical work-related injuries. I agree. The fact that a subset of workers who suffer from purely mental injuries may meet the high threshold for compensation under these provisions does not dictate a different conclusion. They, too, are discriminated against in relation to those suffering from physical injuries in a manner which treats all of those who suffer from purely mental injuries as less deserving, less credible, and generally less worthy of compensation under the </w:t>
      </w:r>
      <w:r>
        <w:rPr>
          <w:rFonts w:ascii="arial" w:eastAsia="arial" w:hAnsi="arial" w:cs="arial"/>
          <w:i/>
          <w:color w:val="000000"/>
          <w:sz w:val="20"/>
          <w:lang w:val="en-US" w:eastAsia="en-US" w:bidi="ar-SA"/>
        </w:rPr>
        <w:t>Act</w:t>
      </w:r>
      <w:r>
        <w:rPr>
          <w:rFonts w:ascii="arial" w:eastAsia="arial" w:hAnsi="arial" w:cs="arial"/>
          <w:color w:val="000000"/>
          <w:sz w:val="20"/>
          <w:lang w:val="en-US" w:eastAsia="en-US" w:bidi="ar-SA"/>
        </w:rPr>
        <w:t xml:space="preserve"> than workers suffering from physical injuries, or from mental injuries linked to physical injuries. The provisions are an affront to their human dignity and devalue them as human beings.</w:t>
      </w:r>
    </w:p>
    <w:p>
      <w:pPr>
        <w:spacing w:before="120"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101</w:t>
      </w:r>
      <w:r>
        <w:rPr>
          <w:rFonts w:ascii="arial" w:eastAsia="arial" w:hAnsi="arial" w:cs="arial"/>
          <w:color w:val="000000"/>
          <w:sz w:val="20"/>
          <w:lang w:val="en-US" w:eastAsia="en-US" w:bidi="ar-SA"/>
        </w:rPr>
        <w:t xml:space="preserve"> In my view, the appropriate remedy in these circumstances is to declare that those provisions of Policy 13.30 highlighted at Schedule "A" to these reasons for judgment violate s. 15(1) of the </w:t>
      </w:r>
      <w:r>
        <w:rPr>
          <w:rFonts w:ascii="arial" w:eastAsia="arial" w:hAnsi="arial" w:cs="arial"/>
          <w:i/>
          <w:color w:val="000000"/>
          <w:sz w:val="20"/>
          <w:lang w:val="en-US" w:eastAsia="en-US" w:bidi="ar-SA"/>
        </w:rPr>
        <w:t>Charter</w:t>
      </w:r>
      <w:r>
        <w:rPr>
          <w:rFonts w:ascii="arial" w:eastAsia="arial" w:hAnsi="arial" w:cs="arial"/>
          <w:color w:val="000000"/>
          <w:sz w:val="20"/>
          <w:lang w:val="en-US" w:eastAsia="en-US" w:bidi="ar-SA"/>
        </w:rPr>
        <w:t xml:space="preserve"> and cannot be saved under s. 1. I would sever those provisions of Policy 13.30 and declare them to be of no force and effect.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45</w:t>
      </w:r>
      <w:r>
        <w:rPr>
          <w:rFonts w:ascii="arial" w:eastAsia="arial" w:hAnsi="arial" w:cs="arial"/>
          <w:color w:val="000000"/>
          <w:sz w:val="20"/>
          <w:lang w:val="en-US" w:eastAsia="en-US" w:bidi="ar-SA"/>
        </w:rPr>
        <w:t xml:space="preserve">  In considering the references to </w:t>
      </w:r>
      <w:r>
        <w:rPr>
          <w:rFonts w:ascii="arial" w:eastAsia="arial" w:hAnsi="arial" w:cs="arial"/>
          <w:i/>
          <w:color w:val="000000"/>
          <w:sz w:val="20"/>
          <w:lang w:val="en-US" w:eastAsia="en-US" w:bidi="ar-SA"/>
        </w:rPr>
        <w:t>Plesner,</w:t>
      </w:r>
      <w:r>
        <w:rPr>
          <w:rFonts w:ascii="arial" w:eastAsia="arial" w:hAnsi="arial" w:cs="arial"/>
          <w:color w:val="000000"/>
          <w:sz w:val="20"/>
          <w:lang w:val="en-US" w:eastAsia="en-US" w:bidi="ar-SA"/>
        </w:rPr>
        <w:t xml:space="preserve"> it is important to keep three points in mind: first, that it was the combined effect of the requirement of a traumatic event in s. 5.1(1)(a) of the WCA </w:t>
      </w:r>
      <w:r>
        <w:rPr>
          <w:rFonts w:ascii="arial" w:eastAsia="arial" w:hAnsi="arial" w:cs="arial"/>
          <w:color w:val="000000"/>
          <w:sz w:val="20"/>
          <w:u w:val="single"/>
          <w:lang w:val="en-US" w:eastAsia="en-US" w:bidi="ar-SA"/>
        </w:rPr>
        <w:t>when read together with</w:t>
      </w:r>
      <w:r>
        <w:rPr>
          <w:rFonts w:ascii="arial" w:eastAsia="arial" w:hAnsi="arial" w:cs="arial"/>
          <w:color w:val="000000"/>
          <w:sz w:val="20"/>
          <w:lang w:val="en-US" w:eastAsia="en-US" w:bidi="ar-SA"/>
        </w:rPr>
        <w:t xml:space="preserve"> the policy that created the breach of s. 15(1) of the </w:t>
      </w:r>
      <w:r>
        <w:rPr>
          <w:rFonts w:ascii="arial" w:eastAsia="arial" w:hAnsi="arial" w:cs="arial"/>
          <w:i/>
          <w:color w:val="000000"/>
          <w:sz w:val="20"/>
          <w:lang w:val="en-US" w:eastAsia="en-US" w:bidi="ar-SA"/>
        </w:rPr>
        <w:t>Charter</w:t>
      </w:r>
      <w:r>
        <w:rPr>
          <w:rFonts w:ascii="arial" w:eastAsia="arial" w:hAnsi="arial" w:cs="arial"/>
          <w:color w:val="000000"/>
          <w:sz w:val="20"/>
          <w:lang w:val="en-US" w:eastAsia="en-US" w:bidi="ar-SA"/>
        </w:rPr>
        <w:t xml:space="preserve">; second, that the policy, as applied by the WCAT in the present case, is in the modified form found at Schedule "A" to the reasons for judgment in </w:t>
      </w:r>
      <w:r>
        <w:rPr>
          <w:rFonts w:ascii="arial" w:eastAsia="arial" w:hAnsi="arial" w:cs="arial"/>
          <w:i/>
          <w:color w:val="000000"/>
          <w:sz w:val="20"/>
          <w:lang w:val="en-US" w:eastAsia="en-US" w:bidi="ar-SA"/>
        </w:rPr>
        <w:t>Plesner;</w:t>
      </w:r>
      <w:r>
        <w:rPr>
          <w:rFonts w:ascii="arial" w:eastAsia="arial" w:hAnsi="arial" w:cs="arial"/>
          <w:color w:val="000000"/>
          <w:sz w:val="20"/>
          <w:lang w:val="en-US" w:eastAsia="en-US" w:bidi="ar-SA"/>
        </w:rPr>
        <w:t xml:space="preserve"> and third, that no </w:t>
      </w:r>
      <w:r>
        <w:rPr>
          <w:rFonts w:ascii="arial" w:eastAsia="arial" w:hAnsi="arial" w:cs="arial"/>
          <w:i/>
          <w:color w:val="000000"/>
          <w:sz w:val="20"/>
          <w:lang w:val="en-US" w:eastAsia="en-US" w:bidi="ar-SA"/>
        </w:rPr>
        <w:t>Charter</w:t>
      </w:r>
      <w:r>
        <w:rPr>
          <w:rFonts w:ascii="arial" w:eastAsia="arial" w:hAnsi="arial" w:cs="arial"/>
          <w:color w:val="000000"/>
          <w:sz w:val="20"/>
          <w:lang w:val="en-US" w:eastAsia="en-US" w:bidi="ar-SA"/>
        </w:rPr>
        <w:t xml:space="preserve"> issue is raised in the present case relating to s. 5.1(1)(a) or the modified policy.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46</w:t>
      </w:r>
      <w:r>
        <w:rPr>
          <w:rFonts w:ascii="arial" w:eastAsia="arial" w:hAnsi="arial" w:cs="arial"/>
          <w:color w:val="000000"/>
          <w:sz w:val="20"/>
          <w:lang w:val="en-US" w:eastAsia="en-US" w:bidi="ar-SA"/>
        </w:rPr>
        <w:t>  I mention the last point because the Court of Appeal made it clear that it was not ruling on other aspects of the provisions that may be discriminatory (at paras. 144 and 145):</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144</w:t>
      </w:r>
      <w:r>
        <w:rPr>
          <w:rFonts w:ascii="arial" w:eastAsia="arial" w:hAnsi="arial" w:cs="arial"/>
          <w:color w:val="000000"/>
          <w:sz w:val="20"/>
          <w:lang w:val="en-US" w:eastAsia="en-US" w:bidi="ar-SA"/>
        </w:rPr>
        <w:t xml:space="preserve"> While counsel for the parties analyzed s. 5.1(1)(a) and Policy 13.30 separately for the purpose of the s. 15(1) analysis (indeed, the Attorney General did not make any submissions on the constitutionality of Policy 13.30), I find that it is only when the provisions are read together that the discriminatory effect of s. 5.1(1)(a) is realized. For the purposes of this analysis, and given the fact that the chronic stress provisions of s. 5.1(1)(a) and Policy 13.30 are not in issue in this appeal, I find that it is the descriptor of "traumatic event" in s. 5.1(1)(a), as qualified in Policy 13.30, which gives rise to substantive discrimination on the basis of mental disability in this case. There may well be other aspects of these provisions which are discriminatory, but they are not in issue on this appeal and will have to be left to another day.</w:t>
      </w:r>
    </w:p>
    <w:p>
      <w:pPr>
        <w:spacing w:before="120"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145</w:t>
      </w:r>
      <w:r>
        <w:rPr>
          <w:rFonts w:ascii="arial" w:eastAsia="arial" w:hAnsi="arial" w:cs="arial"/>
          <w:color w:val="000000"/>
          <w:sz w:val="20"/>
          <w:lang w:val="en-US" w:eastAsia="en-US" w:bidi="ar-SA"/>
        </w:rPr>
        <w:t xml:space="preserve"> In summary on this point, I find favour with most of the arguments raised by Mr. Plesner. The significant difference is that I do not find that s. 5.1(1)(a), in itself, gives rise to substantive discrimination, but that it does so when read in conjunction with Policy 13.30, as s. 250 of the </w:t>
      </w:r>
      <w:r>
        <w:rPr>
          <w:rFonts w:ascii="arial" w:eastAsia="arial" w:hAnsi="arial" w:cs="arial"/>
          <w:i/>
          <w:color w:val="000000"/>
          <w:sz w:val="20"/>
          <w:lang w:val="en-US" w:eastAsia="en-US" w:bidi="ar-SA"/>
        </w:rPr>
        <w:t>Act</w:t>
      </w:r>
      <w:r>
        <w:rPr>
          <w:rFonts w:ascii="arial" w:eastAsia="arial" w:hAnsi="arial" w:cs="arial"/>
          <w:color w:val="000000"/>
          <w:sz w:val="20"/>
          <w:lang w:val="en-US" w:eastAsia="en-US" w:bidi="ar-SA"/>
        </w:rPr>
        <w:t xml:space="preserve"> requires.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47</w:t>
      </w:r>
      <w:r>
        <w:rPr>
          <w:rFonts w:ascii="arial" w:eastAsia="arial" w:hAnsi="arial" w:cs="arial"/>
          <w:color w:val="000000"/>
          <w:sz w:val="20"/>
          <w:lang w:val="en-US" w:eastAsia="en-US" w:bidi="ar-SA"/>
        </w:rPr>
        <w:t xml:space="preserve">  Justice Prowse also found that the breach was not justified under s. 1 of the </w:t>
      </w:r>
      <w:r>
        <w:rPr>
          <w:rFonts w:ascii="arial" w:eastAsia="arial" w:hAnsi="arial" w:cs="arial"/>
          <w:i/>
          <w:color w:val="000000"/>
          <w:sz w:val="20"/>
          <w:lang w:val="en-US" w:eastAsia="en-US" w:bidi="ar-SA"/>
        </w:rPr>
        <w:t>Charter.</w:t>
      </w:r>
      <w:r>
        <w:rPr>
          <w:rFonts w:ascii="arial" w:eastAsia="arial" w:hAnsi="arial" w:cs="arial"/>
          <w:color w:val="000000"/>
          <w:sz w:val="20"/>
          <w:lang w:val="en-US" w:eastAsia="en-US" w:bidi="ar-SA"/>
        </w:rPr>
        <w:t xml:space="preserve"> I keep in mind that it was within this section of the judgment that the passages respecting causation referenced by the WCAT in the present case are found.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48</w:t>
      </w:r>
      <w:r>
        <w:rPr>
          <w:rFonts w:ascii="arial" w:eastAsia="arial" w:hAnsi="arial" w:cs="arial"/>
          <w:color w:val="000000"/>
          <w:sz w:val="20"/>
          <w:lang w:val="en-US" w:eastAsia="en-US" w:bidi="ar-SA"/>
        </w:rPr>
        <w:t>  The Court rejected the arguments for justification and, by way of remedy, as is now apparent, struck "those provisions of Policy 13.30 which define and describe a 'traumatic event', including the examples given" (at para. 164). The judgment goes on, however, to leave it to the Workers' Compensation Board to revisit the policy as a whole in light of the reasons "perhaps in consultation with the Legislature insofar as both s. 5.1(1)(a) and the Policy are inextricably tied, with a view to determining to what extent, if at all, further revisions may be necessary or appropriate" (para. 166).</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49</w:t>
      </w:r>
      <w:r>
        <w:rPr>
          <w:rFonts w:ascii="arial" w:eastAsia="arial" w:hAnsi="arial" w:cs="arial"/>
          <w:color w:val="000000"/>
          <w:sz w:val="20"/>
          <w:lang w:val="en-US" w:eastAsia="en-US" w:bidi="ar-SA"/>
        </w:rPr>
        <w:t xml:space="preserve">  It is also instructive to identify the differences between the two versions of the policy. As set out above, the policy, in its previous form, provided illustrative examples of the requisite "traumatic event" under s. 5.1(1)(a). Justice Prowse concluded that the wording of the policy "makes it clear that the requisite 'traumatic event' has to be objectively akin to 'horrifying' in nature and of the magnitude of such events as an armed robbery, hostage taking or death threat" (para. 120). She referred to </w:t>
      </w:r>
      <w:r>
        <w:rPr>
          <w:rFonts w:ascii="arial" w:eastAsia="arial" w:hAnsi="arial" w:cs="arial"/>
          <w:i/>
          <w:color w:val="000000"/>
          <w:sz w:val="20"/>
          <w:lang w:val="en-US" w:eastAsia="en-US" w:bidi="ar-SA"/>
        </w:rPr>
        <w:t>WCAT-2006-04666</w:t>
      </w:r>
      <w:r>
        <w:rPr>
          <w:rFonts w:ascii="arial" w:eastAsia="arial" w:hAnsi="arial" w:cs="arial"/>
          <w:color w:val="000000"/>
          <w:sz w:val="20"/>
          <w:lang w:val="en-US" w:eastAsia="en-US" w:bidi="ar-SA"/>
        </w:rPr>
        <w:t xml:space="preserve"> (18 December 2006) in which the panel described the narrowed scope of a compensable mental stress claim, at p. 15 of the decision, as follows (at para. 142):</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Board's policy at item #13.30 of the RSCM II provides direction on the characterization of a traumatic event by providing examples of events or incidents which the directors of the Board recognize as "traumatic". It is evident from the examples provided that the circumstances must be quite extreme before a claim may be accepted and compensation paid. Modifiers such as "horrific" are used to stress the extremely traumatic character of the experience. The nature of the examples listed in policy is such that most workers will likely seldom, if ever encounter such an incident or event. They involve situations not of simple violence; rather, the actual or threatened violence is extreme, up to and including death. In the case of sudden and unexpected trauma involving "actual or threatened physical violence or sexual assault", the causal significance should be weighed in a manner that is consistent with the listed examples as to what is viewed, by policy, as a "severely emotionally disturbing event."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50</w:t>
      </w:r>
      <w:r>
        <w:rPr>
          <w:rFonts w:ascii="arial" w:eastAsia="arial" w:hAnsi="arial" w:cs="arial"/>
          <w:color w:val="000000"/>
          <w:sz w:val="20"/>
          <w:lang w:val="en-US" w:eastAsia="en-US" w:bidi="ar-SA"/>
        </w:rPr>
        <w:t xml:space="preserve">  The policy in its present form, as set out at para. 37 of these reasons, differs from that found at Schedule "A" to the </w:t>
      </w:r>
      <w:r>
        <w:rPr>
          <w:rFonts w:ascii="arial" w:eastAsia="arial" w:hAnsi="arial" w:cs="arial"/>
          <w:i/>
          <w:color w:val="000000"/>
          <w:sz w:val="20"/>
          <w:lang w:val="en-US" w:eastAsia="en-US" w:bidi="ar-SA"/>
        </w:rPr>
        <w:t>Plesner</w:t>
      </w:r>
      <w:r>
        <w:rPr>
          <w:rFonts w:ascii="arial" w:eastAsia="arial" w:hAnsi="arial" w:cs="arial"/>
          <w:color w:val="000000"/>
          <w:sz w:val="20"/>
          <w:lang w:val="en-US" w:eastAsia="en-US" w:bidi="ar-SA"/>
        </w:rPr>
        <w:t xml:space="preserve"> decision. This probably indicates that the board of directors accepted the court's invitation to make further revisions. Counsel did not address the significance of any of those changes before me and, accordingly, I will not comment on them further. The revised policy retains the requirement in the version approved in </w:t>
      </w:r>
      <w:r>
        <w:rPr>
          <w:rFonts w:ascii="arial" w:eastAsia="arial" w:hAnsi="arial" w:cs="arial"/>
          <w:i/>
          <w:color w:val="000000"/>
          <w:sz w:val="20"/>
          <w:lang w:val="en-US" w:eastAsia="en-US" w:bidi="ar-SA"/>
        </w:rPr>
        <w:t>Plesner</w:t>
      </w:r>
      <w:r>
        <w:rPr>
          <w:rFonts w:ascii="arial" w:eastAsia="arial" w:hAnsi="arial" w:cs="arial"/>
          <w:color w:val="000000"/>
          <w:sz w:val="20"/>
          <w:lang w:val="en-US" w:eastAsia="en-US" w:bidi="ar-SA"/>
        </w:rPr>
        <w:t xml:space="preserve"> that the "traumatic event" must be:</w:t>
      </w:r>
      <w:r>
        <w:rPr>
          <w:rFonts w:ascii="arial" w:eastAsia="arial" w:hAnsi="arial" w:cs="arial"/>
          <w:sz w:val="20"/>
          <w:lang w:val="en-US" w:eastAsia="en-US" w:bidi="ar-SA"/>
        </w:rPr>
        <w:cr/>
      </w:r>
    </w:p>
    <w:p>
      <w:pPr>
        <w:numPr>
          <w:numId w:val="26"/>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clearly and objectively identifiable; and</w:t>
      </w:r>
    </w:p>
    <w:p>
      <w:pPr>
        <w:numPr>
          <w:numId w:val="27"/>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sudden and unexpected in the course of the worker's employment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but deletes the impugned examples that objectified the standard to "horrifying" events. I repeat that counsel did not contend before me that the policy was patently unreasonable.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51</w:t>
      </w:r>
      <w:r>
        <w:rPr>
          <w:rFonts w:ascii="arial" w:eastAsia="arial" w:hAnsi="arial" w:cs="arial"/>
          <w:color w:val="000000"/>
          <w:sz w:val="20"/>
          <w:lang w:val="en-US" w:eastAsia="en-US" w:bidi="ar-SA"/>
        </w:rPr>
        <w:t>  I turn next to the specific submissions of the petitioners.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i/>
          <w:color w:val="000000"/>
          <w:sz w:val="20"/>
          <w:lang w:val="en-US" w:eastAsia="en-US" w:bidi="ar-SA"/>
        </w:rPr>
        <w:t>1. Did the WCAT err in concluding that the event was not unexpected?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52</w:t>
      </w:r>
      <w:r>
        <w:rPr>
          <w:rFonts w:ascii="arial" w:eastAsia="arial" w:hAnsi="arial" w:cs="arial"/>
          <w:color w:val="000000"/>
          <w:sz w:val="20"/>
          <w:lang w:val="en-US" w:eastAsia="en-US" w:bidi="ar-SA"/>
        </w:rPr>
        <w:t>  To succeed on their first contention, the petitioners need to demonstrate that the factual conclusions referred to by the WCAT or its interpretation of s. 5(1)(a) was patently unreasonable. The findings of fact, to which I have already referred, are supported by the record; rational and understandable; and are defensible. It is well understood that it is not for this court, on a judicial review, to reweigh the evidence. I see nothing unreasonable in the WCAT inferring an expectation from the evidence about Webster's prior course of conduct in relation to both Christianson and other employees to the extent that she was aware of the latter.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53</w:t>
      </w:r>
      <w:r>
        <w:rPr>
          <w:rFonts w:ascii="arial" w:eastAsia="arial" w:hAnsi="arial" w:cs="arial"/>
          <w:color w:val="000000"/>
          <w:sz w:val="20"/>
          <w:lang w:val="en-US" w:eastAsia="en-US" w:bidi="ar-SA"/>
        </w:rPr>
        <w:t xml:space="preserve">  As to the interpretation of the </w:t>
      </w:r>
      <w:r>
        <w:rPr>
          <w:rFonts w:ascii="arial" w:eastAsia="arial" w:hAnsi="arial" w:cs="arial"/>
          <w:i/>
          <w:color w:val="000000"/>
          <w:sz w:val="20"/>
          <w:lang w:val="en-US" w:eastAsia="en-US" w:bidi="ar-SA"/>
        </w:rPr>
        <w:t>WCA</w:t>
      </w:r>
      <w:r>
        <w:rPr>
          <w:rFonts w:ascii="arial" w:eastAsia="arial" w:hAnsi="arial" w:cs="arial"/>
          <w:color w:val="000000"/>
          <w:sz w:val="20"/>
          <w:lang w:val="en-US" w:eastAsia="en-US" w:bidi="ar-SA"/>
        </w:rPr>
        <w:t>, the petitioners refer to the following passage in the decision as a correct statement of the test to be applied when determining if the traumatic event was "unexpected":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[106] The test, as described in the practice directive, is not whether the event was sudden and unexpected to the particular worker, on a subjective basis. Rather, the test is whether the event was, objectively, sudden and unexpected for someone employed in that particular occupation. We consider this test consistent with the Act and policy item #13.30. In particular, although policy item #13.30 does not refer to a wholly objective standard, it is certainly consistent with the policy to take into account the objective differences between occupations and the types of situations commonly encountered in those occupations. ...</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Counsel for DCL emphasized the second sentence of the extract. There are two problems with this submission.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54</w:t>
      </w:r>
      <w:r>
        <w:rPr>
          <w:rFonts w:ascii="arial" w:eastAsia="arial" w:hAnsi="arial" w:cs="arial"/>
          <w:color w:val="000000"/>
          <w:sz w:val="20"/>
          <w:lang w:val="en-US" w:eastAsia="en-US" w:bidi="ar-SA"/>
        </w:rPr>
        <w:t>  First, it ignores the distinction between policy and practice directives and, in particular, the fact that the latter is not binding on the WCAT. While the practice directive may or may not be persuasive reasoning, it would be impossible to criticize the WCAT for following another defensible interpretation.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55</w:t>
      </w:r>
      <w:r>
        <w:rPr>
          <w:rFonts w:ascii="arial" w:eastAsia="arial" w:hAnsi="arial" w:cs="arial"/>
          <w:color w:val="000000"/>
          <w:sz w:val="20"/>
          <w:lang w:val="en-US" w:eastAsia="en-US" w:bidi="ar-SA"/>
        </w:rPr>
        <w:t>  Second, the submission overlooks the significance of the next and final sentence in para. 106:</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Consequently, if, in the particular circumstances of a worker's employment, a particular situation is known to occur with some frequency, we consider it appropriate to take this knowledge into account in assessing whether the event was unexpected.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A close reading of the practice directive demonstrates that it is rationally capable of supporting a narrower reading of "sudden and unexpected in the course of the worker's employment" when applied with regard to high stress occupations but not others.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56</w:t>
      </w:r>
      <w:r>
        <w:rPr>
          <w:rFonts w:ascii="arial" w:eastAsia="arial" w:hAnsi="arial" w:cs="arial"/>
          <w:color w:val="000000"/>
          <w:sz w:val="20"/>
          <w:lang w:val="en-US" w:eastAsia="en-US" w:bidi="ar-SA"/>
        </w:rPr>
        <w:t>  Practice Directive #C3-3 specifically states: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relative threshold for characterizing a specific traumatic event as "sudden and unexpected" for workers in high stress occupations such as policing, air traffic control, or emergency medical aid, may well differ from other types of occupations.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One example referred to is the sight of blood during an operation for an operating room nurse. As pointed out in the directive, the sight of blood in those circumstances would not objectively be viewed as sudden and unexpected. As the WCAT pointed out in its decision, the practice directive does not necessarily preclude subjective considerations in other employment circumstances and policy item 13.30 does not refer to a "wholly objective standard" (para. 106).</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57</w:t>
      </w:r>
      <w:r>
        <w:rPr>
          <w:rFonts w:ascii="arial" w:eastAsia="arial" w:hAnsi="arial" w:cs="arial"/>
          <w:color w:val="000000"/>
          <w:sz w:val="20"/>
          <w:lang w:val="en-US" w:eastAsia="en-US" w:bidi="ar-SA"/>
        </w:rPr>
        <w:t xml:space="preserve">  Although the WCAT does not say so in its decision, it may also be wrong to strictly apply an objective test to high stress occupations. Removing all subjective considerations from the causative threshold insofar as high stress occupations are concerned may run afoul of the reasoning in </w:t>
      </w:r>
      <w:r>
        <w:rPr>
          <w:rFonts w:ascii="arial" w:eastAsia="arial" w:hAnsi="arial" w:cs="arial"/>
          <w:i/>
          <w:color w:val="000000"/>
          <w:sz w:val="20"/>
          <w:lang w:val="en-US" w:eastAsia="en-US" w:bidi="ar-SA"/>
        </w:rPr>
        <w:t>Plesner</w:t>
      </w:r>
      <w:r>
        <w:rPr>
          <w:rFonts w:ascii="arial" w:eastAsia="arial" w:hAnsi="arial" w:cs="arial"/>
          <w:color w:val="000000"/>
          <w:sz w:val="20"/>
          <w:lang w:val="en-US" w:eastAsia="en-US" w:bidi="ar-SA"/>
        </w:rPr>
        <w:t>, but that issue does not arise in the present proceeding.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58</w:t>
      </w:r>
      <w:r>
        <w:rPr>
          <w:rFonts w:ascii="arial" w:eastAsia="arial" w:hAnsi="arial" w:cs="arial"/>
          <w:color w:val="000000"/>
          <w:sz w:val="20"/>
          <w:lang w:val="en-US" w:eastAsia="en-US" w:bidi="ar-SA"/>
        </w:rPr>
        <w:t>  In any event, it was rational, understandable and within the defensible range for the WCAT to take into account Christianson's knowledge of how Webster would react to a particular situation, in determining whether the event was sudden and unexpected for someone employed in the circumstances that Christianson was at the material time . I do not accept that to do so was clearly unreasonable as counsel for DCL submitted.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59</w:t>
      </w:r>
      <w:r>
        <w:rPr>
          <w:rFonts w:ascii="arial" w:eastAsia="arial" w:hAnsi="arial" w:cs="arial"/>
          <w:color w:val="000000"/>
          <w:sz w:val="20"/>
          <w:lang w:val="en-US" w:eastAsia="en-US" w:bidi="ar-SA"/>
        </w:rPr>
        <w:t>  As a result, I accept that the WCAT was entitled to take into account, as it did, Christianson's evidence respecting her apprehension of Webster; that Webster's conduct on January 12, 2006, was consistent with what Christianson could reasonably have expected; that by acting on instructions based on information provided by the clients, Christianson knew that she was contravening Webster's instructions without having communicated it to him; and, in those circumstances and having regard to the nature of her previous interactions with Webster, Webster's reaction on January 12, 2006, was not unexpected to Christianson.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60</w:t>
      </w:r>
      <w:r>
        <w:rPr>
          <w:rFonts w:ascii="arial" w:eastAsia="arial" w:hAnsi="arial" w:cs="arial"/>
          <w:color w:val="000000"/>
          <w:sz w:val="20"/>
          <w:lang w:val="en-US" w:eastAsia="en-US" w:bidi="ar-SA"/>
        </w:rPr>
        <w:t>  As further set out in the decision, at para. 109:</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the plaintiff could reasonably have foreseen that Webster would react badly to the discovery that she was not following his instructions based on information provided by the clients and without having reviewed this with him or the insurance adjuster directly.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61</w:t>
      </w:r>
      <w:r>
        <w:rPr>
          <w:rFonts w:ascii="arial" w:eastAsia="arial" w:hAnsi="arial" w:cs="arial"/>
          <w:color w:val="000000"/>
          <w:sz w:val="20"/>
          <w:lang w:val="en-US" w:eastAsia="en-US" w:bidi="ar-SA"/>
        </w:rPr>
        <w:t>  This conclusion was, in my view, within the defensible range to which I have referred. The petitioners' first argument fails as a result.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i/>
          <w:color w:val="000000"/>
          <w:sz w:val="20"/>
          <w:lang w:val="en-US" w:eastAsia="en-US" w:bidi="ar-SA"/>
        </w:rPr>
        <w:t>2. Did the WCAT err in concluding, for the purpose of s. 257(2) of the WCA, that the plaintiff's mental stress injury did not arise out of and in the course of her employment within the scope of Part 1 of the WCA?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62</w:t>
      </w:r>
      <w:r>
        <w:rPr>
          <w:rFonts w:ascii="arial" w:eastAsia="arial" w:hAnsi="arial" w:cs="arial"/>
          <w:color w:val="000000"/>
          <w:sz w:val="20"/>
          <w:lang w:val="en-US" w:eastAsia="en-US" w:bidi="ar-SA"/>
        </w:rPr>
        <w:t>  As before, the petitioners must demonstrate that the conclusion is patently unreasonable. As I understand the position of the petitioners, they repeat much of their submission on the previous issue and say that the WCAT erred in applying other than a completely objective test in determining that the "traumatic event" was not sudden and unexpected.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63</w:t>
      </w:r>
      <w:r>
        <w:rPr>
          <w:rFonts w:ascii="arial" w:eastAsia="arial" w:hAnsi="arial" w:cs="arial"/>
          <w:color w:val="000000"/>
          <w:sz w:val="20"/>
          <w:lang w:val="en-US" w:eastAsia="en-US" w:bidi="ar-SA"/>
        </w:rPr>
        <w:t>  Counsel for Webster also offered an alternative interpretation of the phrase "sudden and unexpected"; he says that the two words, sudden and unexpected, according to their ordinary dictionary meanings, are synonymous such that there is "no meaningful distinction" between them. While that may be a defensible interpretation, it is not, in my respectful view, the only one. For example, to describe an event as "sudden" may import an aspect of temporality, whereas "unexpected" may relate to the predictability of the event. Regardless, I am satisfied that the WCAT interpretation of the legislation lies within the rationally defensible range of choices.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64</w:t>
      </w:r>
      <w:r>
        <w:rPr>
          <w:rFonts w:ascii="arial" w:eastAsia="arial" w:hAnsi="arial" w:cs="arial"/>
          <w:color w:val="000000"/>
          <w:sz w:val="20"/>
          <w:lang w:val="en-US" w:eastAsia="en-US" w:bidi="ar-SA"/>
        </w:rPr>
        <w:t xml:space="preserve">  As I have stated earlier, the interpretation that the WCAT settled on is based on a defensible rational interpretation of the </w:t>
      </w:r>
      <w:r>
        <w:rPr>
          <w:rFonts w:ascii="arial" w:eastAsia="arial" w:hAnsi="arial" w:cs="arial"/>
          <w:i/>
          <w:color w:val="000000"/>
          <w:sz w:val="20"/>
          <w:lang w:val="en-US" w:eastAsia="en-US" w:bidi="ar-SA"/>
        </w:rPr>
        <w:t>WCA</w:t>
      </w:r>
      <w:r>
        <w:rPr>
          <w:rFonts w:ascii="arial" w:eastAsia="arial" w:hAnsi="arial" w:cs="arial"/>
          <w:color w:val="000000"/>
          <w:sz w:val="20"/>
          <w:lang w:val="en-US" w:eastAsia="en-US" w:bidi="ar-SA"/>
        </w:rPr>
        <w:t xml:space="preserve">. It is not open to me to substitute a different possible interpretation. Just because, as Butler J. stated in </w:t>
      </w:r>
      <w:r>
        <w:rPr>
          <w:rFonts w:ascii="arial" w:eastAsia="arial" w:hAnsi="arial" w:cs="arial"/>
          <w:i/>
          <w:color w:val="000000"/>
          <w:sz w:val="20"/>
          <w:lang w:val="en-US" w:eastAsia="en-US" w:bidi="ar-SA"/>
        </w:rPr>
        <w:t>Hill</w:t>
      </w:r>
      <w:r>
        <w:rPr>
          <w:rFonts w:ascii="arial" w:eastAsia="arial" w:hAnsi="arial" w:cs="arial"/>
          <w:color w:val="000000"/>
          <w:sz w:val="20"/>
          <w:lang w:val="en-US" w:eastAsia="en-US" w:bidi="ar-SA"/>
        </w:rPr>
        <w:t xml:space="preserve"> at para. 27, it is possible to interpret "trauma" as including a subjective element, it cannot be said to be patently unreasonable for the WCAT to interpret it objectively. It is important to remember that </w:t>
      </w:r>
      <w:r>
        <w:rPr>
          <w:rFonts w:ascii="arial" w:eastAsia="arial" w:hAnsi="arial" w:cs="arial"/>
          <w:i/>
          <w:color w:val="000000"/>
          <w:sz w:val="20"/>
          <w:lang w:val="en-US" w:eastAsia="en-US" w:bidi="ar-SA"/>
        </w:rPr>
        <w:t>Hill</w:t>
      </w:r>
      <w:r>
        <w:rPr>
          <w:rFonts w:ascii="arial" w:eastAsia="arial" w:hAnsi="arial" w:cs="arial"/>
          <w:color w:val="000000"/>
          <w:sz w:val="20"/>
          <w:lang w:val="en-US" w:eastAsia="en-US" w:bidi="ar-SA"/>
        </w:rPr>
        <w:t xml:space="preserve"> pre-dates </w:t>
      </w:r>
      <w:r>
        <w:rPr>
          <w:rFonts w:ascii="arial" w:eastAsia="arial" w:hAnsi="arial" w:cs="arial"/>
          <w:i/>
          <w:color w:val="000000"/>
          <w:sz w:val="20"/>
          <w:lang w:val="en-US" w:eastAsia="en-US" w:bidi="ar-SA"/>
        </w:rPr>
        <w:t>Plesner</w:t>
      </w:r>
      <w:r>
        <w:rPr>
          <w:rFonts w:ascii="arial" w:eastAsia="arial" w:hAnsi="arial" w:cs="arial"/>
          <w:color w:val="000000"/>
          <w:sz w:val="20"/>
          <w:lang w:val="en-US" w:eastAsia="en-US" w:bidi="ar-SA"/>
        </w:rPr>
        <w:t xml:space="preserve"> and dealt with the previous policy. Accordingly, it is not direct authority for the interpretation of the present policy.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65</w:t>
      </w:r>
      <w:r>
        <w:rPr>
          <w:rFonts w:ascii="arial" w:eastAsia="arial" w:hAnsi="arial" w:cs="arial"/>
          <w:color w:val="000000"/>
          <w:sz w:val="20"/>
          <w:lang w:val="en-US" w:eastAsia="en-US" w:bidi="ar-SA"/>
        </w:rPr>
        <w:t>  Counsel for Webster goes a step further in his submission. He says that, even if the WCAT was right in concluding that Webster's conduct was not unexpected: "it leads only to a determination that the mental stress suffered by the plaintiff does not qualify for payment of compensation under section 5.1 of the Act". It does not, he continues, "change the fact that whatever mental stress the Plaintiff suffered still clearly arose 'out of and in the course of the worker's employment'" and accordingly, the second determination under s. 257, namely that the mental stress injury did not arise out of and in the course of Christianson's employment is patently unreasonable.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66</w:t>
      </w:r>
      <w:r>
        <w:rPr>
          <w:rFonts w:ascii="arial" w:eastAsia="arial" w:hAnsi="arial" w:cs="arial"/>
          <w:color w:val="000000"/>
          <w:sz w:val="20"/>
          <w:lang w:val="en-US" w:eastAsia="en-US" w:bidi="ar-SA"/>
        </w:rPr>
        <w:t xml:space="preserve">  With respect, counsel misapprehends the discussion of statutory causation recited earlier in my reasons taken from </w:t>
      </w:r>
      <w:r>
        <w:rPr>
          <w:rFonts w:ascii="arial" w:eastAsia="arial" w:hAnsi="arial" w:cs="arial"/>
          <w:i/>
          <w:color w:val="000000"/>
          <w:sz w:val="20"/>
          <w:lang w:val="en-US" w:eastAsia="en-US" w:bidi="ar-SA"/>
        </w:rPr>
        <w:t>Hill, Kovach</w:t>
      </w:r>
      <w:r>
        <w:rPr>
          <w:rFonts w:ascii="arial" w:eastAsia="arial" w:hAnsi="arial" w:cs="arial"/>
          <w:color w:val="000000"/>
          <w:sz w:val="20"/>
          <w:lang w:val="en-US" w:eastAsia="en-US" w:bidi="ar-SA"/>
        </w:rPr>
        <w:t xml:space="preserve"> and </w:t>
      </w:r>
      <w:r>
        <w:rPr>
          <w:rFonts w:ascii="arial" w:eastAsia="arial" w:hAnsi="arial" w:cs="arial"/>
          <w:i/>
          <w:color w:val="000000"/>
          <w:sz w:val="20"/>
          <w:lang w:val="en-US" w:eastAsia="en-US" w:bidi="ar-SA"/>
        </w:rPr>
        <w:t>Plesner.</w:t>
      </w:r>
      <w:r>
        <w:rPr>
          <w:rFonts w:ascii="arial" w:eastAsia="arial" w:hAnsi="arial" w:cs="arial"/>
          <w:color w:val="000000"/>
          <w:sz w:val="20"/>
          <w:lang w:val="en-US" w:eastAsia="en-US" w:bidi="ar-SA"/>
        </w:rPr>
        <w:t xml:space="preserve"> One important aspect of that discussion is referred to in </w:t>
      </w:r>
      <w:r>
        <w:rPr>
          <w:rFonts w:ascii="arial" w:eastAsia="arial" w:hAnsi="arial" w:cs="arial"/>
          <w:i/>
          <w:color w:val="000000"/>
          <w:sz w:val="20"/>
          <w:lang w:val="en-US" w:eastAsia="en-US" w:bidi="ar-SA"/>
        </w:rPr>
        <w:t>Plesner,</w:t>
      </w:r>
      <w:r>
        <w:rPr>
          <w:rFonts w:ascii="arial" w:eastAsia="arial" w:hAnsi="arial" w:cs="arial"/>
          <w:color w:val="000000"/>
          <w:sz w:val="20"/>
          <w:lang w:val="en-US" w:eastAsia="en-US" w:bidi="ar-SA"/>
        </w:rPr>
        <w:t xml:space="preserve"> at para. 104, that is, the: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historic trade-off giving rise to workers compensation legislation whereby workers gave up their right to sue their employers (and co-workers) in tort for work-related injuries, in return for compensation on a no fault basis. ...</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That is central to an understanding of the legislative history of the </w:t>
      </w:r>
      <w:r>
        <w:rPr>
          <w:rFonts w:ascii="arial" w:eastAsia="arial" w:hAnsi="arial" w:cs="arial"/>
          <w:i/>
          <w:color w:val="000000"/>
          <w:sz w:val="20"/>
          <w:lang w:val="en-US" w:eastAsia="en-US" w:bidi="ar-SA"/>
        </w:rPr>
        <w:t>WCA</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67</w:t>
      </w:r>
      <w:r>
        <w:rPr>
          <w:rFonts w:ascii="arial" w:eastAsia="arial" w:hAnsi="arial" w:cs="arial"/>
          <w:color w:val="000000"/>
          <w:sz w:val="20"/>
          <w:lang w:val="en-US" w:eastAsia="en-US" w:bidi="ar-SA"/>
        </w:rPr>
        <w:t xml:space="preserve">  In spite of this fundamental consideration, the interpretation of s. 257 that the petitioners contend for would leave Christianson without remedy under either the </w:t>
      </w:r>
      <w:r>
        <w:rPr>
          <w:rFonts w:ascii="arial" w:eastAsia="arial" w:hAnsi="arial" w:cs="arial"/>
          <w:i/>
          <w:color w:val="000000"/>
          <w:sz w:val="20"/>
          <w:lang w:val="en-US" w:eastAsia="en-US" w:bidi="ar-SA"/>
        </w:rPr>
        <w:t>WCA</w:t>
      </w:r>
      <w:r>
        <w:rPr>
          <w:rFonts w:ascii="arial" w:eastAsia="arial" w:hAnsi="arial" w:cs="arial"/>
          <w:color w:val="000000"/>
          <w:sz w:val="20"/>
          <w:lang w:val="en-US" w:eastAsia="en-US" w:bidi="ar-SA"/>
        </w:rPr>
        <w:t xml:space="preserve"> or in tort. Such a result would, in my view, create a "black hole" for workers and be contrary to the legislative scheme.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68</w:t>
      </w:r>
      <w:r>
        <w:rPr>
          <w:rFonts w:ascii="arial" w:eastAsia="arial" w:hAnsi="arial" w:cs="arial"/>
          <w:color w:val="000000"/>
          <w:sz w:val="20"/>
          <w:lang w:val="en-US" w:eastAsia="en-US" w:bidi="ar-SA"/>
        </w:rPr>
        <w:t xml:space="preserve">  Absent a right to claim no fault benefits under workers compensation legislation, workers are otherwise able to sue co-workers and employees for tortious conduct that occurs in the workplace. A proper understanding of the </w:t>
      </w:r>
      <w:r>
        <w:rPr>
          <w:rFonts w:ascii="arial" w:eastAsia="arial" w:hAnsi="arial" w:cs="arial"/>
          <w:i/>
          <w:color w:val="000000"/>
          <w:sz w:val="20"/>
          <w:lang w:val="en-US" w:eastAsia="en-US" w:bidi="ar-SA"/>
        </w:rPr>
        <w:t>WCA</w:t>
      </w:r>
      <w:r>
        <w:rPr>
          <w:rFonts w:ascii="arial" w:eastAsia="arial" w:hAnsi="arial" w:cs="arial"/>
          <w:color w:val="000000"/>
          <w:sz w:val="20"/>
          <w:lang w:val="en-US" w:eastAsia="en-US" w:bidi="ar-SA"/>
        </w:rPr>
        <w:t xml:space="preserve"> in its legislative context supports the view that workers who may not be entitled to claim under the </w:t>
      </w:r>
      <w:r>
        <w:rPr>
          <w:rFonts w:ascii="arial" w:eastAsia="arial" w:hAnsi="arial" w:cs="arial"/>
          <w:i/>
          <w:color w:val="000000"/>
          <w:sz w:val="20"/>
          <w:lang w:val="en-US" w:eastAsia="en-US" w:bidi="ar-SA"/>
        </w:rPr>
        <w:t>WCA</w:t>
      </w:r>
      <w:r>
        <w:rPr>
          <w:rFonts w:ascii="arial" w:eastAsia="arial" w:hAnsi="arial" w:cs="arial"/>
          <w:color w:val="000000"/>
          <w:sz w:val="20"/>
          <w:lang w:val="en-US" w:eastAsia="en-US" w:bidi="ar-SA"/>
        </w:rPr>
        <w:t xml:space="preserve"> retain their right to sue for tortious conduct and the employer loses any entitlement to rely on s. 10.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69</w:t>
      </w:r>
      <w:r>
        <w:rPr>
          <w:rFonts w:ascii="arial" w:eastAsia="arial" w:hAnsi="arial" w:cs="arial"/>
          <w:color w:val="000000"/>
          <w:sz w:val="20"/>
          <w:lang w:val="en-US" w:eastAsia="en-US" w:bidi="ar-SA"/>
        </w:rPr>
        <w:t xml:space="preserve">  The s. 257 determination by the WCAT at issue in this case is determinative of this question and is entirely consistent with a historical view of the legislative history and the interpretation of the </w:t>
      </w:r>
      <w:r>
        <w:rPr>
          <w:rFonts w:ascii="arial" w:eastAsia="arial" w:hAnsi="arial" w:cs="arial"/>
          <w:i/>
          <w:color w:val="000000"/>
          <w:sz w:val="20"/>
          <w:lang w:val="en-US" w:eastAsia="en-US" w:bidi="ar-SA"/>
        </w:rPr>
        <w:t>WCA</w:t>
      </w:r>
      <w:r>
        <w:rPr>
          <w:rFonts w:ascii="arial" w:eastAsia="arial" w:hAnsi="arial" w:cs="arial"/>
          <w:color w:val="000000"/>
          <w:sz w:val="20"/>
          <w:lang w:val="en-US" w:eastAsia="en-US" w:bidi="ar-SA"/>
        </w:rPr>
        <w:t>. I do not accept the petitioners' submissions on the second issue.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i/>
          <w:color w:val="000000"/>
          <w:sz w:val="20"/>
          <w:lang w:val="en-US" w:eastAsia="en-US" w:bidi="ar-SA"/>
        </w:rPr>
        <w:t>Conclusion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70</w:t>
      </w:r>
      <w:r>
        <w:rPr>
          <w:rFonts w:ascii="arial" w:eastAsia="arial" w:hAnsi="arial" w:cs="arial"/>
          <w:color w:val="000000"/>
          <w:sz w:val="20"/>
          <w:lang w:val="en-US" w:eastAsia="en-US" w:bidi="ar-SA"/>
        </w:rPr>
        <w:t>  In the result, the petition for judicial review is dismissed in its entirety. Christianson is entitled to her costs on Scale B jointly and severally against the petitioners. Appropriately, the WCAT does not seek costs.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M.D. MACAULAY J.</w:t>
      </w:r>
      <w:r>
        <w:rPr>
          <w:rFonts w:ascii="arial" w:eastAsia="arial" w:hAnsi="arial" w:cs="arial"/>
          <w:sz w:val="20"/>
          <w:lang w:val="en-US" w:eastAsia="en-US" w:bidi="ar-SA"/>
        </w:rPr>
        <w:cr/>
      </w:r>
    </w:p>
    <w:p>
      <w:pPr>
        <w:rPr>
          <w:rFonts w:ascii="arial" w:eastAsia="arial" w:hAnsi="arial" w:cs="arial"/>
          <w:sz w:val="20"/>
          <w:lang w:val="en-US" w:eastAsia="en-US" w:bidi="ar-SA"/>
        </w:rPr>
      </w:pPr>
    </w:p>
    <w:p>
      <w:pPr>
        <w:ind w:left="200"/>
        <w:rPr>
          <w:rFonts w:ascii="arial" w:eastAsia="arial" w:hAnsi="arial" w:cs="arial"/>
          <w:sz w:val="20"/>
          <w:lang w:val="en-US" w:eastAsia="en-US" w:bidi="ar-SA"/>
        </w:rPr>
        <w:sectPr>
          <w:type w:val="continuous"/>
          <w:pgMar w:top="840" w:right="1000" w:bottom="840" w:left="1000" w:header="400" w:footer="400"/>
          <w:pgNumType w:fmt="decimal"/>
          <w:cols w:space="720"/>
        </w:sectPr>
      </w:pPr>
      <w:r>
        <w:rPr>
          <w:rFonts w:ascii="arial" w:eastAsia="arial" w:hAnsi="arial" w:cs="arial"/>
          <w:sz w:val="20"/>
          <w:lang w:val="en-US" w:eastAsia="en-US" w:bidi="ar-SA"/>
        </w:rPr>
        <w:br/>
      </w:r>
      <w:r>
        <w:pict>
          <v:line id="_x0000_s1097" style="position:absolute;z-index:251870208" from="0,10pt" to="512pt,10pt" strokecolor="black" strokeweight="1pt">
            <v:stroke linestyle="single"/>
          </v:line>
        </w:pict>
      </w:r>
      <w:r>
        <w:rPr>
          <w:b/>
          <w:color w:val="767676"/>
          <w:sz w:val="16"/>
          <w:lang w:val="en-US" w:eastAsia="en-US" w:bidi="ar-SA"/>
        </w:rPr>
        <w:t>End of Document</w:t>
      </w:r>
    </w:p>
    <w:p>
      <w:pPr>
        <w:rPr>
          <w:rFonts w:ascii="arial" w:eastAsia="arial" w:hAnsi="arial" w:cs="arial"/>
          <w:sz w:val="20"/>
          <w:lang w:val="en-US" w:eastAsia="en-US" w:bidi="ar-SA"/>
        </w:rPr>
        <w:sectPr>
          <w:headerReference w:type="even" r:id="rId385"/>
          <w:headerReference w:type="default" r:id="rId386"/>
          <w:footerReference w:type="even" r:id="rId387"/>
          <w:footerReference w:type="default" r:id="rId388"/>
          <w:headerReference w:type="first" r:id="rId389"/>
          <w:footerReference w:type="first" r:id="rId390"/>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eastAsia="arial" w:hAnsi="Arial" w:cs="Arial"/>
          <w:b/>
          <w:bCs/>
          <w:kern w:val="32"/>
          <w:sz w:val="32"/>
          <w:szCs w:val="32"/>
          <w:lang w:val="en-US" w:eastAsia="en-US" w:bidi="ar-SA"/>
        </w:rPr>
      </w:pPr>
      <w:hyperlink r:id="rId391" w:history="1">
        <w:r>
          <w:rPr>
            <w:rFonts w:ascii="arial" w:eastAsia="arial" w:hAnsi="arial" w:cs="arial"/>
            <w:b/>
            <w:bCs/>
            <w:i/>
            <w:color w:val="0077CC"/>
            <w:kern w:val="32"/>
            <w:sz w:val="28"/>
            <w:szCs w:val="32"/>
            <w:u w:val="single"/>
            <w:shd w:val="clear" w:color="auto" w:fill="FFFFFF"/>
            <w:lang w:val="en-US" w:eastAsia="en-US" w:bidi="ar-SA"/>
          </w:rPr>
          <w:t>D.P. v. 332391 B.C. Ltd., [2000] B.C.J. No. 195</w:t>
        </w:r>
      </w:hyperlink>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Judgments</w:t>
      </w:r>
    </w:p>
    <w:p>
      <w:pPr>
        <w:rPr>
          <w:rFonts w:ascii="arial" w:eastAsia="arial" w:hAnsi="arial" w:cs="arial"/>
          <w:sz w:val="20"/>
          <w:lang w:val="en-US" w:eastAsia="en-US" w:bidi="ar-SA"/>
        </w:rPr>
      </w:pP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Vancouver, British Columbia</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Oppal J.</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Heard: January 10 - 18, 2000.</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Judgment: January 31, 2000.</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Vancouver Registry No. C935967</w:t>
      </w:r>
    </w:p>
    <w:p>
      <w:pPr>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r>
        <w:rPr>
          <w:rFonts w:ascii="arial" w:eastAsia="arial" w:hAnsi="arial" w:cs="arial"/>
          <w:b/>
          <w:color w:val="000000"/>
          <w:sz w:val="20"/>
          <w:lang w:val="en-US" w:eastAsia="en-US" w:bidi="ar-SA"/>
        </w:rPr>
        <w:t>[2000] B.C.J. No. 195</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2000 BCSC 280</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72 B.C.L.R. (3d) 214</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94 A.C.W.S. (3d) 810</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[2000] B.C.T.C. 50</w:t>
      </w:r>
    </w:p>
    <w:p>
      <w:pPr>
        <w:spacing w:before="120" w:line="260" w:lineRule="atLeast"/>
        <w:rPr>
          <w:rFonts w:ascii="arial" w:eastAsia="arial" w:hAnsi="arial" w:cs="arial"/>
          <w:sz w:val="20"/>
          <w:lang w:val="en-US" w:eastAsia="en-US" w:bidi="ar-SA"/>
        </w:rPr>
      </w:pPr>
      <w:r>
        <w:rPr>
          <w:rFonts w:ascii="arial" w:eastAsia="arial" w:hAnsi="arial" w:cs="arial"/>
          <w:color w:val="000000"/>
          <w:sz w:val="20"/>
          <w:lang w:val="en-US" w:eastAsia="en-US" w:bidi="ar-SA"/>
        </w:rPr>
        <w:t>Between D.P., plaintiff, and 332391 B.C. Ltd. and Capilano Athletic Club Ltd., defendants</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(49 paras.)</w:t>
      </w:r>
    </w:p>
    <w:p>
      <w:pPr>
        <w:keepNext/>
        <w:spacing w:before="12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Case Summary</w:t>
      </w:r>
    </w:p>
    <w:p>
      <w:pPr>
        <w:spacing w:line="60" w:lineRule="exact"/>
        <w:rPr>
          <w:rFonts w:ascii="arial" w:eastAsia="arial" w:hAnsi="arial" w:cs="arial"/>
          <w:sz w:val="20"/>
          <w:lang w:val="en-US" w:eastAsia="en-US" w:bidi="ar-SA"/>
        </w:rPr>
      </w:pPr>
      <w:r>
        <w:pict>
          <v:line id="_x0000_s1098" style="position:absolute;z-index:251673600"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bookmarkStart w:id="92" w:name="Keywords_13"/>
      <w:bookmarkEnd w:id="92"/>
      <w:r>
        <w:rPr>
          <w:rFonts w:ascii="arial" w:eastAsia="arial" w:hAnsi="arial" w:cs="arial"/>
          <w:b/>
          <w:color w:val="000000"/>
          <w:sz w:val="20"/>
          <w:lang w:val="en-US" w:eastAsia="en-US" w:bidi="ar-SA"/>
        </w:rPr>
        <w:t xml:space="preserve">Torts — Occupiers' liability or </w:t>
      </w:r>
      <w:r>
        <w:rPr>
          <w:rFonts w:ascii="arial" w:eastAsia="arial" w:hAnsi="arial" w:cs="arial"/>
          <w:b/>
          <w:i/>
          <w:color w:val="000000"/>
          <w:sz w:val="20"/>
          <w:u w:val="single"/>
          <w:lang w:val="en-US" w:eastAsia="en-US" w:bidi="ar-SA"/>
        </w:rPr>
        <w:t>negligence</w:t>
      </w:r>
      <w:r>
        <w:rPr>
          <w:rFonts w:ascii="arial" w:eastAsia="arial" w:hAnsi="arial" w:cs="arial"/>
          <w:b/>
          <w:color w:val="000000"/>
          <w:sz w:val="20"/>
          <w:lang w:val="en-US" w:eastAsia="en-US" w:bidi="ar-SA"/>
        </w:rPr>
        <w:t xml:space="preserve"> for dangerous premises — </w:t>
      </w:r>
      <w:r>
        <w:rPr>
          <w:rFonts w:ascii="arial" w:eastAsia="arial" w:hAnsi="arial" w:cs="arial"/>
          <w:b/>
          <w:i/>
          <w:color w:val="000000"/>
          <w:sz w:val="20"/>
          <w:u w:val="single"/>
          <w:lang w:val="en-US" w:eastAsia="en-US" w:bidi="ar-SA"/>
        </w:rPr>
        <w:t>Negligence</w:t>
      </w:r>
      <w:r>
        <w:rPr>
          <w:rFonts w:ascii="arial" w:eastAsia="arial" w:hAnsi="arial" w:cs="arial"/>
          <w:b/>
          <w:color w:val="000000"/>
          <w:sz w:val="20"/>
          <w:lang w:val="en-US" w:eastAsia="en-US" w:bidi="ar-SA"/>
        </w:rPr>
        <w:t xml:space="preserve"> of occupier — Duty of care — Causation — Damage awards — Injury and death — Leg injuries — Foot — General damage awards — Loss of prospective earnings — Special damage awards — Loss of wages.</w:t>
      </w:r>
    </w:p>
    <w:p>
      <w:pPr>
        <w:rPr>
          <w:rFonts w:ascii="arial" w:eastAsia="arial" w:hAnsi="arial" w:cs="arial"/>
          <w:sz w:val="20"/>
          <w:lang w:val="en-US" w:eastAsia="en-US" w:bidi="ar-SA"/>
        </w:rPr>
      </w:pPr>
    </w:p>
    <w:tbl>
      <w:tblPr>
        <w:tblStyle w:val="TableNormal"/>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
      <w:tblGrid>
        <w:gridCol w:w="10225"/>
      </w:tblGrid>
      <w:tr>
        <w:tblPrEx>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Ex>
        <w:tc>
          <w:tcPr/>
          <w:p>
            <w:pPr>
              <w:rPr>
                <w:rFonts w:ascii="arial" w:eastAsia="arial" w:hAnsi="arial" w:cs="arial"/>
                <w:sz w:val="20"/>
                <w:lang w:val="en-US" w:eastAsia="en-US" w:bidi="ar-SA"/>
              </w:rPr>
            </w:pPr>
            <w:bookmarkStart w:id="93" w:name="Case Summary_12"/>
            <w:bookmarkEnd w:id="93"/>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Action for damages for personal injury. The plaintiff fell as he exited the premises of the defendant Capilano Athletic Club. He walked out the door on to a damp wooden landing, lost his balance and fell down a set of seven wooden stairs. He injured his foot and struck his head. He was taken to hospital, where an x-ray revealed no abnormality. His foot was placed in a half cast and a loose tensor bandage. He did not complain of a head injury. A subsequent x-ray revealed a fracture that might have been present at the first examination. He continued to wear a cast for three months, and he recovered from the foot injury uneventfully except for a mild form of arthritis. Two days after the fall he suffered a blackout, which his family physician attributed to the fall. A clinical psychologist and two psychiatrists testified that the plaintiff suffered from a panic disorder which was connected to the fall. However, a psychiatrist called by the defence found that the panic attacks commenced about a year after the fall, which was considered to be too much of a time delay to make a medically probable connection. A neurologist concluded that the plaintiff suffered no significant head injury in the fall, and suggested that anyone with a different view did not have the plaintiff's complete history. The plaintiff had suffered abuse as a child, had difficulty in his personal relationships, had a history of alcohol and drug abuse, and had declared bankruptcy shortly before the accident. Prior to the bankruptcy he operated what was once a profitable business, but he had no records of his income. At the time of trial he was unemployed, claiming that he could not function in a job on a full-time basis. Capilano claimed that the plaintiff was the author of his own misfortune as he was heavily intoxicated when he fell. </w:t>
            </w:r>
            <w:r>
              <w:rPr>
                <w:rFonts w:ascii="arial" w:eastAsia="arial" w:hAnsi="arial" w:cs="arial"/>
                <w:sz w:val="20"/>
                <w:lang w:val="en-US" w:eastAsia="en-US" w:bidi="ar-SA"/>
              </w:rPr>
              <w:cr/>
            </w:r>
          </w:p>
          <w:p>
            <w:pPr>
              <w:spacing w:before="120" w:line="260" w:lineRule="atLeast"/>
              <w:ind w:left="240"/>
              <w:jc w:val="both"/>
              <w:rPr>
                <w:rFonts w:ascii="arial" w:eastAsia="arial" w:hAnsi="arial" w:cs="arial"/>
                <w:sz w:val="20"/>
                <w:lang w:val="en-US" w:eastAsia="en-US" w:bidi="ar-SA"/>
              </w:rPr>
            </w:pPr>
            <w:bookmarkStart w:id="94" w:name="Holdings of Court_10"/>
            <w:bookmarkEnd w:id="94"/>
            <w:r>
              <w:rPr>
                <w:rFonts w:ascii="arial" w:eastAsia="arial" w:hAnsi="arial" w:cs="arial"/>
                <w:color w:val="000000"/>
                <w:sz w:val="20"/>
                <w:lang w:val="en-US" w:eastAsia="en-US" w:bidi="ar-SA"/>
              </w:rPr>
              <w:t>HELD: Action allowed in part.</w:t>
            </w:r>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Capilano breached its duty of care as an occupier and was liable to the plaintiff. The plaintiff was awarded non-pecuniary general damages of $10,000 for his foot injury. However, there was no credible medical evidence that he suffered a head injury or that the fall had any causal relationship to the subsequent development of his anxiety disorder. Since at the time of the fall he had declared bankruptcy and was not earning any significant income, his claim for past income loss and loss of future earning capacity was dismissed. </w:t>
            </w:r>
            <w:r>
              <w:rPr>
                <w:rFonts w:ascii="arial" w:eastAsia="arial" w:hAnsi="arial" w:cs="arial"/>
                <w:sz w:val="20"/>
                <w:lang w:val="en-US" w:eastAsia="en-US" w:bidi="ar-SA"/>
              </w:rPr>
              <w:cr/>
            </w:r>
          </w:p>
          <w:p>
            <w:pPr>
              <w:rPr>
                <w:rFonts w:ascii="arial" w:eastAsia="arial" w:hAnsi="arial" w:cs="arial"/>
                <w:sz w:val="20"/>
                <w:lang w:val="en-US" w:eastAsia="en-US" w:bidi="ar-SA"/>
              </w:rPr>
            </w:pPr>
          </w:p>
        </w:tc>
      </w:tr>
    </w:tbl>
    <w:p>
      <w:pPr>
        <w:jc w:val="both"/>
        <w:rPr>
          <w:rFonts w:ascii="arial" w:eastAsia="arial" w:hAnsi="arial" w:cs="arial"/>
          <w:sz w:val="20"/>
          <w:lang w:val="en-US" w:eastAsia="en-US" w:bidi="ar-SA"/>
        </w:rPr>
      </w:pPr>
      <w:bookmarkStart w:id="95" w:name="Legislation Cited_9"/>
      <w:bookmarkEnd w:id="95"/>
      <w:r>
        <w:rPr>
          <w:rFonts w:ascii="arial" w:eastAsia="arial" w:hAnsi="arial" w:cs="arial"/>
          <w:sz w:val="20"/>
          <w:lang w:val="en-US" w:eastAsia="en-US" w:bidi="ar-SA"/>
        </w:rPr>
        <w:br/>
      </w:r>
    </w:p>
    <w:p>
      <w:pPr>
        <w:keepNext/>
        <w:spacing w:before="24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Statutes, Regulations and Rules Cited:</w:t>
      </w:r>
    </w:p>
    <w:p>
      <w:pPr>
        <w:spacing w:line="60" w:lineRule="exact"/>
        <w:rPr>
          <w:rFonts w:ascii="arial" w:eastAsia="arial" w:hAnsi="arial" w:cs="arial"/>
          <w:sz w:val="20"/>
          <w:lang w:val="en-US" w:eastAsia="en-US" w:bidi="ar-SA"/>
        </w:rPr>
      </w:pPr>
      <w:r>
        <w:pict>
          <v:line id="_x0000_s1099" style="position:absolute;z-index:251724800"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Act, R.S.B.C. 1979, c. 298.</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Occupiers Liability Act, </w:t>
      </w:r>
      <w:hyperlink r:id="rId392" w:history="1">
        <w:r>
          <w:rPr>
            <w:rFonts w:ascii="arial" w:eastAsia="arial" w:hAnsi="arial" w:cs="arial"/>
            <w:i/>
            <w:color w:val="0077CC"/>
            <w:sz w:val="20"/>
            <w:u w:val="single"/>
            <w:shd w:val="clear" w:color="auto" w:fill="FFFFFF"/>
            <w:lang w:val="en-US" w:eastAsia="en-US" w:bidi="ar-SA"/>
          </w:rPr>
          <w:t>R.S.B.C. 1996, c. 337, s. 3</w:t>
        </w:r>
      </w:hyperlink>
      <w:r>
        <w:rPr>
          <w:rFonts w:ascii="arial" w:eastAsia="arial" w:hAnsi="arial" w:cs="arial"/>
          <w:color w:val="000000"/>
          <w:sz w:val="20"/>
          <w:lang w:val="en-US" w:eastAsia="en-US" w:bidi="ar-SA"/>
        </w:rPr>
        <w:t>(1), 3(2).</w:t>
      </w:r>
      <w:r>
        <w:rPr>
          <w:rFonts w:ascii="arial" w:eastAsia="arial" w:hAnsi="arial" w:cs="arial"/>
          <w:sz w:val="20"/>
          <w:lang w:val="en-US" w:eastAsia="en-US" w:bidi="ar-SA"/>
        </w:rPr>
        <w:cr/>
      </w:r>
    </w:p>
    <w:p>
      <w:pPr>
        <w:keepNext/>
        <w:spacing w:before="240" w:line="340" w:lineRule="atLeast"/>
        <w:rPr>
          <w:rFonts w:ascii="arial" w:eastAsia="arial" w:hAnsi="arial" w:cs="arial"/>
          <w:sz w:val="20"/>
          <w:lang w:val="en-US" w:eastAsia="en-US" w:bidi="ar-SA"/>
        </w:rPr>
      </w:pPr>
      <w:bookmarkStart w:id="96" w:name="Counsel_13"/>
      <w:bookmarkEnd w:id="96"/>
      <w:r>
        <w:rPr>
          <w:rFonts w:ascii="arial" w:eastAsia="arial" w:hAnsi="arial" w:cs="arial"/>
          <w:b/>
          <w:color w:val="000000"/>
          <w:sz w:val="28"/>
          <w:lang w:val="en-US" w:eastAsia="en-US" w:bidi="ar-SA"/>
        </w:rPr>
        <w:t>Counsel</w:t>
      </w:r>
    </w:p>
    <w:p>
      <w:pPr>
        <w:spacing w:line="60" w:lineRule="exact"/>
        <w:rPr>
          <w:rFonts w:ascii="arial" w:eastAsia="arial" w:hAnsi="arial" w:cs="arial"/>
          <w:sz w:val="20"/>
          <w:lang w:val="en-US" w:eastAsia="en-US" w:bidi="ar-SA"/>
        </w:rPr>
      </w:pPr>
      <w:r>
        <w:pict>
          <v:line id="_x0000_s1100" style="position:absolute;z-index:251776000"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John Whyte, for the plaintiff. Mary Margaret MacKinnon and Alex Sayn-Wittgenstein, for the defendants.</w:t>
      </w:r>
      <w:r>
        <w:rPr>
          <w:rFonts w:ascii="arial" w:eastAsia="arial" w:hAnsi="arial" w:cs="arial"/>
          <w:sz w:val="20"/>
          <w:lang w:val="en-US" w:eastAsia="en-US" w:bidi="ar-SA"/>
        </w:rPr>
        <w:cr/>
      </w:r>
    </w:p>
    <w:p>
      <w:pPr>
        <w:spacing w:after="240"/>
        <w:rPr>
          <w:rFonts w:ascii="arial" w:eastAsia="arial" w:hAnsi="arial" w:cs="arial"/>
          <w:sz w:val="20"/>
          <w:lang w:val="en-US" w:eastAsia="en-US" w:bidi="ar-SA"/>
        </w:rPr>
      </w:pPr>
      <w:bookmarkStart w:id="97" w:name="Judgment_14"/>
      <w:bookmarkEnd w:id="97"/>
      <w:r>
        <w:pict>
          <v:line id="_x0000_s1101" style="position:absolute;z-index:251825152" from="0,12pt" to="512pt,12pt" strokecolor="#009ddb" strokeweight="1.5pt">
            <v:stroke linestyle="single"/>
          </v:line>
        </w:pict>
      </w:r>
    </w:p>
    <w:p>
      <w:pPr>
        <w:rPr>
          <w:rFonts w:ascii="arial" w:eastAsia="arial" w:hAnsi="arial" w:cs="arial"/>
          <w:sz w:val="20"/>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1637"/>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rFonts w:ascii="arial" w:eastAsia="arial" w:hAnsi="arial" w:cs="arial"/>
                <w:sz w:val="20"/>
                <w:lang w:val="en-US" w:eastAsia="en-US" w:bidi="ar-SA"/>
              </w:rPr>
            </w:pPr>
            <w:bookmarkStart w:id="98" w:name="OPPAL J."/>
            <w:bookmarkEnd w:id="98"/>
            <w:r>
              <w:rPr>
                <w:rFonts w:ascii="arial" w:eastAsia="arial" w:hAnsi="arial" w:cs="arial"/>
                <w:b/>
                <w:color w:val="000000"/>
                <w:sz w:val="30"/>
                <w:lang w:val="en-US" w:eastAsia="en-US" w:bidi="ar-SA"/>
              </w:rPr>
              <w:t>OPPAL J.</w:t>
            </w:r>
          </w:p>
        </w:tc>
      </w:tr>
    </w:tbl>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INTRODUCTION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On May 28, 1992 the plaintiff D.P. was injured when he slipped and fell as he was leaving from the rear door of the defendant Capilano Athletic Club Ltd.'s ("Club") premises in North Vancouver. The plaintiff alleges that he suffered a broken foot and a head injury. The defendants, in denying liability, have alleged that the plaintiff was intoxicated at the time of the fall and therefore was the author of his own misfortune.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There is a significant conflict in the evidence.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ISSUES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w:t>
      </w:r>
      <w:r>
        <w:rPr>
          <w:rFonts w:ascii="arial" w:eastAsia="arial" w:hAnsi="arial" w:cs="arial"/>
          <w:sz w:val="20"/>
          <w:lang w:val="en-US" w:eastAsia="en-US" w:bidi="ar-SA"/>
        </w:rPr>
        <w:cr/>
      </w:r>
    </w:p>
    <w:p>
      <w:pPr>
        <w:numPr>
          <w:numId w:val="8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Whether the defendant Club was negligent in failing to maintain its premises in a reasonable standard of care.</w:t>
      </w:r>
    </w:p>
    <w:p>
      <w:pPr>
        <w:numPr>
          <w:numId w:val="8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If the defendant Club was negligent, whether the plaintiff was contributorily negligent.</w:t>
      </w:r>
    </w:p>
    <w:p>
      <w:pPr>
        <w:numPr>
          <w:numId w:val="8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Damages.</w:t>
      </w:r>
    </w:p>
    <w:p>
      <w:pPr>
        <w:numPr>
          <w:numId w:val="8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Credibility.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EVIDENCE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Liability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The defendant Capilano Athletic Club Ltd. is a lessee of premises owned by the defendant 332391 B.C. Ltd. Although the plaintiff was not a member of the Club, he frequently used its social facilities, where he played pool and darts. He was also a frequent visitor at the restaurant and bar.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On May 28, 1992, after playing a round of golf, the plaintiff and a friend arrived at the Club in the early afternoon. They went to the restaurant/bar where they had lunch. The plaintiff testified that he had a hamburger and a beer. The plaintiff and his friend stayed there for a period of time and left. The plaintiff returned around 4:30 p.m. He parked in the rear lot and entered the Club through the back stairs and door. It appears that while the rear entrance was used primarily by staff, it was also used by members of the public.</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There is a serious dispute as to how much alcohol the plaintiff had to drink that day. The defence position is that the plaintiff was intoxicated when he fell. The plaintiff denies that allegation. He said that he would not have been drunk because he left in order to meet a customer. He testified that he had another bottle of beer, after which he ordered a third bottle. He said that he had one drink from that bottle and left. However, at the examination for discovery he said he had between three and three and a half beers. Linda Epp, a waitress at the Club at that time testified that the plaintiff was "quite drunk". She said, "he was intoxicated that night". She also said that he was angry and loud. Trevor McCaskill, a retired maintenance supervisor who knew the plaintiff, said he saw no evidence intoxication. The plaintiff's close friend, Vincenzo Debenedetto, who drove the plaintiff to the hospital, shortly after the fall, said that the plaintiff had not been drinking and that "there was no way he was drunk". He also said that the plaintiff had not been drinking.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The plaintiff left at approximately 7:00 p.m. through the rear door by which he had entered. There has been much evidence relating to the condition of the rear entrance and stairs. Regrettably the only photographs of the stairs were filed by the defence, but there was no evidence as to when they were taken. It is clear, however, that at the relevant time there was a plywood landing outside the back door. There were approximately seven wooden steps that led from the landing to the ground.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The plaintiff testified that he pushed open the gymnasium-type doors by pressing upon a push bar handle and walked onto the landing. Ms. Epp said he kicked the door open with his left foot. He testified that the landing, which had on its surface mildew and moss, was very slick. He said that after he opened the door he took one step on the landing, slipped and lost his balance, fell to his knees and slid to his left on his knees. He then rolled down the stairs. While he was rolling down the stairs, his foot became wedged between two steps. He said he heard the sound of a bone breaking in his foot. He continued to roll until his head struck a cinder block which was attached to an adjacent building.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The plaintiff testified that when he started to fall, he reached for the railing with his left hand. Again, there is a conflict in the evidence as to the existence of a railing. The plaintiff's position is that there was no railing. There is some corroborative evidence on that point from Lorraine Lohin, a family friend who was employed at the Club at the time. She said that at one point the railing had been ripped off. She did not say that the railing was not in place on the date in question. The defence has seriously challenged her credibility. Ms. Epp testified that the condition of the stairs was "okay", that she had no problem with the stairs and, in any event, she could not remember the hand railing not being in place. Mr. Debenedetto testified that the landing was always wet and that he also fell on it three or four times.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The plaintiff also called James Petty, who was also a regular at the Club. He described the rear plywood deck and said that the stairs had wooden railings on each side. He said that the stairs were slippery when wet. He also testified that at times one or both of the railings were loose or missing. He said that when the stairs were wet they would be "slick like ice".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Mr. McCaskill testified that the rear stairs were damp as it had been raining. He said he saw the plaintiff leave the Club. He later saw him in the parking lot where he was bent forward. He offered assistance but the plaintiff told Mr. McCaskill that he was "okay" but that his foot was bothering him.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Ms. Epp testified that she followed the plaintiff as he left because she wanted to see if the plaintiff would smoke a cigarette outside. Apparently she and the plaintiff had had a bet as to who would quit smoking. She also testified that the plaintiff in his anger kicked the door open. She said that there was nothing unusual about the condition of the back stairs.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The plaintiff testified that after the fall, he got up and went to his truck. He said that his left foot began to swell almost immediately.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The plaintiff has alleged that he suffered a fracture of the left foot and a closed head injury. He has alleged that as a result of the head injury he has suffered from panic attacks, blackouts and depression. He claims damages for pain and suffering, loss of income and loss of future earning capacity.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w:t>
      </w:r>
      <w:r>
        <w:rPr>
          <w:rFonts w:ascii="arial" w:eastAsia="arial" w:hAnsi="arial" w:cs="arial"/>
          <w:color w:val="000000"/>
          <w:sz w:val="20"/>
          <w:lang w:val="en-US" w:eastAsia="en-US" w:bidi="ar-SA"/>
        </w:rPr>
        <w:t>  There is no dispute that the plaintiff suffered a fracture of the left foot. However, there is a dispute as to whether he suffered the fracture in the fall or during the ensuing weekend. Furthermore, there is a serious dispute as to whether he suffered a head injury with its associated symptoms.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w:t>
      </w:r>
      <w:r>
        <w:rPr>
          <w:rFonts w:ascii="arial" w:eastAsia="arial" w:hAnsi="arial" w:cs="arial"/>
          <w:color w:val="000000"/>
          <w:sz w:val="20"/>
          <w:lang w:val="en-US" w:eastAsia="en-US" w:bidi="ar-SA"/>
        </w:rPr>
        <w:t>  Immediately after the fall, the plaintiff, with considerable difficulty, drove his vehicle to the home of his close friend, Mr. Debenedetto, who lived a short distance away. Mr. Debenedetto drove him to the emergency ward of the Lions Gate Hospital, where he was seen by Dr. Hamilton. Dr. Morgan-Parkes took x-rays of his left ankle and left foot. The radiology report states, "No abnormality is identified". His foot was placed in a half cast and a loose tensor bandage. He was treated on an outpatient basis and released. There is no evidence that he complained of a head injury. On the weekend following the fall, he apparently re-injured his foot. On June lst he again attended at the emergency ward of the Hospital, where the diagnosis was that he had an "undisplaced fracture of the base of the left metatarsal". His foot was placed in a plaster cast.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w:t>
      </w:r>
      <w:r>
        <w:rPr>
          <w:rFonts w:ascii="arial" w:eastAsia="arial" w:hAnsi="arial" w:cs="arial"/>
          <w:color w:val="000000"/>
          <w:sz w:val="20"/>
          <w:lang w:val="en-US" w:eastAsia="en-US" w:bidi="ar-SA"/>
        </w:rPr>
        <w:t>  There is some confusion as to when the plaintiff suffered a fracture of his foot. In a radiology report dated June 1st, Dr. Morgan-Parkes stated as follow:</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Comparison is made with May 28, 1992. An undisplaced fracture of the base of the left metatarsal is identified on the current study. </w:t>
      </w:r>
      <w:r>
        <w:rPr>
          <w:rFonts w:ascii="arial" w:eastAsia="arial" w:hAnsi="arial" w:cs="arial"/>
          <w:color w:val="000000"/>
          <w:sz w:val="20"/>
          <w:u w:val="single"/>
          <w:lang w:val="en-US" w:eastAsia="en-US" w:bidi="ar-SA"/>
        </w:rPr>
        <w:t>In retrospect, this fracture may have been present on the previous examination, however, it is very difficult to visualize it</w:t>
      </w:r>
      <w:r>
        <w:rPr>
          <w:rFonts w:ascii="arial" w:eastAsia="arial" w:hAnsi="arial" w:cs="arial"/>
          <w:color w:val="000000"/>
          <w:sz w:val="20"/>
          <w:lang w:val="en-US" w:eastAsia="en-US" w:bidi="ar-SA"/>
        </w:rPr>
        <w:t>. No other fractures are seen.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9410"/>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9216"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(Emphasis added)</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question relating to the foot injury is further confused by a radiology report dated June 5, 1992, which states that: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Films were obtained through a cast. No definite fracture can be noted. There is in one of the views a suspect fracture at the base of the 5th ....</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w:t>
      </w:r>
      <w:r>
        <w:rPr>
          <w:rFonts w:ascii="arial" w:eastAsia="arial" w:hAnsi="arial" w:cs="arial"/>
          <w:color w:val="000000"/>
          <w:sz w:val="20"/>
          <w:lang w:val="en-US" w:eastAsia="en-US" w:bidi="ar-SA"/>
        </w:rPr>
        <w:t>  In a further radiology report dated June 26, 1992, Dr. Twohig has stated "the small fracture at the base of the 5th metatarsal is no longer clearly identified and appears to be healing well". The plaintiff said that the cast remained on his foot for three months.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w:t>
      </w:r>
      <w:r>
        <w:rPr>
          <w:rFonts w:ascii="arial" w:eastAsia="arial" w:hAnsi="arial" w:cs="arial"/>
          <w:color w:val="000000"/>
          <w:sz w:val="20"/>
          <w:lang w:val="en-US" w:eastAsia="en-US" w:bidi="ar-SA"/>
        </w:rPr>
        <w:t>  The plaintiff testified that two days after the fall he suffered a blackout for the first time. He said he was overcome by nausea, a cold sweat and suffered a brief loss of consciousness. This occurred after he had seen K.L., his former fiancee for the last time. He admitted that it was an emotionally difficult moment since the relationship had been terminated with considerable bitterness and acrimony.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w:t>
      </w:r>
      <w:r>
        <w:rPr>
          <w:rFonts w:ascii="arial" w:eastAsia="arial" w:hAnsi="arial" w:cs="arial"/>
          <w:color w:val="000000"/>
          <w:sz w:val="20"/>
          <w:lang w:val="en-US" w:eastAsia="en-US" w:bidi="ar-SA"/>
        </w:rPr>
        <w:t>  After the fall, the plaintiff continued to see Dr. Puddicombe, his family physician. Dr. Puddicombe concluded that the panic disorder and blackout was caused by the fall. The plaintiff had various other complaints. He said that that summer he suffered from a total of three blackouts that he could remember. He said at times he got "the shakes" wherein his whole body vibrated. He said that he was diagnosed with a agoraphobia. He also suffered from rectal bleeding. He suffered from depression. He was put on anti-depressants and he began to drink. He said that he wanted to stay drunk.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w:t>
      </w:r>
      <w:r>
        <w:rPr>
          <w:rFonts w:ascii="arial" w:eastAsia="arial" w:hAnsi="arial" w:cs="arial"/>
          <w:color w:val="000000"/>
          <w:sz w:val="20"/>
          <w:lang w:val="en-US" w:eastAsia="en-US" w:bidi="ar-SA"/>
        </w:rPr>
        <w:t>  At this time it may be useful to refer to the plaintiff's background. He is 34 years old. He has had a most difficult and unfortunate life. He has also had a lengthy medical history.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w:t>
      </w:r>
      <w:r>
        <w:rPr>
          <w:rFonts w:ascii="arial" w:eastAsia="arial" w:hAnsi="arial" w:cs="arial"/>
          <w:color w:val="000000"/>
          <w:sz w:val="20"/>
          <w:lang w:val="en-US" w:eastAsia="en-US" w:bidi="ar-SA"/>
        </w:rPr>
        <w:t>  From the ages of 7 to 14 the plaintiff was sexually abused and assaulted by an uncle during annual 30-day vacations to California. In addition, he was physically abused by his father who drank to excess. There was some suggestion that the plaintiff was expelled from grade 6. The plaintiff has denied this allegation and testified that he merely switched schools. His mother, J.P., supported the plaintiff's evidence on this point when she testified that the transfer from one school to another was precipitated by a personality conflict with a teacher. However, according to the notes of Dr. Clark, a psychotherapist, the plaintiff told him that he was expelled. The plaintiff denies that he told the doctor that.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w:t>
      </w:r>
      <w:r>
        <w:rPr>
          <w:rFonts w:ascii="arial" w:eastAsia="arial" w:hAnsi="arial" w:cs="arial"/>
          <w:color w:val="000000"/>
          <w:sz w:val="20"/>
          <w:lang w:val="en-US" w:eastAsia="en-US" w:bidi="ar-SA"/>
        </w:rPr>
        <w:t>  When the plaintiff was 15 years old, he fell off a rope swing and suffered a skull fracture, a dorsal spine fracture and an ankle sprain. He was hospitalized for approximately two weeks. After his release from hospital, he was accidentally shot in the eye with a pellet rifle. He told Dr. Gregory, a psychiatrist, that he was on alcohol and drugs by the age of 16.</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w:t>
      </w:r>
      <w:r>
        <w:rPr>
          <w:rFonts w:ascii="arial" w:eastAsia="arial" w:hAnsi="arial" w:cs="arial"/>
          <w:color w:val="000000"/>
          <w:sz w:val="20"/>
          <w:lang w:val="en-US" w:eastAsia="en-US" w:bidi="ar-SA"/>
        </w:rPr>
        <w:t>  In 1984, when he was 18 years old, he experienced further difficulties with his health, when it was suspected that he was suffering from colitis. He had diarrhea and as well was having difficulty breathing. He complained of extensive sweating. He had described himself as a "binge drinker". A short time later he complained of rectal bleeding. According to the medical records he had a nervous breakdown in 1991. At that time he had developed an ulcer.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w:t>
      </w:r>
      <w:r>
        <w:rPr>
          <w:rFonts w:ascii="arial" w:eastAsia="arial" w:hAnsi="arial" w:cs="arial"/>
          <w:color w:val="000000"/>
          <w:sz w:val="20"/>
          <w:lang w:val="en-US" w:eastAsia="en-US" w:bidi="ar-SA"/>
        </w:rPr>
        <w:t>  In 1988 the plaintiff experienced two traumatic incidents which affected his life. First, he witnessed a motor vehicle accident in which a person died. Next he saw a man commit suicide by jumping off the Lions Gate Bridge. He testified that he with others attended at the scene where the body was washed onto the beach. The body had been severed. At approximately the same time he was assaulted by a man in the lobby of his apartment building who had either a knife or ashtray. In 1990 the plaintiff's sister, T., suffered a severe fracture of her leg in a motor vehicle accident. She re-injured the leg a short time later. After that she was involved in a serious Jeep accident in Penticton. In October 1995 the plaintiff was involved in an accident in which he suffered neck and back injuries. Again, on July 16, 1996 his vehicle was broadsided by a truck and the injuries that he suffered in the earlier accident worsened his condition. Some time later he was beaten and kicked in a park in North Vancouver. According to Dr. Puddicombe's clinical notes, the plaintiff had a nervous breakdown in 1991. The plaintiff has denied that he had a breakdown.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w:t>
      </w:r>
      <w:r>
        <w:rPr>
          <w:rFonts w:ascii="arial" w:eastAsia="arial" w:hAnsi="arial" w:cs="arial"/>
          <w:color w:val="000000"/>
          <w:sz w:val="20"/>
          <w:lang w:val="en-US" w:eastAsia="en-US" w:bidi="ar-SA"/>
        </w:rPr>
        <w:t>  The plaintiff has a history of alcohol and drug abuse. As stated earlier, he had described himself as a "binge drinker". There is some evidence to suggest that he was cocaine as early as 1986. However, he testified that he first started using cocaine in 1997. In February 1998 he entered Magnolia House, a rehabilitation centre, in order to address his drug and alcohol abuse. However, he it appears that that treatment was not successful. As a result, he entered another facility, the Edgewater Rehabilitation Centre, in the fall of 1998. He was released on December 4, 1998.</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w:t>
      </w:r>
      <w:r>
        <w:rPr>
          <w:rFonts w:ascii="arial" w:eastAsia="arial" w:hAnsi="arial" w:cs="arial"/>
          <w:color w:val="000000"/>
          <w:sz w:val="20"/>
          <w:lang w:val="en-US" w:eastAsia="en-US" w:bidi="ar-SA"/>
        </w:rPr>
        <w:t>  The plaintiff has had difficulty in his personal relationships. In 1989 he met K.L. They became engaged and set a marriage date for August 28, 1992. She became pregnant. Unhappy differences developed between the parties. The pregnancy was aborted against the plaintiff's wishes. According to the plaintiff, Ms. K.L. wanted a $40,000 wedding and he was not prepared to spend that amount of money. They separated under acrimonious circumstances. Ms. K.L. commenced legal action for the return of some personal items. There is no doubt that the plaintiff suffered emotionally as a result of the break-up. In fact, when Ms. K.L. attended at his residence for the last time on June 2, 1992 in order to return some items, the plaintiff said that he suffered a blackout. He testified that he still loves her.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w:t>
      </w:r>
      <w:r>
        <w:rPr>
          <w:rFonts w:ascii="arial" w:eastAsia="arial" w:hAnsi="arial" w:cs="arial"/>
          <w:color w:val="000000"/>
          <w:sz w:val="20"/>
          <w:lang w:val="en-US" w:eastAsia="en-US" w:bidi="ar-SA"/>
        </w:rPr>
        <w:t>  In March 1996 he began a relationship with L.R. They were married on September 25, 1996. They have one child, who was born in March 1997. However, it appears that the relationship experienced serious difficulties. Ms. L.R. testified that when she first met the plaintiff in March 1996 the plaintiff was a thoughtful, considerate person who was regularly employed. However, in time the relationship and his moods began to change. She said he would lie on the couch for five days at a time. He became extremely irritable. He was abusing both alcohol and cocaine. She said that he would be absent from the home for long periods of time. She testified that she witnessed the plaintiff having panic attacks. The marriage broke down and the parties separated.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w:t>
      </w:r>
      <w:r>
        <w:rPr>
          <w:rFonts w:ascii="arial" w:eastAsia="arial" w:hAnsi="arial" w:cs="arial"/>
          <w:color w:val="000000"/>
          <w:sz w:val="20"/>
          <w:lang w:val="en-US" w:eastAsia="en-US" w:bidi="ar-SA"/>
        </w:rPr>
        <w:t>  The plaintiff has been in the constant care of various medical practitioners up to the date of trial. He continues to complain of memory loss, depression, anxiety, blackouts agoraphobia and a panic disorder. Over the years the plaintiff has made numerous trips to the emergency wards of the hospitals with various complaints. The evidence relating to his present condition has been corroborated by his mother and Mr. Debenedetto, both of whom testified that the plaintiff has undergone a significant change in his mental and physical health since the fall.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w:t>
      </w:r>
      <w:r>
        <w:rPr>
          <w:rFonts w:ascii="arial" w:eastAsia="arial" w:hAnsi="arial" w:cs="arial"/>
          <w:color w:val="000000"/>
          <w:sz w:val="20"/>
          <w:lang w:val="en-US" w:eastAsia="en-US" w:bidi="ar-SA"/>
        </w:rPr>
        <w:t>  The plaintiff has been in the business of refinishing furniture. In 1989 he opened his own business. By all accounts he is accomplished in his vocation. In fact, in his business he employed three or four other refinishers. His gross business income varied from a high of approximately $41,000 in 1990 to a low of $2,500 on 1992. However, by September 1991 he began to experience financial difficulties. As a result, he declared bankruptcy in March 1992. His claim for past income loss and loss of future earning capacity has been made difficult by virtue of the fact that most of his business records are missing. He testified that he is unable to function in his job on a full time basis as he had in the past.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w:t>
      </w:r>
      <w:r>
        <w:rPr>
          <w:rFonts w:ascii="arial" w:eastAsia="arial" w:hAnsi="arial" w:cs="arial"/>
          <w:color w:val="000000"/>
          <w:sz w:val="20"/>
          <w:lang w:val="en-US" w:eastAsia="en-US" w:bidi="ar-SA"/>
        </w:rPr>
        <w:t>  The plaintiff lives with his parents in Sechelt, where he works on a part-time basis from a shop near his parents' home. He said that he is unable to live alone. He says that he makes limited income.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w:t>
      </w:r>
      <w:r>
        <w:rPr>
          <w:rFonts w:ascii="arial" w:eastAsia="arial" w:hAnsi="arial" w:cs="arial"/>
          <w:color w:val="000000"/>
          <w:sz w:val="20"/>
          <w:lang w:val="en-US" w:eastAsia="en-US" w:bidi="ar-SA"/>
        </w:rPr>
        <w:t>  There is, of course, a conflict in the evidence as to the cause of his past and present difficulties. Dr. Koch, a clinical psychologist, stated that the plaintiff has a severe case of a panic disorder with agoraphobia. He attributes this largely to the fall. In his report of October 2, 1997, he stated: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 think that a reasonable conclusion is that Mr. D.P.'s panic disorder was precipitated by some combination of the fall and resultant medical illness.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w:t>
      </w:r>
      <w:r>
        <w:rPr>
          <w:rFonts w:ascii="arial" w:eastAsia="arial" w:hAnsi="arial" w:cs="arial"/>
          <w:color w:val="000000"/>
          <w:sz w:val="20"/>
          <w:lang w:val="en-US" w:eastAsia="en-US" w:bidi="ar-SA"/>
        </w:rPr>
        <w:t>  Dr. Koch's opinion is corroborated by Dr. Brasfield, a psychiatrist, who has been treating the plaintiff since March 1995. His diagnosis is that the plaintiff is suffering from an anxiety disorder due to a general medical condition with both panic attacks and agoraphobia. He states: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This appears to be secondary to a closed head injury without clear loss of consciousness on May 28, 1992. Mr. D.P.'s level of function over the last year appears to be relatively good (approximately 65% "best possible functioning"). ...</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He appears to be an interesting example of an almost classic anxiety disorder arising after a specific head injury.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Thus, he has concluded that the plaintiff's present difficulties are largely the result of the head injury of May 28, 1992. Similarly, Dr. Blunderfield, another psychiatrist who has treated the plaintiff, has concluded that his present difficulties are connected to the fall. He testified that he based this opinion largely on the basis that "D.P. functioned well in his business up to the time of the accident in 1992". According to Dr. Blunderfield, the plaintiff told him that he was "grossing $15,000 per month in his business".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34</w:t>
      </w:r>
      <w:r>
        <w:rPr>
          <w:rFonts w:ascii="arial" w:eastAsia="arial" w:hAnsi="arial" w:cs="arial"/>
          <w:color w:val="000000"/>
          <w:sz w:val="20"/>
          <w:lang w:val="en-US" w:eastAsia="en-US" w:bidi="ar-SA"/>
        </w:rPr>
        <w:t>  The defence experts disagree with the plaintiff's experts as to the cause of the plaintiff's problems. Dr. O'Shaughnessy, a psychiatrist, examined the plaintiff on behalf of the defendants in order to determine whether he is suffering any psychiatric disorder or head injury as a result of the fall. Dr. O'Shaughnessy has concluded that there is no causal connection between the fall and the anxiety disorder from which he now suffers. In a report dated January 23, 1997, he stated, in part, as follows: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There is little doubt regarding the diagnosis that this man has suffered anxiety with panic attacks with their onset sometime in 1993 and gradually increasing throughout 1994. He has been treated appropriately with medication and psychotherapy and clearly has done well although he is left with some residual symptoms. ...</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In my opinion, there is little if any medical evidence to suggest that the fall in May 1992 had any causal relationship to the subsequent development of his Anxiety Disorder. As above, blows to the head can indeed precipitate these events but given the long time delay, the minimal head injury recorded, and the evidence of alcohol problems prior to this fall, I would think that the relationship between his anxiety states and the fall is one of possibility but does not amount to a medically probable connection. It may help to understand whether or not his business difficulties preceded the fall to get a picture of the stresses he was under at the time. ...</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35</w:t>
      </w:r>
      <w:r>
        <w:rPr>
          <w:rFonts w:ascii="arial" w:eastAsia="arial" w:hAnsi="arial" w:cs="arial"/>
          <w:color w:val="000000"/>
          <w:sz w:val="20"/>
          <w:lang w:val="en-US" w:eastAsia="en-US" w:bidi="ar-SA"/>
        </w:rPr>
        <w:t>  In reaching his opinion, Dr. O'Shaughnessy made the following observations: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time delay between the onset of anxiety symptoms and this fall is quite substantial. Generally if a head injury leads to psychiatric disorder or cognitive dysfunction it does so relatively quickly. The general rule is that head injuries are at their worst in the immediate two weeks following a trauma and then progressively improve. Symptoms that have an onset over a year after a blow to the head are not generally related to the head injury itself unless there is some further evidence of neurological dysfunction, e.g. cognitive difficulties followed by a Mood Disorder as a reaction to their dysfunctions. Although panic attacks and anxiety states can certainly follow a head injury, they generally do so much closer to the blow itself.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36</w:t>
      </w:r>
      <w:r>
        <w:rPr>
          <w:rFonts w:ascii="arial" w:eastAsia="arial" w:hAnsi="arial" w:cs="arial"/>
          <w:color w:val="000000"/>
          <w:sz w:val="20"/>
          <w:lang w:val="en-US" w:eastAsia="en-US" w:bidi="ar-SA"/>
        </w:rPr>
        <w:t>  Dr. Robinson, a neurologist, who examined the plaintiff on behalf of the defence, in a report dated February 11, 1997, made the following remarks: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This man sustained a fracture to his left 5th metatarsal as a direct result of his fall down stairs on May 28, 1992. I do not believe that he sustained any other injuries of any significance, at that time. He now has virtual recovery from his metatarsal fracture and as such, I do not believe there have been any sequelae of this fall.</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His development of psychiatric difficulties, particularly in regard to anxiety and panic attacks, occurred sometime following this accident. There is also some suggestion that there may have been some problems of this nature prior to it. During this time there was major disruption in his life in regard to relationship as well as business. I believe that these factors are far more relevant in the production of his psychological difficulties. I do not believe that he sustained a head injury of any significance as a direct result of the fall of May 1992 and as such, do not believe that he has any element of traumatic brain injury from this occurrence.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 do not believe that those physicians who have expressed the opinion that his psychological difficulties are secondary to traumatic brain injury have a complete history as to the other factors that may be pertinent. I would suggest exposure to this information could be useful for them to complete their opinion.</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Finally, there is no objective findings to support the diagnosis of traumatic brain injury. Neurologic examination, CT Brain scan, and EEG have all been normal. The asymmetry of the SPECT scan is nonspecific and of no help in diagnosis.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37</w:t>
      </w:r>
      <w:r>
        <w:rPr>
          <w:rFonts w:ascii="arial" w:eastAsia="arial" w:hAnsi="arial" w:cs="arial"/>
          <w:color w:val="000000"/>
          <w:sz w:val="20"/>
          <w:lang w:val="en-US" w:eastAsia="en-US" w:bidi="ar-SA"/>
        </w:rPr>
        <w:t>  It appears that the plaintiff recovered in a generally uneventful manner from the injury to his foot. He wore a cast for approximately three months. His foot had improved significantly by August. A radiology report stated that the fracture appeared solidly united. In a report dated May 23, 1994, Dr. Puddicombe stated that it appears that he has developed "some mild arthritis in the region" of the injury.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CREDIBILITY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38</w:t>
      </w:r>
      <w:r>
        <w:rPr>
          <w:rFonts w:ascii="arial" w:eastAsia="arial" w:hAnsi="arial" w:cs="arial"/>
          <w:color w:val="000000"/>
          <w:sz w:val="20"/>
          <w:lang w:val="en-US" w:eastAsia="en-US" w:bidi="ar-SA"/>
        </w:rPr>
        <w:t>  The defence has seriously challenged the plaintiff's credibility. Credibility is the central issue in this trial. The defence has made specific reference to a number of alleged prior inconsistent statements. A number of witnesses have referred to the plaintiff as a poor historian. The plaintiff has admitted that he has a poor memory.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39</w:t>
      </w:r>
      <w:r>
        <w:rPr>
          <w:rFonts w:ascii="arial" w:eastAsia="arial" w:hAnsi="arial" w:cs="arial"/>
          <w:color w:val="000000"/>
          <w:sz w:val="20"/>
          <w:lang w:val="en-US" w:eastAsia="en-US" w:bidi="ar-SA"/>
        </w:rPr>
        <w:t>  I will refer to some of the alleged inconsistencies. On September 24, 1992, the plaintiff is alleged to have told Ms. Soroka, the bankruptcy manager, that he broke his leg while he was working. Ms. Soroka made notes of her conversation with the plaintiff. The plaintiff told Dr. Blunderfield that his business was "grossing $15,000 per month". In fact, he had declared bankruptcy by the time of the fall. He is alleged to have told Dr. Blunderfield that he started using cocaine in 1986 or '87. The plaintiff testified that he started in 1997 and that Dr. Blunderfield's notes are not accurate. According to Dr. Puddicombe's records, the plaintiff suffered a nervous breakdown in 1991. The hospital admission records of March 24, 1994 also refer to the 1991 breakdown. The plaintiff denied having a breakdown at that time. The plaintiff has no recollection of attending the hospital after the re-injury on June 1, 1992, in spite of hospital records to the contrary. The plaintiff's position on liability has been that there was no railing on the rear steps of the Club. However, at the examination for discovery he said he could not recall if there was a railing. The plaintiff did not disclose much of his previous medical history, including the incidents of physical and sexual abuse to Drs. Brasfield, Blunderfield and Koch. The latter three all testified that a full revelation of his past history would have been relevant in any diagnostic opinions they formed. He also told the doctors that his bankruptcy resulted from the injury suffered in the fall. Again he failed to mention that he had already been in bankruptcy for some two months prior to the fall. Ms. L.R., who generally supported the plaintiff, has said that he was a pathological liar.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THE LAW</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40</w:t>
      </w:r>
      <w:r>
        <w:rPr>
          <w:rFonts w:ascii="arial" w:eastAsia="arial" w:hAnsi="arial" w:cs="arial"/>
          <w:color w:val="000000"/>
          <w:sz w:val="20"/>
          <w:lang w:val="en-US" w:eastAsia="en-US" w:bidi="ar-SA"/>
        </w:rPr>
        <w:t xml:space="preserve">  The law is not in dispute. It is set out in sections 3(1) and (2) of the Occupiers Liability Act, </w:t>
      </w:r>
      <w:r>
        <w:rPr>
          <w:rFonts w:ascii="arial" w:eastAsia="arial" w:hAnsi="arial" w:cs="arial"/>
          <w:i/>
          <w:color w:val="000000"/>
          <w:sz w:val="20"/>
          <w:lang w:val="en-US" w:eastAsia="en-US" w:bidi="ar-SA"/>
        </w:rPr>
        <w:t>R.S.B.C. 1996, c. 337</w:t>
      </w:r>
      <w:r>
        <w:rPr>
          <w:rFonts w:ascii="arial" w:eastAsia="arial" w:hAnsi="arial" w:cs="arial"/>
          <w:color w:val="000000"/>
          <w:sz w:val="20"/>
          <w:lang w:val="en-US" w:eastAsia="en-US" w:bidi="ar-SA"/>
        </w:rPr>
        <w:t>, which read as follows: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Occupiers' duty of care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942"/>
        <w:gridCol w:w="732"/>
        <w:gridCol w:w="313"/>
        <w:gridCol w:w="7423"/>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922"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3.</w:t>
            </w:r>
          </w:p>
        </w:tc>
        <w:tc>
          <w:tcPr>
            <w:tcW w:w="717"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(1)</w:t>
            </w:r>
          </w:p>
        </w:tc>
        <w:tc>
          <w:tcPr>
            <w:tcW w:w="307"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270"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An occupier of premises owes a duty to take that care that in all the circumstances of the case is reasonable to see that a person, and the person's property, on the premises, and property on the premises of a person, whether or not that person personally enters on the premises, will be reasonably safe in using the premises;</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numPr>
          <w:numId w:val="2"/>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The duty of care referred to in subsection (1) applies in relation to the</w:t>
      </w:r>
    </w:p>
    <w:p>
      <w:pPr>
        <w:numPr>
          <w:numId w:val="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condition of the premises;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1987"/>
        <w:gridCol w:w="626"/>
        <w:gridCol w:w="4287"/>
        <w:gridCol w:w="2510"/>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1946"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614"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(b)</w:t>
            </w:r>
          </w:p>
        </w:tc>
        <w:tc>
          <w:tcPr>
            <w:tcW w:w="4198"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the activities on the premises;</w:t>
            </w:r>
          </w:p>
        </w:tc>
        <w:tc>
          <w:tcPr>
            <w:tcW w:w="2458"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or</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numPr>
          <w:numId w:val="4"/>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conduct of third parties on the premises.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41</w:t>
      </w:r>
      <w:r>
        <w:rPr>
          <w:rFonts w:ascii="arial" w:eastAsia="arial" w:hAnsi="arial" w:cs="arial"/>
          <w:color w:val="000000"/>
          <w:sz w:val="20"/>
          <w:lang w:val="en-US" w:eastAsia="en-US" w:bidi="ar-SA"/>
        </w:rPr>
        <w:t>  Thus, there is an onus on the defendants to care for their premises in a reasonable manner so that a person using the premises will be reasonably safe.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ANALYSIS</w:t>
      </w:r>
      <w:r>
        <w:rPr>
          <w:rFonts w:ascii="arial" w:eastAsia="arial" w:hAnsi="arial" w:cs="arial"/>
          <w:sz w:val="20"/>
          <w:lang w:val="en-US" w:eastAsia="en-US" w:bidi="ar-SA"/>
        </w:rPr>
        <w:cr/>
      </w:r>
    </w:p>
    <w:p>
      <w:pPr>
        <w:numPr>
          <w:numId w:val="5"/>
        </w:numPr>
        <w:tabs>
          <w:tab w:val="num" w:pos="760"/>
          <w:tab w:val="clear" w:pos="1840"/>
        </w:tabs>
        <w:spacing w:before="120" w:line="260" w:lineRule="atLeast"/>
        <w:ind w:left="760"/>
        <w:jc w:val="both"/>
        <w:rPr>
          <w:rFonts w:ascii="arial" w:eastAsia="arial" w:hAnsi="arial" w:cs="arial"/>
          <w:sz w:val="20"/>
          <w:lang w:val="en-US" w:eastAsia="en-US" w:bidi="ar-SA"/>
        </w:rPr>
      </w:pPr>
      <w:r>
        <w:rPr>
          <w:rFonts w:ascii="arial" w:eastAsia="arial" w:hAnsi="arial" w:cs="arial"/>
          <w:color w:val="000000"/>
          <w:sz w:val="20"/>
          <w:lang w:val="en-US" w:eastAsia="en-US" w:bidi="ar-SA"/>
        </w:rPr>
        <w:t>Liability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42</w:t>
      </w:r>
      <w:r>
        <w:rPr>
          <w:rFonts w:ascii="arial" w:eastAsia="arial" w:hAnsi="arial" w:cs="arial"/>
          <w:color w:val="000000"/>
          <w:sz w:val="20"/>
          <w:lang w:val="en-US" w:eastAsia="en-US" w:bidi="ar-SA"/>
        </w:rPr>
        <w:t>  As in all other issues in this trial, credibility is the main issue. There are inconsistencies in the evidence of both parties. There are obvious inconsistencies in the plaintiff's testimony regarding his fall. In particular, at the examination for discovery, he was not at all clear as to the existence of the handrail. However, at trial he was clear that there was no handrail. Mr. Debenedetto testified that he fell on those stairs three of four times. One wonders why he kept using those stairs if they were in such a dangerous condition. The defence, on the other hand, has called no evidence relating to the condition of the stairs at that time. While Ms. Epp did not find anything unusual about the state of the landing or steps, she was not able to give clear evidence as to the existence of the handrail. It appears that the photographs were taken some time after the incident. In spite of the inconsistencies in the plaintiff's evidence, I find that he has proved his case on a balance of probabilities.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43</w:t>
      </w:r>
      <w:r>
        <w:rPr>
          <w:rFonts w:ascii="arial" w:eastAsia="arial" w:hAnsi="arial" w:cs="arial"/>
          <w:color w:val="000000"/>
          <w:sz w:val="20"/>
          <w:lang w:val="en-US" w:eastAsia="en-US" w:bidi="ar-SA"/>
        </w:rPr>
        <w:t xml:space="preserve">  The next issue to consider is whether the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Act. R.S.B.C. 1979, c. 298 is applicable in the circumstances of this case. To put it another way, was the plaintiff contributorily negligent in the fall?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44</w:t>
      </w:r>
      <w:r>
        <w:rPr>
          <w:rFonts w:ascii="arial" w:eastAsia="arial" w:hAnsi="arial" w:cs="arial"/>
          <w:color w:val="000000"/>
          <w:sz w:val="20"/>
          <w:lang w:val="en-US" w:eastAsia="en-US" w:bidi="ar-SA"/>
        </w:rPr>
        <w:t xml:space="preserve">  The allegation of contributory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is based upon the plaintiff's alleged intoxication. Ms. Epp testified that the plaintiff was intoxicated. While she was a believable witness, no other evidence is available on that issue. The hospital records make no mention of the state of intoxication. I find that he was not contributorily negligent.</w:t>
      </w:r>
      <w:r>
        <w:rPr>
          <w:rFonts w:ascii="arial" w:eastAsia="arial" w:hAnsi="arial" w:cs="arial"/>
          <w:sz w:val="20"/>
          <w:lang w:val="en-US" w:eastAsia="en-US" w:bidi="ar-SA"/>
        </w:rPr>
        <w:cr/>
      </w:r>
    </w:p>
    <w:p>
      <w:pPr>
        <w:numPr>
          <w:numId w:val="6"/>
        </w:numPr>
        <w:tabs>
          <w:tab w:val="num" w:pos="760"/>
          <w:tab w:val="clear" w:pos="1480"/>
        </w:tabs>
        <w:spacing w:before="120" w:line="260" w:lineRule="atLeast"/>
        <w:ind w:left="760"/>
        <w:jc w:val="both"/>
        <w:rPr>
          <w:rFonts w:ascii="arial" w:eastAsia="arial" w:hAnsi="arial" w:cs="arial"/>
          <w:sz w:val="20"/>
          <w:lang w:val="en-US" w:eastAsia="en-US" w:bidi="ar-SA"/>
        </w:rPr>
      </w:pPr>
      <w:r>
        <w:rPr>
          <w:rFonts w:ascii="arial" w:eastAsia="arial" w:hAnsi="arial" w:cs="arial"/>
          <w:color w:val="000000"/>
          <w:sz w:val="20"/>
          <w:lang w:val="en-US" w:eastAsia="en-US" w:bidi="ar-SA"/>
        </w:rPr>
        <w:t>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45</w:t>
      </w:r>
      <w:r>
        <w:rPr>
          <w:rFonts w:ascii="arial" w:eastAsia="arial" w:hAnsi="arial" w:cs="arial"/>
          <w:color w:val="000000"/>
          <w:sz w:val="20"/>
          <w:lang w:val="en-US" w:eastAsia="en-US" w:bidi="ar-SA"/>
        </w:rPr>
        <w:t>  The plaintiff suffered a fractured foot. He wore a cast for three months. His recovery, which lasted approximately five months, was uneventful. Dr. Puddicombe's opinion is that he has a mild form of arthritis which has resulted from the fall. He has generally achieved full recovery. In the circumstances the non-pecuniary general damages for his foot injury will be assessed at $10,000.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46</w:t>
      </w:r>
      <w:r>
        <w:rPr>
          <w:rFonts w:ascii="arial" w:eastAsia="arial" w:hAnsi="arial" w:cs="arial"/>
          <w:color w:val="000000"/>
          <w:sz w:val="20"/>
          <w:lang w:val="en-US" w:eastAsia="en-US" w:bidi="ar-SA"/>
        </w:rPr>
        <w:t>  The more contentious aspect of this case relates to the head injury. There is no credible evidence that the plaintiff suffered a head injury. I accept entirely the analysis of Dr. O'Shaughnessy, wherein he stated that "there is little if any medical evidence to suggest that the fall in May 1992 had any causal relationship to the subsequent development of his anxiety disorder". Dr. O'Shaughnessy has testified that while the relationship between his a anxiety and the fall is one of possibility, it does not amount to "a medically probable connection". In particular, Dr. O'Shaughnessy has noted the delay between the anxiety symptoms and the fall. I have also accepted the evidence of Dr. Robinson, the neurologist, who said "there is no objective findings to support the diagnosis of traumatic brain injury". Dr. Robinson has gone on to state that he did not believe that the physicians who expressed the opinion that his "psychological difficulties are secondary to traumatic brain injury have a complete history as to the other factors". It is clear that Drs. Koch, Brasfield and Blunderfield were not given comprehensive histories of the plaintiff's background. They all testified that matters, such as childhood sexual abuse would have been relevant in the formulation of their opinions. It is of particular note that the plaintiff did not complain of a head injury when he went to the hospital.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47</w:t>
      </w:r>
      <w:r>
        <w:rPr>
          <w:rFonts w:ascii="arial" w:eastAsia="arial" w:hAnsi="arial" w:cs="arial"/>
          <w:color w:val="000000"/>
          <w:sz w:val="20"/>
          <w:lang w:val="en-US" w:eastAsia="en-US" w:bidi="ar-SA"/>
        </w:rPr>
        <w:t>  This plaintiff has had an extremely difficult and unfortunate life. One can clearly sympathize with his plight. However, judicial findings cannot be based upon sympathy. The plaintiff's evidence has been fraught with inconsistencies. The plaintiff by his own admission has a poor memory. Under the circumstances, I cannot find that there is any causal link between the fall and the panic attacks, anxiety and the psychological symptoms.</w:t>
      </w:r>
      <w:r>
        <w:rPr>
          <w:rFonts w:ascii="arial" w:eastAsia="arial" w:hAnsi="arial" w:cs="arial"/>
          <w:sz w:val="20"/>
          <w:lang w:val="en-US" w:eastAsia="en-US" w:bidi="ar-SA"/>
        </w:rPr>
        <w:cr/>
      </w:r>
    </w:p>
    <w:p>
      <w:pPr>
        <w:numPr>
          <w:numId w:val="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Past Wage Loss</w:t>
      </w:r>
    </w:p>
    <w:p>
      <w:pPr>
        <w:spacing w:before="120" w:line="260" w:lineRule="atLeast"/>
        <w:ind w:left="108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Future Earning Capacity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48</w:t>
      </w:r>
      <w:r>
        <w:rPr>
          <w:rFonts w:ascii="arial" w:eastAsia="arial" w:hAnsi="arial" w:cs="arial"/>
          <w:color w:val="000000"/>
          <w:sz w:val="20"/>
          <w:lang w:val="en-US" w:eastAsia="en-US" w:bidi="ar-SA"/>
        </w:rPr>
        <w:t>  Again, there is no credible evidence to conclude that the plaintiff has suffered any loss of income as a result of the fractured foot suffered in the fall. As noted at the time of the fall, he had declared bankruptcy and, contrary to the statements made to the doctors, he was not earning any significant income. Again, I find that the plaintiff has not proved that he has suffered a loss of future earning capacity, even on the lower evidentiary standard that is required for that head of damages. Thus, his claim for past income loss and loss of future earning capacity is dismissed.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CONCLUSION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49</w:t>
      </w:r>
      <w:r>
        <w:rPr>
          <w:rFonts w:ascii="arial" w:eastAsia="arial" w:hAnsi="arial" w:cs="arial"/>
          <w:sz w:val="20"/>
          <w:lang w:val="en-US" w:eastAsia="en-US" w:bidi="ar-SA"/>
        </w:rPr>
        <w:cr/>
      </w:r>
    </w:p>
    <w:p>
      <w:pPr>
        <w:numPr>
          <w:numId w:val="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defendant Club was in breach of the Occupiers Liability Act and is liable to the plaintiff.</w:t>
      </w:r>
    </w:p>
    <w:p>
      <w:pPr>
        <w:numPr>
          <w:numId w:val="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plaintiff is entitled to non-pecuniary general damages in the amount of $10,000.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OPPAL J.</w:t>
      </w:r>
      <w:r>
        <w:rPr>
          <w:rFonts w:ascii="arial" w:eastAsia="arial" w:hAnsi="arial" w:cs="arial"/>
          <w:sz w:val="20"/>
          <w:lang w:val="en-US" w:eastAsia="en-US" w:bidi="ar-SA"/>
        </w:rPr>
        <w:cr/>
      </w:r>
    </w:p>
    <w:p>
      <w:pPr>
        <w:rPr>
          <w:rFonts w:ascii="arial" w:eastAsia="arial" w:hAnsi="arial" w:cs="arial"/>
          <w:sz w:val="20"/>
          <w:lang w:val="en-US" w:eastAsia="en-US" w:bidi="ar-SA"/>
        </w:rPr>
      </w:pPr>
    </w:p>
    <w:p>
      <w:pPr>
        <w:ind w:left="200"/>
        <w:rPr>
          <w:rFonts w:ascii="arial" w:eastAsia="arial" w:hAnsi="arial" w:cs="arial"/>
          <w:sz w:val="20"/>
          <w:lang w:val="en-US" w:eastAsia="en-US" w:bidi="ar-SA"/>
        </w:rPr>
        <w:sectPr>
          <w:type w:val="continuous"/>
          <w:pgMar w:top="840" w:right="1000" w:bottom="840" w:left="1000" w:header="400" w:footer="400"/>
          <w:pgNumType w:fmt="decimal"/>
          <w:cols w:space="720"/>
        </w:sectPr>
      </w:pPr>
      <w:r>
        <w:rPr>
          <w:rFonts w:ascii="arial" w:eastAsia="arial" w:hAnsi="arial" w:cs="arial"/>
          <w:sz w:val="20"/>
          <w:lang w:val="en-US" w:eastAsia="en-US" w:bidi="ar-SA"/>
        </w:rPr>
        <w:br/>
      </w:r>
      <w:r>
        <w:pict>
          <v:line id="_x0000_s1102" style="position:absolute;z-index:251871232" from="0,10pt" to="512pt,10pt" strokecolor="black" strokeweight="1pt">
            <v:stroke linestyle="single"/>
          </v:line>
        </w:pict>
      </w:r>
      <w:r>
        <w:rPr>
          <w:b/>
          <w:color w:val="767676"/>
          <w:sz w:val="16"/>
          <w:lang w:val="en-US" w:eastAsia="en-US" w:bidi="ar-SA"/>
        </w:rPr>
        <w:t>End of Document</w:t>
      </w:r>
    </w:p>
    <w:p>
      <w:pPr>
        <w:rPr>
          <w:rFonts w:ascii="arial" w:eastAsia="arial" w:hAnsi="arial" w:cs="arial"/>
          <w:sz w:val="20"/>
          <w:lang w:val="en-US" w:eastAsia="en-US" w:bidi="ar-SA"/>
        </w:rPr>
        <w:sectPr>
          <w:headerReference w:type="even" r:id="rId393"/>
          <w:headerReference w:type="default" r:id="rId394"/>
          <w:footerReference w:type="even" r:id="rId395"/>
          <w:footerReference w:type="default" r:id="rId396"/>
          <w:headerReference w:type="first" r:id="rId397"/>
          <w:footerReference w:type="first" r:id="rId398"/>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eastAsia="arial" w:hAnsi="Arial" w:cs="Arial"/>
          <w:b/>
          <w:bCs/>
          <w:kern w:val="32"/>
          <w:sz w:val="32"/>
          <w:szCs w:val="32"/>
          <w:lang w:val="en-US" w:eastAsia="en-US" w:bidi="ar-SA"/>
        </w:rPr>
      </w:pPr>
      <w:hyperlink r:id="rId399" w:history="1">
        <w:r>
          <w:rPr>
            <w:rFonts w:ascii="arial" w:eastAsia="arial" w:hAnsi="arial" w:cs="arial"/>
            <w:b/>
            <w:bCs/>
            <w:i/>
            <w:color w:val="0077CC"/>
            <w:kern w:val="32"/>
            <w:sz w:val="28"/>
            <w:szCs w:val="32"/>
            <w:u w:val="single"/>
            <w:shd w:val="clear" w:color="auto" w:fill="FFFFFF"/>
            <w:lang w:val="en-US" w:eastAsia="en-US" w:bidi="ar-SA"/>
          </w:rPr>
          <w:t>Faulkner (c.o.b. Red Balloon Toy Store) v. Peace Hills General Insurance Co., [2015] B.C.J. No. 2957</w:t>
        </w:r>
      </w:hyperlink>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Judgments</w:t>
      </w:r>
    </w:p>
    <w:p>
      <w:pPr>
        <w:rPr>
          <w:rFonts w:ascii="arial" w:eastAsia="arial" w:hAnsi="arial" w:cs="arial"/>
          <w:sz w:val="20"/>
          <w:lang w:val="en-US" w:eastAsia="en-US" w:bidi="ar-SA"/>
        </w:rPr>
      </w:pP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Victoria, British Columbia</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J.A. Power J.</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Heard: November 9, 2015.</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Oral judgment: November 24, 2015.</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Docket: S13073</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Registry: Duncan</w:t>
      </w:r>
    </w:p>
    <w:p>
      <w:pPr>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r>
        <w:rPr>
          <w:rFonts w:ascii="arial" w:eastAsia="arial" w:hAnsi="arial" w:cs="arial"/>
          <w:b/>
          <w:color w:val="000000"/>
          <w:sz w:val="20"/>
          <w:lang w:val="en-US" w:eastAsia="en-US" w:bidi="ar-SA"/>
        </w:rPr>
        <w:t>[2015] B.C.J. No. 2957</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2015 BCSC 2540</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2015 CarswellBC 3958</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263 A.C.W.S. (3d) 355</w:t>
      </w:r>
    </w:p>
    <w:p>
      <w:pPr>
        <w:spacing w:before="120" w:line="260" w:lineRule="atLeast"/>
        <w:rPr>
          <w:rFonts w:ascii="arial" w:eastAsia="arial" w:hAnsi="arial" w:cs="arial"/>
          <w:sz w:val="20"/>
          <w:lang w:val="en-US" w:eastAsia="en-US" w:bidi="ar-SA"/>
        </w:rPr>
      </w:pPr>
      <w:r>
        <w:rPr>
          <w:rFonts w:ascii="arial" w:eastAsia="arial" w:hAnsi="arial" w:cs="arial"/>
          <w:color w:val="000000"/>
          <w:sz w:val="20"/>
          <w:lang w:val="en-US" w:eastAsia="en-US" w:bidi="ar-SA"/>
        </w:rPr>
        <w:t>Between Susan Leigh Faulkner and the said Susan Leigh Faulkner doing business as The Red Balloon Toy Store, Plaintiff, and Peace Hills General Insurance Company, Defendant</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(36 paras.)</w:t>
      </w:r>
    </w:p>
    <w:p>
      <w:pPr>
        <w:keepNext/>
        <w:spacing w:before="12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Case Summary</w:t>
      </w:r>
    </w:p>
    <w:p>
      <w:pPr>
        <w:spacing w:line="60" w:lineRule="exact"/>
        <w:rPr>
          <w:rFonts w:ascii="arial" w:eastAsia="arial" w:hAnsi="arial" w:cs="arial"/>
          <w:sz w:val="20"/>
          <w:lang w:val="en-US" w:eastAsia="en-US" w:bidi="ar-SA"/>
        </w:rPr>
      </w:pPr>
      <w:r>
        <w:pict>
          <v:line id="_x0000_s1103" style="position:absolute;z-index:251674624"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bookmarkStart w:id="99" w:name="Keywords_14"/>
      <w:bookmarkEnd w:id="99"/>
      <w:r>
        <w:rPr>
          <w:rFonts w:ascii="arial" w:eastAsia="arial" w:hAnsi="arial" w:cs="arial"/>
          <w:b/>
          <w:color w:val="000000"/>
          <w:sz w:val="20"/>
          <w:lang w:val="en-US" w:eastAsia="en-US" w:bidi="ar-SA"/>
        </w:rPr>
        <w:t>Civil litigation — Civil procedure — Parties — Third party procedure — Availability — Application by defendant insurer for leave to file third party claim dismissed — Plaintiff sued for insurance proceeds after her building sustained damage — Third parties repaired building — When repair costs exceeded insurance coverage, repairs stopped and building was ordered demolished — Defendant alleged third parties caused further damage to building resulting in demolition order — Primary issue to be heard in action was extent of insurance coverage owed to plaintiff — Whether or not the third parties caused fault seemed to be separate and distinct from the issue of insurance coverage.</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Insurance law — Actions — By insured against insurer — Property coverage — Practice and procedure — Parties — Application by defendant insurer for leave to file third party claim dismissed — Plaintiff sued for insurance proceeds after her building sustained damage — Third parties repaired building — When repair costs exceeded insurance coverage, repairs stopped and building was ordered demolished — Defendant alleged third parties caused further damage to building resulting in demolition order-- Primary issue to be heard in action was extent of insurance coverage owed to plaintiff — Whether or not the third parties caused fault seemed to be separate and distinct from the issue of insurance coverage.</w:t>
      </w:r>
    </w:p>
    <w:p>
      <w:pPr>
        <w:rPr>
          <w:rFonts w:ascii="arial" w:eastAsia="arial" w:hAnsi="arial" w:cs="arial"/>
          <w:sz w:val="20"/>
          <w:lang w:val="en-US" w:eastAsia="en-US" w:bidi="ar-SA"/>
        </w:rPr>
      </w:pPr>
    </w:p>
    <w:tbl>
      <w:tblPr>
        <w:tblStyle w:val="TableNormal"/>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
      <w:tblGrid>
        <w:gridCol w:w="10225"/>
      </w:tblGrid>
      <w:tr>
        <w:tblPrEx>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Ex>
        <w:tc>
          <w:tcPr/>
          <w:p>
            <w:pPr>
              <w:rPr>
                <w:rFonts w:ascii="arial" w:eastAsia="arial" w:hAnsi="arial" w:cs="arial"/>
                <w:sz w:val="20"/>
                <w:lang w:val="en-US" w:eastAsia="en-US" w:bidi="ar-SA"/>
              </w:rPr>
            </w:pPr>
            <w:bookmarkStart w:id="100" w:name="Case Summary_13"/>
            <w:bookmarkEnd w:id="100"/>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Application by the defendant for leave to file a third party claim. The defendant was the plaintiff's insurer. The plaintiff's building had suffered damage as a result of various incidents. In the present action, the plaintiff sued for insurance benefits. The parties had agreed to repair the building rather than replace it. The repairs to the building were done by the proposed third parties. As the repairs to the building began, the costs escalated to the point of exceeding the repair cost limit of the building insurance policy. The repairs stopped and the City ordered that the building be demolished. The allegation raised in the third party notice was that there were aspects of the work done by the third parties which caused additional damage to the plaintiff's building. The defendant alleged that the result of that additional work was that the building had to be demolished. The defendant argued that anything it was required to pay in excess of the building policy was as a direct result of the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of the third parties. </w:t>
            </w:r>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HELD/&gt; HELD: Application dismissed. The primary issue to be heard in this case was the extent of insurance coverage owed to the plaintiff. Since the insurer had not paid out a payment related to the replacement claim, it had not accrued any subrogation rights under the Insurance Act or under the common law. Whether there was a subsequent insurance contract and its terms needed to be determined before the insurer could advance a subrogated claim. Whether or not the third parties caused fault seemed to be separate and distinct from the issue of insurance coverage. </w:t>
            </w:r>
            <w:r>
              <w:rPr>
                <w:rFonts w:ascii="arial" w:eastAsia="arial" w:hAnsi="arial" w:cs="arial"/>
                <w:sz w:val="20"/>
                <w:lang w:val="en-US" w:eastAsia="en-US" w:bidi="ar-SA"/>
              </w:rPr>
              <w:cr/>
            </w:r>
          </w:p>
          <w:p>
            <w:pPr>
              <w:rPr>
                <w:rFonts w:ascii="arial" w:eastAsia="arial" w:hAnsi="arial" w:cs="arial"/>
                <w:sz w:val="20"/>
                <w:lang w:val="en-US" w:eastAsia="en-US" w:bidi="ar-SA"/>
              </w:rPr>
            </w:pPr>
          </w:p>
        </w:tc>
      </w:tr>
    </w:tbl>
    <w:p>
      <w:pPr>
        <w:jc w:val="both"/>
        <w:rPr>
          <w:rFonts w:ascii="arial" w:eastAsia="arial" w:hAnsi="arial" w:cs="arial"/>
          <w:sz w:val="20"/>
          <w:lang w:val="en-US" w:eastAsia="en-US" w:bidi="ar-SA"/>
        </w:rPr>
      </w:pPr>
      <w:bookmarkStart w:id="101" w:name="Legislation Cited_10"/>
      <w:bookmarkEnd w:id="101"/>
      <w:r>
        <w:rPr>
          <w:rFonts w:ascii="arial" w:eastAsia="arial" w:hAnsi="arial" w:cs="arial"/>
          <w:sz w:val="20"/>
          <w:lang w:val="en-US" w:eastAsia="en-US" w:bidi="ar-SA"/>
        </w:rPr>
        <w:br/>
      </w:r>
    </w:p>
    <w:p>
      <w:pPr>
        <w:keepNext/>
        <w:spacing w:before="24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Statutes, Regulations and Rules Cited:</w:t>
      </w:r>
    </w:p>
    <w:p>
      <w:pPr>
        <w:spacing w:line="60" w:lineRule="exact"/>
        <w:rPr>
          <w:rFonts w:ascii="arial" w:eastAsia="arial" w:hAnsi="arial" w:cs="arial"/>
          <w:sz w:val="20"/>
          <w:lang w:val="en-US" w:eastAsia="en-US" w:bidi="ar-SA"/>
        </w:rPr>
      </w:pPr>
      <w:r>
        <w:pict>
          <v:line id="_x0000_s1104" style="position:absolute;z-index:251725824"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Insurance Act, s. 36</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Supreme Court Civil Rules, Rule 3-5(1), Rule 3-5(1)(b), Rule 3-5(1)(c)</w:t>
      </w:r>
      <w:r>
        <w:rPr>
          <w:rFonts w:ascii="arial" w:eastAsia="arial" w:hAnsi="arial" w:cs="arial"/>
          <w:sz w:val="20"/>
          <w:lang w:val="en-US" w:eastAsia="en-US" w:bidi="ar-SA"/>
        </w:rPr>
        <w:cr/>
      </w:r>
    </w:p>
    <w:p>
      <w:pPr>
        <w:keepNext/>
        <w:spacing w:before="240" w:line="340" w:lineRule="atLeast"/>
        <w:rPr>
          <w:rFonts w:ascii="arial" w:eastAsia="arial" w:hAnsi="arial" w:cs="arial"/>
          <w:sz w:val="20"/>
          <w:lang w:val="en-US" w:eastAsia="en-US" w:bidi="ar-SA"/>
        </w:rPr>
      </w:pPr>
      <w:bookmarkStart w:id="102" w:name="Counsel_14"/>
      <w:bookmarkEnd w:id="102"/>
      <w:r>
        <w:rPr>
          <w:rFonts w:ascii="arial" w:eastAsia="arial" w:hAnsi="arial" w:cs="arial"/>
          <w:b/>
          <w:color w:val="000000"/>
          <w:sz w:val="28"/>
          <w:lang w:val="en-US" w:eastAsia="en-US" w:bidi="ar-SA"/>
        </w:rPr>
        <w:t>Counsel</w:t>
      </w:r>
    </w:p>
    <w:p>
      <w:pPr>
        <w:spacing w:line="60" w:lineRule="exact"/>
        <w:rPr>
          <w:rFonts w:ascii="arial" w:eastAsia="arial" w:hAnsi="arial" w:cs="arial"/>
          <w:sz w:val="20"/>
          <w:lang w:val="en-US" w:eastAsia="en-US" w:bidi="ar-SA"/>
        </w:rPr>
      </w:pPr>
      <w:r>
        <w:pict>
          <v:line id="_x0000_s1105" style="position:absolute;z-index:251777024"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Counsel for Plaintiffs appearing by teleconference: R.B. McDaniel and, M. McConchie.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Counsel for Peace Hills General Insurance Company appearing by teleconference: S. Sidhu.</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Counsel for AAE Structural Ltd: N. Mosky.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Counsel for Rock Steady Contracting Ltd. appearing by teleconference: P. Dawson.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Counsel for C.N. Ryzuk and Associates Ltd. appearing by teleconference: S. Haakonson.</w:t>
      </w:r>
      <w:r>
        <w:rPr>
          <w:rFonts w:ascii="arial" w:eastAsia="arial" w:hAnsi="arial" w:cs="arial"/>
          <w:sz w:val="20"/>
          <w:lang w:val="en-US" w:eastAsia="en-US" w:bidi="ar-SA"/>
        </w:rPr>
        <w:cr/>
      </w:r>
    </w:p>
    <w:p>
      <w:pPr>
        <w:spacing w:after="240"/>
        <w:rPr>
          <w:rFonts w:ascii="arial" w:eastAsia="arial" w:hAnsi="arial" w:cs="arial"/>
          <w:sz w:val="20"/>
          <w:lang w:val="en-US" w:eastAsia="en-US" w:bidi="ar-SA"/>
        </w:rPr>
      </w:pPr>
      <w:bookmarkStart w:id="103" w:name="Judgment_15"/>
      <w:bookmarkEnd w:id="103"/>
      <w:r>
        <w:pict>
          <v:line id="_x0000_s1106" style="position:absolute;z-index:251826176" from="0,12pt" to="512pt,12pt" strokecolor="#009ddb" strokeweight="1.5pt">
            <v:stroke linestyle="single"/>
          </v:line>
        </w:pict>
      </w:r>
    </w:p>
    <w:p>
      <w:pPr>
        <w:spacing w:line="260" w:lineRule="atLeast"/>
        <w:ind w:left="1080"/>
        <w:rPr>
          <w:rFonts w:ascii="arial" w:eastAsia="arial" w:hAnsi="arial" w:cs="arial"/>
          <w:sz w:val="20"/>
          <w:lang w:val="en-US" w:eastAsia="en-US" w:bidi="ar-SA"/>
        </w:rPr>
      </w:pPr>
      <w:r>
        <w:rPr>
          <w:rFonts w:ascii="arial" w:eastAsia="arial" w:hAnsi="arial" w:cs="arial"/>
          <w:b/>
          <w:color w:val="000000"/>
          <w:sz w:val="20"/>
          <w:lang w:val="en-US" w:eastAsia="en-US" w:bidi="ar-SA"/>
        </w:rPr>
        <w:t>Oral Ruling on Application to Add Third Parties</w:t>
      </w:r>
    </w:p>
    <w:p>
      <w:pPr>
        <w:rPr>
          <w:rFonts w:ascii="arial" w:eastAsia="arial" w:hAnsi="arial" w:cs="arial"/>
          <w:sz w:val="20"/>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3454"/>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rFonts w:ascii="arial" w:eastAsia="arial" w:hAnsi="arial" w:cs="arial"/>
                <w:sz w:val="20"/>
                <w:lang w:val="en-US" w:eastAsia="en-US" w:bidi="ar-SA"/>
              </w:rPr>
            </w:pPr>
            <w:r>
              <w:rPr>
                <w:rFonts w:ascii="arial" w:eastAsia="arial" w:hAnsi="arial" w:cs="arial"/>
                <w:b/>
                <w:color w:val="000000"/>
                <w:sz w:val="30"/>
                <w:lang w:val="en-US" w:eastAsia="en-US" w:bidi="ar-SA"/>
              </w:rPr>
              <w:t>J.A. POWER J. (orally)</w:t>
            </w:r>
          </w:p>
        </w:tc>
      </w:tr>
    </w:tbl>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INTRODUCTION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This is the defendant's application seeking leave to file third party notice against three parties: Rock Steady Contracting Ltd., C.N. Ryzuk &amp; Associates Ltd., and AAE Structural Ltd.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The plaintiff takes no position on the application, although the proposed third parties vigorously oppose it on a variety of grounds. The defendant is the plaintiff's insurer.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In another action, which is going to be heard at trial at the same time as this one, Mr. Justice Johnston declined an application by the defendants to add the same proposed third parties.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In the matter before me, the defendant insurance company argues that leave should be granted on this application, since it is making a claim based on subrogated rights.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For the reasons that follow, I have determined that I should decline to exercise my discretion to grant leave, and accordingly, the application is dismissed. My reasons are as follows.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BACKGROUND FACTS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xml:space="preserve">  The plaintiff, Ms. Faulkner, had a series of unfortunate incidents relating to a building that she owned in Duncan, British Columbia. The plaintiff ran a toy store in part of the building and rented out the other part. The events are outlined in the pleadings and summarized by Johnston J. in the companion action, </w:t>
      </w:r>
      <w:r>
        <w:rPr>
          <w:rFonts w:ascii="arial" w:eastAsia="arial" w:hAnsi="arial" w:cs="arial"/>
          <w:i/>
          <w:color w:val="000000"/>
          <w:sz w:val="20"/>
          <w:lang w:val="en-US" w:eastAsia="en-US" w:bidi="ar-SA"/>
        </w:rPr>
        <w:t>Faulkner v. Duncan (City)</w:t>
      </w:r>
      <w:r>
        <w:rPr>
          <w:rFonts w:ascii="arial" w:eastAsia="arial" w:hAnsi="arial" w:cs="arial"/>
          <w:color w:val="000000"/>
          <w:sz w:val="20"/>
          <w:lang w:val="en-US" w:eastAsia="en-US" w:bidi="ar-SA"/>
        </w:rPr>
        <w:t xml:space="preserve">, </w:t>
      </w:r>
      <w:hyperlink r:id="rId400" w:history="1">
        <w:r>
          <w:rPr>
            <w:rFonts w:ascii="arial" w:eastAsia="arial" w:hAnsi="arial" w:cs="arial"/>
            <w:i/>
            <w:color w:val="0077CC"/>
            <w:sz w:val="20"/>
            <w:u w:val="single"/>
            <w:shd w:val="clear" w:color="auto" w:fill="FFFFFF"/>
            <w:lang w:val="en-US" w:eastAsia="en-US" w:bidi="ar-SA"/>
          </w:rPr>
          <w:t>2015 BCSC 1763</w:t>
        </w:r>
      </w:hyperlink>
      <w:r>
        <w:rPr>
          <w:rFonts w:ascii="arial" w:eastAsia="arial" w:hAnsi="arial" w:cs="arial"/>
          <w:color w:val="000000"/>
          <w:sz w:val="20"/>
          <w:lang w:val="en-US" w:eastAsia="en-US" w:bidi="ar-SA"/>
        </w:rPr>
        <w:t>. There were initial incidents involving a snow plow accident, water damage, and construction damage that led to an insurance claim.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xml:space="preserve">  The plaintiff filed a tort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claim against the City of Duncan and Chew Excavating in 2010, the tort action, and the plaintiff also filed this action in 2010 against her insurer, Peace Hills, for insurance coverage.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As part of a mediation in 2011 a decision was made to repair the damages rather than replace the building, and those repairs began in 2012. The repairs were done by the third parties in this application. There will be a dispute between the parties as to who was responsible for hiring those third parties, Ms. Faulkner or the insurer.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As the repairs to the building began, the costs escalated to the point of exceeding the repair cost limit of the building insurance policy, which was $550,000. The repairs stopped and the City of Duncan ordered that the building be demolished.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The allegation raised in the third party notice is that there were aspects of the work done by the third parties, which caused additional damage to the plaintiff's building. It is alleged that the result of that additional work is that the building had to be demolished.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Ms. Faulkner's claim against Peace Hills is to determine the scope of her insurance coverage. Ms. Faulkner alleges that Peace Hills is obligated to pay her for her losses, as part of their insurance contract, and that having exercised their right to repair, Peace Hills entered into a new contract that would require them to repair the building, notwithstanding the policy limit or the fact that the building now has to be replaced.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Peace Hills denies owing Ms. Faulkner a replacement building under the terms of the contract and says that any claim for excess damage is the fault of the third parties.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Peace Hills is arguing two defences to Ms. Faulkner's claim: firstly, that Peace Hills has satisfied its obligations under the building policy limits, and secondly, that the third parties are at fault and are responsible for any costs beyond the building policy limits.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THE PARTIES' POSITIONS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xml:space="preserve">  Peace Hills argues that anything they are required to pay in excess of the building policy is as a direct result of the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of the third parties. Peace Hills argues that while it had waived its right to a subrogated claim on the first $550,000, it had not done so with respect to any excess. They argue that while they are not seeking any monies at this time, they wish to add the third parties in the event that they are ordered to pay in excess of the policy limit.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w:t>
      </w:r>
      <w:r>
        <w:rPr>
          <w:rFonts w:ascii="arial" w:eastAsia="arial" w:hAnsi="arial" w:cs="arial"/>
          <w:color w:val="000000"/>
          <w:sz w:val="20"/>
          <w:lang w:val="en-US" w:eastAsia="en-US" w:bidi="ar-SA"/>
        </w:rPr>
        <w:t>  Peace Hills argues that it has, or may have, subrogated rights against the third parties, and the issues to be decided in this claim are similar to what would be resolved in a subsequent subrogation case, that is, the determination of the third parties' fault. As a result, Peace Hills argues that the third parties should be added to create efficiency.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w:t>
      </w:r>
      <w:r>
        <w:rPr>
          <w:rFonts w:ascii="arial" w:eastAsia="arial" w:hAnsi="arial" w:cs="arial"/>
          <w:color w:val="000000"/>
          <w:sz w:val="20"/>
          <w:lang w:val="en-US" w:eastAsia="en-US" w:bidi="ar-SA"/>
        </w:rPr>
        <w:t>  The third parties argue that this is primarily an action related to insurance coverage and any claims against the third parties arise by way of a defence. Accordingly, they argue they should not be added to this action.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w:t>
      </w:r>
      <w:r>
        <w:rPr>
          <w:rFonts w:ascii="arial" w:eastAsia="arial" w:hAnsi="arial" w:cs="arial"/>
          <w:color w:val="000000"/>
          <w:sz w:val="20"/>
          <w:lang w:val="en-US" w:eastAsia="en-US" w:bidi="ar-SA"/>
        </w:rPr>
        <w:t xml:space="preserve">  They argue that their position is analogous to that before Master Tokarek in </w:t>
      </w:r>
      <w:r>
        <w:rPr>
          <w:rFonts w:ascii="arial" w:eastAsia="arial" w:hAnsi="arial" w:cs="arial"/>
          <w:i/>
          <w:color w:val="000000"/>
          <w:sz w:val="20"/>
          <w:lang w:val="en-US" w:eastAsia="en-US" w:bidi="ar-SA"/>
        </w:rPr>
        <w:t>The Owners, Strata Plan BCS 1348 v. Travelers Guarantee Company of Canada</w:t>
      </w:r>
      <w:r>
        <w:rPr>
          <w:rFonts w:ascii="arial" w:eastAsia="arial" w:hAnsi="arial" w:cs="arial"/>
          <w:color w:val="000000"/>
          <w:sz w:val="20"/>
          <w:lang w:val="en-US" w:eastAsia="en-US" w:bidi="ar-SA"/>
        </w:rPr>
        <w:t xml:space="preserve">, Vancouver Registry No. 20140414, April 14, 2014 (unreported), at paras. 25 to 28, and that they would be sitting through a trial in which they do not have a vested interest. They also argue that the action against them, as a third party claim for contribution or indemnification, should not be allowed since the claim can be raised by way of a defence: </w:t>
      </w:r>
      <w:r>
        <w:rPr>
          <w:rFonts w:ascii="arial" w:eastAsia="arial" w:hAnsi="arial" w:cs="arial"/>
          <w:i/>
          <w:color w:val="000000"/>
          <w:sz w:val="20"/>
          <w:lang w:val="en-US" w:eastAsia="en-US" w:bidi="ar-SA"/>
        </w:rPr>
        <w:t>College of New Caledonia v. Kraft Construction Co. Ltd.</w:t>
      </w:r>
      <w:r>
        <w:rPr>
          <w:rFonts w:ascii="arial" w:eastAsia="arial" w:hAnsi="arial" w:cs="arial"/>
          <w:color w:val="000000"/>
          <w:sz w:val="20"/>
          <w:lang w:val="en-US" w:eastAsia="en-US" w:bidi="ar-SA"/>
        </w:rPr>
        <w:t xml:space="preserve">, </w:t>
      </w:r>
      <w:hyperlink r:id="rId401" w:history="1">
        <w:r>
          <w:rPr>
            <w:rFonts w:ascii="arial" w:eastAsia="arial" w:hAnsi="arial" w:cs="arial"/>
            <w:i/>
            <w:color w:val="0077CC"/>
            <w:sz w:val="20"/>
            <w:u w:val="single"/>
            <w:shd w:val="clear" w:color="auto" w:fill="FFFFFF"/>
            <w:lang w:val="en-US" w:eastAsia="en-US" w:bidi="ar-SA"/>
          </w:rPr>
          <w:t>2007 BCSC 1408</w:t>
        </w:r>
      </w:hyperlink>
      <w:r>
        <w:rPr>
          <w:rFonts w:ascii="arial" w:eastAsia="arial" w:hAnsi="arial" w:cs="arial"/>
          <w:color w:val="000000"/>
          <w:sz w:val="20"/>
          <w:lang w:val="en-US" w:eastAsia="en-US" w:bidi="ar-SA"/>
        </w:rPr>
        <w:t xml:space="preserve"> and </w:t>
      </w:r>
      <w:r>
        <w:rPr>
          <w:rFonts w:ascii="arial" w:eastAsia="arial" w:hAnsi="arial" w:cs="arial"/>
          <w:i/>
          <w:color w:val="000000"/>
          <w:sz w:val="20"/>
          <w:lang w:val="en-US" w:eastAsia="en-US" w:bidi="ar-SA"/>
        </w:rPr>
        <w:t>Adams v. Thompson, Berwick, Pratt &amp; Partners</w:t>
      </w:r>
      <w:r>
        <w:rPr>
          <w:rFonts w:ascii="arial" w:eastAsia="arial" w:hAnsi="arial" w:cs="arial"/>
          <w:color w:val="000000"/>
          <w:sz w:val="20"/>
          <w:lang w:val="en-US" w:eastAsia="en-US" w:bidi="ar-SA"/>
        </w:rPr>
        <w:t xml:space="preserve"> </w:t>
      </w:r>
      <w:hyperlink r:id="rId402" w:history="1">
        <w:r>
          <w:rPr>
            <w:rFonts w:ascii="arial" w:eastAsia="arial" w:hAnsi="arial" w:cs="arial"/>
            <w:i/>
            <w:color w:val="0077CC"/>
            <w:sz w:val="20"/>
            <w:u w:val="single"/>
            <w:shd w:val="clear" w:color="auto" w:fill="FFFFFF"/>
            <w:lang w:val="en-US" w:eastAsia="en-US" w:bidi="ar-SA"/>
          </w:rPr>
          <w:t>(1987), 15 B.C.L.R. (2d) 51</w:t>
        </w:r>
      </w:hyperlink>
      <w:r>
        <w:rPr>
          <w:rFonts w:ascii="arial" w:eastAsia="arial" w:hAnsi="arial" w:cs="arial"/>
          <w:color w:val="000000"/>
          <w:sz w:val="20"/>
          <w:lang w:val="en-US" w:eastAsia="en-US" w:bidi="ar-SA"/>
        </w:rPr>
        <w:t xml:space="preserve"> at paras. 55 to 56.</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ANALYSIS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w:t>
      </w:r>
      <w:r>
        <w:rPr>
          <w:rFonts w:ascii="arial" w:eastAsia="arial" w:hAnsi="arial" w:cs="arial"/>
          <w:color w:val="000000"/>
          <w:sz w:val="20"/>
          <w:lang w:val="en-US" w:eastAsia="en-US" w:bidi="ar-SA"/>
        </w:rPr>
        <w:t>  Since Peace Hills is past the time limit to add a third party without leave, Peace Hills must obtain leave before a third party notice is granted. Rule 3-5(1) of the Supreme Court Civil Rules allows a party to add third parties to actions in certain circumstances. Peace Hills is specifically relying on Rule 3-5(1)(b) and (c)(i) and (ii):</w:t>
      </w:r>
      <w:r>
        <w:rPr>
          <w:rFonts w:ascii="arial" w:eastAsia="arial" w:hAnsi="arial" w:cs="arial"/>
          <w:sz w:val="20"/>
          <w:lang w:val="en-US" w:eastAsia="en-US" w:bidi="ar-SA"/>
        </w:rPr>
        <w:cr/>
      </w:r>
    </w:p>
    <w:p>
      <w:pPr>
        <w:numPr>
          <w:numId w:val="9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 party against whom relief is sought in an action may, if that party is not a plaintiff in the action, pursue a third party claim against any person if the party alleges that</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numPr>
          <w:numId w:val="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party is entitled to relief against the person and that relief relates to or is connected with the subject matter of the action,</w:t>
      </w:r>
    </w:p>
    <w:p>
      <w:pPr>
        <w:numPr>
          <w:numId w:val="3"/>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a question or issue between the party and the person</w:t>
      </w:r>
    </w:p>
    <w:p>
      <w:pPr>
        <w:numPr>
          <w:numId w:val="4"/>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is substantially the same as a question or issue that relates to or is connected with</w:t>
      </w:r>
    </w:p>
    <w:p>
      <w:pPr>
        <w:numPr>
          <w:numId w:val="5"/>
        </w:numPr>
        <w:tabs>
          <w:tab w:val="clear" w:pos="1840"/>
          <w:tab w:val="num" w:pos="2200"/>
        </w:tabs>
        <w:spacing w:before="120" w:line="260" w:lineRule="atLeast"/>
        <w:ind w:left="2200"/>
        <w:jc w:val="both"/>
        <w:rPr>
          <w:rFonts w:ascii="arial" w:eastAsia="arial" w:hAnsi="arial" w:cs="arial"/>
          <w:sz w:val="20"/>
          <w:lang w:val="en-US" w:eastAsia="en-US" w:bidi="ar-SA"/>
        </w:rPr>
      </w:pPr>
      <w:r>
        <w:rPr>
          <w:rFonts w:ascii="arial" w:eastAsia="arial" w:hAnsi="arial" w:cs="arial"/>
          <w:color w:val="000000"/>
          <w:sz w:val="20"/>
          <w:lang w:val="en-US" w:eastAsia="en-US" w:bidi="ar-SA"/>
        </w:rPr>
        <w:t>relief claimed in the action, or</w:t>
      </w:r>
    </w:p>
    <w:p>
      <w:pPr>
        <w:numPr>
          <w:numId w:val="6"/>
        </w:numPr>
        <w:tabs>
          <w:tab w:val="clear" w:pos="1480"/>
          <w:tab w:val="num" w:pos="2560"/>
        </w:tabs>
        <w:spacing w:before="120" w:line="260" w:lineRule="atLeast"/>
        <w:ind w:left="2560"/>
        <w:jc w:val="both"/>
        <w:rPr>
          <w:rFonts w:ascii="arial" w:eastAsia="arial" w:hAnsi="arial" w:cs="arial"/>
          <w:sz w:val="20"/>
          <w:lang w:val="en-US" w:eastAsia="en-US" w:bidi="ar-SA"/>
        </w:rPr>
      </w:pPr>
      <w:r>
        <w:rPr>
          <w:rFonts w:ascii="arial" w:eastAsia="arial" w:hAnsi="arial" w:cs="arial"/>
          <w:color w:val="000000"/>
          <w:sz w:val="20"/>
          <w:lang w:val="en-US" w:eastAsia="en-US" w:bidi="ar-SA"/>
        </w:rPr>
        <w:t>the subject matter of the action, and</w:t>
      </w:r>
    </w:p>
    <w:p>
      <w:pPr>
        <w:numPr>
          <w:numId w:val="7"/>
        </w:numPr>
        <w:tabs>
          <w:tab w:val="clear" w:pos="112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should properly be determined in the action.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w:t>
      </w:r>
      <w:r>
        <w:rPr>
          <w:rFonts w:ascii="arial" w:eastAsia="arial" w:hAnsi="arial" w:cs="arial"/>
          <w:color w:val="000000"/>
          <w:sz w:val="20"/>
          <w:lang w:val="en-US" w:eastAsia="en-US" w:bidi="ar-SA"/>
        </w:rPr>
        <w:t xml:space="preserve">  It has been recognized that the court has a wide discretion when determining whether to grant leave to add a third party. However, there are a number of factors the court should consider: </w:t>
      </w:r>
      <w:r>
        <w:rPr>
          <w:rFonts w:ascii="arial" w:eastAsia="arial" w:hAnsi="arial" w:cs="arial"/>
          <w:i/>
          <w:color w:val="000000"/>
          <w:sz w:val="20"/>
          <w:lang w:val="en-US" w:eastAsia="en-US" w:bidi="ar-SA"/>
        </w:rPr>
        <w:t>Tyson Creek Hydro Corp. v. Kerr Wood Leidal Associates Ltd.</w:t>
      </w:r>
      <w:r>
        <w:rPr>
          <w:rFonts w:ascii="arial" w:eastAsia="arial" w:hAnsi="arial" w:cs="arial"/>
          <w:color w:val="000000"/>
          <w:sz w:val="20"/>
          <w:lang w:val="en-US" w:eastAsia="en-US" w:bidi="ar-SA"/>
        </w:rPr>
        <w:t xml:space="preserve">, </w:t>
      </w:r>
      <w:hyperlink r:id="rId403" w:history="1">
        <w:r>
          <w:rPr>
            <w:rFonts w:ascii="arial" w:eastAsia="arial" w:hAnsi="arial" w:cs="arial"/>
            <w:i/>
            <w:color w:val="0077CC"/>
            <w:sz w:val="20"/>
            <w:u w:val="single"/>
            <w:shd w:val="clear" w:color="auto" w:fill="FFFFFF"/>
            <w:lang w:val="en-US" w:eastAsia="en-US" w:bidi="ar-SA"/>
          </w:rPr>
          <w:t>2014 BCCA 17</w:t>
        </w:r>
      </w:hyperlink>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w:t>
      </w:r>
      <w:r>
        <w:rPr>
          <w:rFonts w:ascii="arial" w:eastAsia="arial" w:hAnsi="arial" w:cs="arial"/>
          <w:color w:val="000000"/>
          <w:sz w:val="20"/>
          <w:lang w:val="en-US" w:eastAsia="en-US" w:bidi="ar-SA"/>
        </w:rPr>
        <w:t xml:space="preserve">  There is no dispute about the factors to be considered in determining whether leave should be granted to file a third party notice. They were summarized by Abrioux J. in </w:t>
      </w:r>
      <w:r>
        <w:rPr>
          <w:rFonts w:ascii="arial" w:eastAsia="arial" w:hAnsi="arial" w:cs="arial"/>
          <w:i/>
          <w:color w:val="000000"/>
          <w:sz w:val="20"/>
          <w:lang w:val="en-US" w:eastAsia="en-US" w:bidi="ar-SA"/>
        </w:rPr>
        <w:t>Steveston Seafood Auction Inc. v. Bahi,</w:t>
      </w:r>
      <w:r>
        <w:rPr>
          <w:rFonts w:ascii="arial" w:eastAsia="arial" w:hAnsi="arial" w:cs="arial"/>
          <w:color w:val="000000"/>
          <w:sz w:val="20"/>
          <w:lang w:val="en-US" w:eastAsia="en-US" w:bidi="ar-SA"/>
        </w:rPr>
        <w:t xml:space="preserve"> </w:t>
      </w:r>
      <w:hyperlink r:id="rId404" w:history="1">
        <w:r>
          <w:rPr>
            <w:rFonts w:ascii="arial" w:eastAsia="arial" w:hAnsi="arial" w:cs="arial"/>
            <w:i/>
            <w:color w:val="0077CC"/>
            <w:sz w:val="20"/>
            <w:u w:val="single"/>
            <w:shd w:val="clear" w:color="auto" w:fill="FFFFFF"/>
            <w:lang w:val="en-US" w:eastAsia="en-US" w:bidi="ar-SA"/>
          </w:rPr>
          <w:t>2013 BCSC 1072</w:t>
        </w:r>
      </w:hyperlink>
      <w:r>
        <w:rPr>
          <w:rFonts w:ascii="arial" w:eastAsia="arial" w:hAnsi="arial" w:cs="arial"/>
          <w:color w:val="000000"/>
          <w:sz w:val="20"/>
          <w:lang w:val="en-US" w:eastAsia="en-US" w:bidi="ar-SA"/>
        </w:rPr>
        <w:t xml:space="preserve"> at para. 19:</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[19] These can be summarized as follows:</w:t>
      </w:r>
    </w:p>
    <w:p>
      <w:pPr>
        <w:numPr>
          <w:numId w:val="8"/>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test on this application is the same as under Rule 9 - 5. The proposed third party must establish beyond doubt that the pleadings discloses no cause of action. The court is permitted to reject proposed claims only if the action is "bound to lose" or there is no </w:t>
      </w:r>
      <w:r>
        <w:rPr>
          <w:rFonts w:ascii="arial" w:eastAsia="arial" w:hAnsi="arial" w:cs="arial"/>
          <w:i/>
          <w:color w:val="000000"/>
          <w:sz w:val="20"/>
          <w:lang w:val="en-US" w:eastAsia="en-US" w:bidi="ar-SA"/>
        </w:rPr>
        <w:t>bona fide</w:t>
      </w:r>
      <w:r>
        <w:rPr>
          <w:rFonts w:ascii="arial" w:eastAsia="arial" w:hAnsi="arial" w:cs="arial"/>
          <w:color w:val="000000"/>
          <w:sz w:val="20"/>
          <w:lang w:val="en-US" w:eastAsia="en-US" w:bidi="ar-SA"/>
        </w:rPr>
        <w:t xml:space="preserve"> triable issue.</w:t>
      </w:r>
    </w:p>
    <w:p>
      <w:pPr>
        <w:spacing w:before="120" w:line="260" w:lineRule="atLeast"/>
        <w:ind w:left="720"/>
        <w:rPr>
          <w:rFonts w:ascii="arial" w:eastAsia="arial" w:hAnsi="arial" w:cs="arial"/>
          <w:sz w:val="20"/>
          <w:lang w:val="en-US" w:eastAsia="en-US" w:bidi="ar-SA"/>
        </w:rPr>
      </w:pPr>
      <w:r>
        <w:rPr>
          <w:rFonts w:ascii="arial" w:eastAsia="arial" w:hAnsi="arial" w:cs="arial"/>
          <w:i/>
          <w:color w:val="000000"/>
          <w:sz w:val="20"/>
          <w:lang w:val="en-US" w:eastAsia="en-US" w:bidi="ar-SA"/>
        </w:rPr>
        <w:t>Drummond v. Moore</w:t>
      </w:r>
      <w:r>
        <w:rPr>
          <w:rFonts w:ascii="arial" w:eastAsia="arial" w:hAnsi="arial" w:cs="arial"/>
          <w:color w:val="000000"/>
          <w:sz w:val="20"/>
          <w:lang w:val="en-US" w:eastAsia="en-US" w:bidi="ar-SA"/>
        </w:rPr>
        <w:t xml:space="preserve">, </w:t>
      </w:r>
      <w:hyperlink r:id="rId405" w:history="1">
        <w:r>
          <w:rPr>
            <w:rFonts w:ascii="arial" w:eastAsia="arial" w:hAnsi="arial" w:cs="arial"/>
            <w:i/>
            <w:color w:val="0077CC"/>
            <w:sz w:val="20"/>
            <w:u w:val="single"/>
            <w:shd w:val="clear" w:color="auto" w:fill="FFFFFF"/>
            <w:lang w:val="en-US" w:eastAsia="en-US" w:bidi="ar-SA"/>
          </w:rPr>
          <w:t>2012 BCSC 496</w:t>
        </w:r>
      </w:hyperlink>
      <w:r>
        <w:rPr>
          <w:rFonts w:ascii="arial" w:eastAsia="arial" w:hAnsi="arial" w:cs="arial"/>
          <w:color w:val="000000"/>
          <w:sz w:val="20"/>
          <w:lang w:val="en-US" w:eastAsia="en-US" w:bidi="ar-SA"/>
        </w:rPr>
        <w:t xml:space="preserve"> at para. 25.</w:t>
      </w:r>
    </w:p>
    <w:p>
      <w:pPr>
        <w:numPr>
          <w:numId w:val="9"/>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In exercising its discretion as to whether leave ought to be granted, the court can consider factors such as prejudice to the parties, the expiration of a limitation period, the merits of the proposed claim, any delay in the proceedings and the timeliness of the application.</w:t>
      </w:r>
    </w:p>
    <w:p>
      <w:pPr>
        <w:spacing w:before="120" w:line="260" w:lineRule="atLeast"/>
        <w:ind w:left="720"/>
        <w:rPr>
          <w:rFonts w:ascii="arial" w:eastAsia="arial" w:hAnsi="arial" w:cs="arial"/>
          <w:sz w:val="20"/>
          <w:lang w:val="en-US" w:eastAsia="en-US" w:bidi="ar-SA"/>
        </w:rPr>
      </w:pPr>
      <w:r>
        <w:rPr>
          <w:rFonts w:ascii="arial" w:eastAsia="arial" w:hAnsi="arial" w:cs="arial"/>
          <w:i/>
          <w:color w:val="000000"/>
          <w:sz w:val="20"/>
          <w:lang w:val="en-US" w:eastAsia="en-US" w:bidi="ar-SA"/>
        </w:rPr>
        <w:t>Clayton Systems 2001 Ltd. v. Quizno's Canada Corporation</w:t>
      </w:r>
      <w:r>
        <w:rPr>
          <w:rFonts w:ascii="arial" w:eastAsia="arial" w:hAnsi="arial" w:cs="arial"/>
          <w:color w:val="000000"/>
          <w:sz w:val="20"/>
          <w:lang w:val="en-US" w:eastAsia="en-US" w:bidi="ar-SA"/>
        </w:rPr>
        <w:t xml:space="preserve">, </w:t>
      </w:r>
      <w:hyperlink r:id="rId406" w:history="1">
        <w:r>
          <w:rPr>
            <w:rFonts w:ascii="arial" w:eastAsia="arial" w:hAnsi="arial" w:cs="arial"/>
            <w:i/>
            <w:color w:val="0077CC"/>
            <w:sz w:val="20"/>
            <w:u w:val="single"/>
            <w:shd w:val="clear" w:color="auto" w:fill="FFFFFF"/>
            <w:lang w:val="en-US" w:eastAsia="en-US" w:bidi="ar-SA"/>
          </w:rPr>
          <w:t>2003 BCSC 1573</w:t>
        </w:r>
      </w:hyperlink>
      <w:r>
        <w:rPr>
          <w:rFonts w:ascii="arial" w:eastAsia="arial" w:hAnsi="arial" w:cs="arial"/>
          <w:color w:val="000000"/>
          <w:sz w:val="20"/>
          <w:lang w:val="en-US" w:eastAsia="en-US" w:bidi="ar-SA"/>
        </w:rPr>
        <w:t xml:space="preserve"> at para. 9.</w:t>
      </w:r>
    </w:p>
    <w:p>
      <w:pPr>
        <w:numPr>
          <w:numId w:val="10"/>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The court is required to assume that all pleaded facts are true.</w:t>
      </w:r>
    </w:p>
    <w:p>
      <w:pPr>
        <w:spacing w:before="120" w:line="260" w:lineRule="atLeast"/>
        <w:ind w:left="720"/>
        <w:rPr>
          <w:rFonts w:ascii="arial" w:eastAsia="arial" w:hAnsi="arial" w:cs="arial"/>
          <w:sz w:val="20"/>
          <w:lang w:val="en-US" w:eastAsia="en-US" w:bidi="ar-SA"/>
        </w:rPr>
      </w:pPr>
      <w:r>
        <w:rPr>
          <w:rFonts w:ascii="arial" w:eastAsia="arial" w:hAnsi="arial" w:cs="arial"/>
          <w:i/>
          <w:color w:val="000000"/>
          <w:sz w:val="20"/>
          <w:lang w:val="en-US" w:eastAsia="en-US" w:bidi="ar-SA"/>
        </w:rPr>
        <w:t>Hunt v. Carey Canada Inc.</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[1990] 2 S.C.R. 959</w:t>
      </w:r>
      <w:r>
        <w:rPr>
          <w:rFonts w:ascii="arial" w:eastAsia="arial" w:hAnsi="arial" w:cs="arial"/>
          <w:color w:val="000000"/>
          <w:sz w:val="20"/>
          <w:lang w:val="en-US" w:eastAsia="en-US" w:bidi="ar-SA"/>
        </w:rPr>
        <w:t xml:space="preserve"> at 980.</w:t>
      </w:r>
    </w:p>
    <w:p>
      <w:pPr>
        <w:spacing w:before="120" w:line="260" w:lineRule="atLeast"/>
        <w:ind w:left="720"/>
        <w:rPr>
          <w:rFonts w:ascii="arial" w:eastAsia="arial" w:hAnsi="arial" w:cs="arial"/>
          <w:sz w:val="20"/>
          <w:lang w:val="en-US" w:eastAsia="en-US" w:bidi="ar-SA"/>
        </w:rPr>
      </w:pPr>
      <w:r>
        <w:rPr>
          <w:rFonts w:ascii="arial" w:eastAsia="arial" w:hAnsi="arial" w:cs="arial"/>
          <w:i/>
          <w:color w:val="000000"/>
          <w:sz w:val="20"/>
          <w:lang w:val="en-US" w:eastAsia="en-US" w:bidi="ar-SA"/>
        </w:rPr>
        <w:t>Dhillon v. Coape and Hockaday</w:t>
      </w:r>
      <w:r>
        <w:rPr>
          <w:rFonts w:ascii="arial" w:eastAsia="arial" w:hAnsi="arial" w:cs="arial"/>
          <w:color w:val="000000"/>
          <w:sz w:val="20"/>
          <w:lang w:val="en-US" w:eastAsia="en-US" w:bidi="ar-SA"/>
        </w:rPr>
        <w:t xml:space="preserve">, </w:t>
      </w:r>
      <w:hyperlink r:id="rId407" w:history="1">
        <w:r>
          <w:rPr>
            <w:rFonts w:ascii="arial" w:eastAsia="arial" w:hAnsi="arial" w:cs="arial"/>
            <w:i/>
            <w:color w:val="0077CC"/>
            <w:sz w:val="20"/>
            <w:u w:val="single"/>
            <w:shd w:val="clear" w:color="auto" w:fill="FFFFFF"/>
            <w:lang w:val="en-US" w:eastAsia="en-US" w:bidi="ar-SA"/>
          </w:rPr>
          <w:t>2004 BCSC 1208</w:t>
        </w:r>
      </w:hyperlink>
      <w:r>
        <w:rPr>
          <w:rFonts w:ascii="arial" w:eastAsia="arial" w:hAnsi="arial" w:cs="arial"/>
          <w:color w:val="000000"/>
          <w:sz w:val="20"/>
          <w:lang w:val="en-US" w:eastAsia="en-US" w:bidi="ar-SA"/>
        </w:rPr>
        <w:t xml:space="preserve"> at paras. 17-18.</w:t>
      </w:r>
    </w:p>
    <w:p>
      <w:pPr>
        <w:numPr>
          <w:numId w:val="11"/>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An important consideration is whether it is "just and convenient" in all the circumstances of the case to grant leave to file the third party notice.</w:t>
      </w:r>
    </w:p>
    <w:p>
      <w:pPr>
        <w:spacing w:before="120" w:line="260" w:lineRule="atLeast"/>
        <w:ind w:left="720"/>
        <w:rPr>
          <w:rFonts w:ascii="arial" w:eastAsia="arial" w:hAnsi="arial" w:cs="arial"/>
          <w:sz w:val="20"/>
          <w:lang w:val="en-US" w:eastAsia="en-US" w:bidi="ar-SA"/>
        </w:rPr>
      </w:pPr>
      <w:r>
        <w:rPr>
          <w:rFonts w:ascii="arial" w:eastAsia="arial" w:hAnsi="arial" w:cs="arial"/>
          <w:i/>
          <w:color w:val="000000"/>
          <w:sz w:val="20"/>
          <w:lang w:val="en-US" w:eastAsia="en-US" w:bidi="ar-SA"/>
        </w:rPr>
        <w:t>Symes v. Knooihuizen</w:t>
      </w:r>
      <w:r>
        <w:rPr>
          <w:rFonts w:ascii="arial" w:eastAsia="arial" w:hAnsi="arial" w:cs="arial"/>
          <w:color w:val="000000"/>
          <w:sz w:val="20"/>
          <w:lang w:val="en-US" w:eastAsia="en-US" w:bidi="ar-SA"/>
        </w:rPr>
        <w:t xml:space="preserve">, </w:t>
      </w:r>
      <w:hyperlink r:id="rId408" w:history="1">
        <w:r>
          <w:rPr>
            <w:rFonts w:ascii="arial" w:eastAsia="arial" w:hAnsi="arial" w:cs="arial"/>
            <w:i/>
            <w:color w:val="0077CC"/>
            <w:sz w:val="20"/>
            <w:u w:val="single"/>
            <w:shd w:val="clear" w:color="auto" w:fill="FFFFFF"/>
            <w:lang w:val="en-US" w:eastAsia="en-US" w:bidi="ar-SA"/>
          </w:rPr>
          <w:t>[1998] B.C.J. No. 611</w:t>
        </w:r>
      </w:hyperlink>
      <w:r>
        <w:rPr>
          <w:rFonts w:ascii="arial" w:eastAsia="arial" w:hAnsi="arial" w:cs="arial"/>
          <w:color w:val="000000"/>
          <w:sz w:val="20"/>
          <w:lang w:val="en-US" w:eastAsia="en-US" w:bidi="ar-SA"/>
        </w:rPr>
        <w:t xml:space="preserve"> at paras. 38-39.</w:t>
      </w:r>
    </w:p>
    <w:p>
      <w:pPr>
        <w:spacing w:before="120" w:line="260" w:lineRule="atLeast"/>
        <w:ind w:left="720"/>
        <w:rPr>
          <w:rFonts w:ascii="arial" w:eastAsia="arial" w:hAnsi="arial" w:cs="arial"/>
          <w:sz w:val="20"/>
          <w:lang w:val="en-US" w:eastAsia="en-US" w:bidi="ar-SA"/>
        </w:rPr>
      </w:pPr>
      <w:r>
        <w:rPr>
          <w:rFonts w:ascii="arial" w:eastAsia="arial" w:hAnsi="arial" w:cs="arial"/>
          <w:i/>
          <w:color w:val="000000"/>
          <w:sz w:val="20"/>
          <w:lang w:val="en-US" w:eastAsia="en-US" w:bidi="ar-SA"/>
        </w:rPr>
        <w:t>Clayton Systems 2001 Ltd.</w:t>
      </w:r>
      <w:r>
        <w:rPr>
          <w:rFonts w:ascii="arial" w:eastAsia="arial" w:hAnsi="arial" w:cs="arial"/>
          <w:color w:val="000000"/>
          <w:sz w:val="20"/>
          <w:lang w:val="en-US" w:eastAsia="en-US" w:bidi="ar-SA"/>
        </w:rPr>
        <w:t xml:space="preserve"> at para. 9.</w:t>
      </w:r>
    </w:p>
    <w:p>
      <w:pPr>
        <w:numPr>
          <w:numId w:val="12"/>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A third party claim will not lie against another person with respect to an obligation belonging to the plaintiff which the defendant can raise directly against the plaintiff by way of defense.</w:t>
      </w:r>
    </w:p>
    <w:p>
      <w:pPr>
        <w:spacing w:before="120" w:line="260" w:lineRule="atLeast"/>
        <w:ind w:left="720"/>
        <w:rPr>
          <w:rFonts w:ascii="arial" w:eastAsia="arial" w:hAnsi="arial" w:cs="arial"/>
          <w:sz w:val="20"/>
          <w:lang w:val="en-US" w:eastAsia="en-US" w:bidi="ar-SA"/>
        </w:rPr>
      </w:pPr>
      <w:r>
        <w:rPr>
          <w:rFonts w:ascii="arial" w:eastAsia="arial" w:hAnsi="arial" w:cs="arial"/>
          <w:i/>
          <w:color w:val="000000"/>
          <w:sz w:val="20"/>
          <w:lang w:val="en-US" w:eastAsia="en-US" w:bidi="ar-SA"/>
        </w:rPr>
        <w:t>Adams v. Thompson et al.</w:t>
      </w:r>
      <w:r>
        <w:rPr>
          <w:rFonts w:ascii="arial" w:eastAsia="arial" w:hAnsi="arial" w:cs="arial"/>
          <w:color w:val="000000"/>
          <w:sz w:val="20"/>
          <w:lang w:val="en-US" w:eastAsia="en-US" w:bidi="ar-SA"/>
        </w:rPr>
        <w:t xml:space="preserve"> </w:t>
      </w:r>
      <w:hyperlink r:id="rId402" w:history="1">
        <w:r>
          <w:rPr>
            <w:rFonts w:ascii="arial" w:eastAsia="arial" w:hAnsi="arial" w:cs="arial"/>
            <w:i/>
            <w:color w:val="0077CC"/>
            <w:sz w:val="20"/>
            <w:u w:val="single"/>
            <w:shd w:val="clear" w:color="auto" w:fill="FFFFFF"/>
            <w:lang w:val="en-US" w:eastAsia="en-US" w:bidi="ar-SA"/>
          </w:rPr>
          <w:t>(1987), 15 B.C.L.R. (2d) 51</w:t>
        </w:r>
      </w:hyperlink>
      <w:r>
        <w:rPr>
          <w:rFonts w:ascii="arial" w:eastAsia="arial" w:hAnsi="arial" w:cs="arial"/>
          <w:color w:val="000000"/>
          <w:sz w:val="20"/>
          <w:lang w:val="en-US" w:eastAsia="en-US" w:bidi="ar-SA"/>
        </w:rPr>
        <w:t xml:space="preserve"> at para. 20.</w:t>
      </w:r>
    </w:p>
    <w:p>
      <w:pPr>
        <w:spacing w:before="120" w:line="260" w:lineRule="atLeast"/>
        <w:ind w:left="720"/>
        <w:rPr>
          <w:rFonts w:ascii="arial" w:eastAsia="arial" w:hAnsi="arial" w:cs="arial"/>
          <w:sz w:val="20"/>
          <w:lang w:val="en-US" w:eastAsia="en-US" w:bidi="ar-SA"/>
        </w:rPr>
      </w:pPr>
      <w:r>
        <w:rPr>
          <w:rFonts w:ascii="arial" w:eastAsia="arial" w:hAnsi="arial" w:cs="arial"/>
          <w:i/>
          <w:color w:val="000000"/>
          <w:sz w:val="20"/>
          <w:lang w:val="en-US" w:eastAsia="en-US" w:bidi="ar-SA"/>
        </w:rPr>
        <w:t>Laidar Holdings Ltd. v. Lindt &amp; Sprungli (Canada) Inc.</w:t>
      </w:r>
      <w:r>
        <w:rPr>
          <w:rFonts w:ascii="arial" w:eastAsia="arial" w:hAnsi="arial" w:cs="arial"/>
          <w:color w:val="000000"/>
          <w:sz w:val="20"/>
          <w:lang w:val="en-US" w:eastAsia="en-US" w:bidi="ar-SA"/>
        </w:rPr>
        <w:t xml:space="preserve">, </w:t>
      </w:r>
      <w:hyperlink r:id="rId409" w:history="1">
        <w:r>
          <w:rPr>
            <w:rFonts w:ascii="arial" w:eastAsia="arial" w:hAnsi="arial" w:cs="arial"/>
            <w:i/>
            <w:color w:val="0077CC"/>
            <w:sz w:val="20"/>
            <w:u w:val="single"/>
            <w:shd w:val="clear" w:color="auto" w:fill="FFFFFF"/>
            <w:lang w:val="en-US" w:eastAsia="en-US" w:bidi="ar-SA"/>
          </w:rPr>
          <w:t>2012 BCCA 22</w:t>
        </w:r>
      </w:hyperlink>
      <w:r>
        <w:rPr>
          <w:rFonts w:ascii="arial" w:eastAsia="arial" w:hAnsi="arial" w:cs="arial"/>
          <w:color w:val="000000"/>
          <w:sz w:val="20"/>
          <w:lang w:val="en-US" w:eastAsia="en-US" w:bidi="ar-SA"/>
        </w:rPr>
        <w:t xml:space="preserve"> at para. 1.</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w:t>
      </w:r>
      <w:r>
        <w:rPr>
          <w:rFonts w:ascii="arial" w:eastAsia="arial" w:hAnsi="arial" w:cs="arial"/>
          <w:color w:val="000000"/>
          <w:sz w:val="20"/>
          <w:lang w:val="en-US" w:eastAsia="en-US" w:bidi="ar-SA"/>
        </w:rPr>
        <w:t xml:space="preserve">  Those factors were followed by Johnston J. in the companion action to this one, </w:t>
      </w:r>
      <w:r>
        <w:rPr>
          <w:rFonts w:ascii="arial" w:eastAsia="arial" w:hAnsi="arial" w:cs="arial"/>
          <w:i/>
          <w:color w:val="000000"/>
          <w:sz w:val="20"/>
          <w:lang w:val="en-US" w:eastAsia="en-US" w:bidi="ar-SA"/>
        </w:rPr>
        <w:t>Faulkner v. Duncan (City)</w:t>
      </w:r>
      <w:r>
        <w:rPr>
          <w:rFonts w:ascii="arial" w:eastAsia="arial" w:hAnsi="arial" w:cs="arial"/>
          <w:color w:val="000000"/>
          <w:sz w:val="20"/>
          <w:lang w:val="en-US" w:eastAsia="en-US" w:bidi="ar-SA"/>
        </w:rPr>
        <w:t xml:space="preserve"> at para. 23.</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w:t>
      </w:r>
      <w:r>
        <w:rPr>
          <w:rFonts w:ascii="arial" w:eastAsia="arial" w:hAnsi="arial" w:cs="arial"/>
          <w:color w:val="000000"/>
          <w:sz w:val="20"/>
          <w:lang w:val="en-US" w:eastAsia="en-US" w:bidi="ar-SA"/>
        </w:rPr>
        <w:t>  Peace Hills suggest that because the claims will be deciding similar issues and because Peace Hills has, or may have, a subrogated claim against the third parties, it would be procedurally efficient to add the third parties at this stage in the proceedings.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w:t>
      </w:r>
      <w:r>
        <w:rPr>
          <w:rFonts w:ascii="arial" w:eastAsia="arial" w:hAnsi="arial" w:cs="arial"/>
          <w:color w:val="000000"/>
          <w:sz w:val="20"/>
          <w:lang w:val="en-US" w:eastAsia="en-US" w:bidi="ar-SA"/>
        </w:rPr>
        <w:t xml:space="preserve">  Peace Hills relies heavily on </w:t>
      </w:r>
      <w:r>
        <w:rPr>
          <w:rFonts w:ascii="arial" w:eastAsia="arial" w:hAnsi="arial" w:cs="arial"/>
          <w:i/>
          <w:color w:val="000000"/>
          <w:sz w:val="20"/>
          <w:lang w:val="en-US" w:eastAsia="en-US" w:bidi="ar-SA"/>
        </w:rPr>
        <w:t>The Owners, Strata Plan 4249 v. Travelers Insurance Company of Canada,</w:t>
      </w:r>
      <w:r>
        <w:rPr>
          <w:rFonts w:ascii="arial" w:eastAsia="arial" w:hAnsi="arial" w:cs="arial"/>
          <w:color w:val="000000"/>
          <w:sz w:val="20"/>
          <w:lang w:val="en-US" w:eastAsia="en-US" w:bidi="ar-SA"/>
        </w:rPr>
        <w:t xml:space="preserve"> </w:t>
      </w:r>
      <w:hyperlink r:id="rId410" w:history="1">
        <w:r>
          <w:rPr>
            <w:rFonts w:ascii="arial" w:eastAsia="arial" w:hAnsi="arial" w:cs="arial"/>
            <w:i/>
            <w:color w:val="0077CC"/>
            <w:sz w:val="20"/>
            <w:u w:val="single"/>
            <w:shd w:val="clear" w:color="auto" w:fill="FFFFFF"/>
            <w:lang w:val="en-US" w:eastAsia="en-US" w:bidi="ar-SA"/>
          </w:rPr>
          <w:t>2015 BCSC 172</w:t>
        </w:r>
      </w:hyperlink>
      <w:r>
        <w:rPr>
          <w:rFonts w:ascii="arial" w:eastAsia="arial" w:hAnsi="arial" w:cs="arial"/>
          <w:color w:val="000000"/>
          <w:sz w:val="20"/>
          <w:lang w:val="en-US" w:eastAsia="en-US" w:bidi="ar-SA"/>
        </w:rPr>
        <w:t xml:space="preserve"> in their submissions for a proposition that a third party may be added to a claim even when the insurance has not paid out on their policy and subrogated rights have not yet accrued.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w:t>
      </w:r>
      <w:r>
        <w:rPr>
          <w:rFonts w:ascii="arial" w:eastAsia="arial" w:hAnsi="arial" w:cs="arial"/>
          <w:color w:val="000000"/>
          <w:sz w:val="20"/>
          <w:lang w:val="en-US" w:eastAsia="en-US" w:bidi="ar-SA"/>
        </w:rPr>
        <w:t xml:space="preserve">  I have considered that decision and I believe it is distinguishable on the facts. The most distinguishing factor is that in </w:t>
      </w:r>
      <w:r>
        <w:rPr>
          <w:rFonts w:ascii="arial" w:eastAsia="arial" w:hAnsi="arial" w:cs="arial"/>
          <w:i/>
          <w:color w:val="000000"/>
          <w:sz w:val="20"/>
          <w:lang w:val="en-US" w:eastAsia="en-US" w:bidi="ar-SA"/>
        </w:rPr>
        <w:t>Strata Plan 4249</w:t>
      </w:r>
      <w:r>
        <w:rPr>
          <w:rFonts w:ascii="arial" w:eastAsia="arial" w:hAnsi="arial" w:cs="arial"/>
          <w:color w:val="000000"/>
          <w:sz w:val="20"/>
          <w:lang w:val="en-US" w:eastAsia="en-US" w:bidi="ar-SA"/>
        </w:rPr>
        <w:t>, 12 of the 13 parties consented to being added as third parties. Master MacNaughton found that because 12 of the 13 parties consented to being added as third party litigants, many of the same issues that involved the opposing third party would be determined by the court, and it would be inefficient and prejudicial to have the same issues litigated in a subsequent separate action against the single opposing defendant if that was required.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w:t>
      </w:r>
      <w:r>
        <w:rPr>
          <w:rFonts w:ascii="arial" w:eastAsia="arial" w:hAnsi="arial" w:cs="arial"/>
          <w:color w:val="000000"/>
          <w:sz w:val="20"/>
          <w:lang w:val="en-US" w:eastAsia="en-US" w:bidi="ar-SA"/>
        </w:rPr>
        <w:t xml:space="preserve">  This is not a situation like in </w:t>
      </w:r>
      <w:r>
        <w:rPr>
          <w:rFonts w:ascii="arial" w:eastAsia="arial" w:hAnsi="arial" w:cs="arial"/>
          <w:i/>
          <w:color w:val="000000"/>
          <w:sz w:val="20"/>
          <w:lang w:val="en-US" w:eastAsia="en-US" w:bidi="ar-SA"/>
        </w:rPr>
        <w:t>Strata Plan 4249</w:t>
      </w:r>
      <w:r>
        <w:rPr>
          <w:rFonts w:ascii="arial" w:eastAsia="arial" w:hAnsi="arial" w:cs="arial"/>
          <w:color w:val="000000"/>
          <w:sz w:val="20"/>
          <w:lang w:val="en-US" w:eastAsia="en-US" w:bidi="ar-SA"/>
        </w:rPr>
        <w:t>, where all the issues of fault and liability were going to be heard in the same hearing as the insurance coverage issue. It is my view that the primary issue to be heard in this case is the extent of insurance coverage owed to the plaintiff.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w:t>
      </w:r>
      <w:r>
        <w:rPr>
          <w:rFonts w:ascii="arial" w:eastAsia="arial" w:hAnsi="arial" w:cs="arial"/>
          <w:color w:val="000000"/>
          <w:sz w:val="20"/>
          <w:lang w:val="en-US" w:eastAsia="en-US" w:bidi="ar-SA"/>
        </w:rPr>
        <w:t>  There is also the concern that Peace Hills does not have a subrogated claim against the third party. Firstly, Peace Hills has not paid out any amounts exceeding the $550,000 building policy limits and has therefore not paid out any funds related to the plaintiff's alleged new insurance contract for the replacement of the building.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w:t>
      </w:r>
      <w:r>
        <w:rPr>
          <w:rFonts w:ascii="arial" w:eastAsia="arial" w:hAnsi="arial" w:cs="arial"/>
          <w:color w:val="000000"/>
          <w:sz w:val="20"/>
          <w:lang w:val="en-US" w:eastAsia="en-US" w:bidi="ar-SA"/>
        </w:rPr>
        <w:t xml:space="preserve">  Since Peace Hills has not paid out a payment related to the replacement claim, they have not accrued any subrogation rights under s. 36 of the </w:t>
      </w:r>
      <w:r>
        <w:rPr>
          <w:rFonts w:ascii="arial" w:eastAsia="arial" w:hAnsi="arial" w:cs="arial"/>
          <w:i/>
          <w:color w:val="000000"/>
          <w:sz w:val="20"/>
          <w:lang w:val="en-US" w:eastAsia="en-US" w:bidi="ar-SA"/>
        </w:rPr>
        <w:t>Insurance Act</w:t>
      </w:r>
      <w:r>
        <w:rPr>
          <w:rFonts w:ascii="arial" w:eastAsia="arial" w:hAnsi="arial" w:cs="arial"/>
          <w:color w:val="000000"/>
          <w:sz w:val="20"/>
          <w:lang w:val="en-US" w:eastAsia="en-US" w:bidi="ar-SA"/>
        </w:rPr>
        <w:t xml:space="preserve"> or under the common law.</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w:t>
      </w:r>
      <w:r>
        <w:rPr>
          <w:rFonts w:ascii="arial" w:eastAsia="arial" w:hAnsi="arial" w:cs="arial"/>
          <w:color w:val="000000"/>
          <w:sz w:val="20"/>
          <w:lang w:val="en-US" w:eastAsia="en-US" w:bidi="ar-SA"/>
        </w:rPr>
        <w:t>  Secondly, as Peace Hills denies that they owe any coverage for replacing the building, it does not make sense that Peace Hills could advance a subrogated claim on behalf of the plaintiff. The bulk of this claim centres on whether there is a subsequent insurance contract and what are its terms.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w:t>
      </w:r>
      <w:r>
        <w:rPr>
          <w:rFonts w:ascii="arial" w:eastAsia="arial" w:hAnsi="arial" w:cs="arial"/>
          <w:color w:val="000000"/>
          <w:sz w:val="20"/>
          <w:lang w:val="en-US" w:eastAsia="en-US" w:bidi="ar-SA"/>
        </w:rPr>
        <w:t>  I am of the opinion that those issues need to be determined before Peace Hills can advance a subrogated claim.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w:t>
      </w:r>
      <w:r>
        <w:rPr>
          <w:rFonts w:ascii="arial" w:eastAsia="arial" w:hAnsi="arial" w:cs="arial"/>
          <w:color w:val="000000"/>
          <w:sz w:val="20"/>
          <w:lang w:val="en-US" w:eastAsia="en-US" w:bidi="ar-SA"/>
        </w:rPr>
        <w:t xml:space="preserve">  There is also good law to say that a third party claim for contribution or indemnification should not be advanced when the defendant can raise the issue as a direct defence against the plaintiff: </w:t>
      </w:r>
      <w:r>
        <w:rPr>
          <w:rFonts w:ascii="arial" w:eastAsia="arial" w:hAnsi="arial" w:cs="arial"/>
          <w:i/>
          <w:color w:val="000000"/>
          <w:sz w:val="20"/>
          <w:lang w:val="en-US" w:eastAsia="en-US" w:bidi="ar-SA"/>
        </w:rPr>
        <w:t>College of New Caledonia v. Kraft Construction Co.</w:t>
      </w:r>
      <w:r>
        <w:rPr>
          <w:rFonts w:ascii="arial" w:eastAsia="arial" w:hAnsi="arial" w:cs="arial"/>
          <w:color w:val="000000"/>
          <w:sz w:val="20"/>
          <w:lang w:val="en-US" w:eastAsia="en-US" w:bidi="ar-SA"/>
        </w:rPr>
        <w:t xml:space="preserve"> and </w:t>
      </w:r>
      <w:r>
        <w:rPr>
          <w:rFonts w:ascii="arial" w:eastAsia="arial" w:hAnsi="arial" w:cs="arial"/>
          <w:i/>
          <w:color w:val="000000"/>
          <w:sz w:val="20"/>
          <w:lang w:val="en-US" w:eastAsia="en-US" w:bidi="ar-SA"/>
        </w:rPr>
        <w:t>Adams v. Thompson, Berwick</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w:t>
      </w:r>
      <w:r>
        <w:rPr>
          <w:rFonts w:ascii="arial" w:eastAsia="arial" w:hAnsi="arial" w:cs="arial"/>
          <w:color w:val="000000"/>
          <w:sz w:val="20"/>
          <w:lang w:val="en-US" w:eastAsia="en-US" w:bidi="ar-SA"/>
        </w:rPr>
        <w:t>  The claim by the plaintiffs in this case is about the extent of their insurance coverage and whether or not Peace Hills is obligated to provide the plaintiff with a new building. The issue of whether or not the third parties caused fault seems to be separate and distinct from the issue of insurance coverage.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w:t>
      </w:r>
      <w:r>
        <w:rPr>
          <w:rFonts w:ascii="arial" w:eastAsia="arial" w:hAnsi="arial" w:cs="arial"/>
          <w:color w:val="000000"/>
          <w:sz w:val="20"/>
          <w:lang w:val="en-US" w:eastAsia="en-US" w:bidi="ar-SA"/>
        </w:rPr>
        <w:t xml:space="preserve">  I find the situation is analogous to the situation described by Master Tokarek in </w:t>
      </w:r>
      <w:r>
        <w:rPr>
          <w:rFonts w:ascii="arial" w:eastAsia="arial" w:hAnsi="arial" w:cs="arial"/>
          <w:i/>
          <w:color w:val="000000"/>
          <w:sz w:val="20"/>
          <w:lang w:val="en-US" w:eastAsia="en-US" w:bidi="ar-SA"/>
        </w:rPr>
        <w:t>Owners, Strata Plan BCS 1348</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w:t>
      </w:r>
      <w:r>
        <w:rPr>
          <w:rFonts w:ascii="arial" w:eastAsia="arial" w:hAnsi="arial" w:cs="arial"/>
          <w:color w:val="000000"/>
          <w:sz w:val="20"/>
          <w:lang w:val="en-US" w:eastAsia="en-US" w:bidi="ar-SA"/>
        </w:rPr>
        <w:t>  In that decision Master Tokarek found that there was no cause of action between the defendant and the third party and that there was no basis for the defendant to claim a contribution or indemnity against the third party. However, Master Tokarek went on to say that if he was wrong on that issue, he was disposed to resolve it in favour of the proposed third parties on the basis of prejudice: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[25] If I am wrong on that issue, I am disposed to resolve this in favour of the proposed third parties on the basis of prejudice.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[26] As presently constituted, the claim by the owners is a contractual claim against Travelers for damages incurred in not meeting their contractual obligations under the warranty.</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[27] </w:t>
      </w:r>
      <w:r>
        <w:rPr>
          <w:rFonts w:ascii="arial" w:eastAsia="arial" w:hAnsi="arial" w:cs="arial"/>
          <w:color w:val="000000"/>
          <w:sz w:val="20"/>
          <w:u w:val="single"/>
          <w:lang w:val="en-US" w:eastAsia="en-US" w:bidi="ar-SA"/>
        </w:rPr>
        <w:t>At present, this defendant has not paid any such claim and has no subrogated rights</w:t>
      </w:r>
      <w:r>
        <w:rPr>
          <w:rFonts w:ascii="arial" w:eastAsia="arial" w:hAnsi="arial" w:cs="arial"/>
          <w:color w:val="000000"/>
          <w:sz w:val="20"/>
          <w:lang w:val="en-US" w:eastAsia="en-US" w:bidi="ar-SA"/>
        </w:rPr>
        <w:t>, so at present we have an action proceeding where, if these proposed third parties were joined, would require them to sit there for eight to ten days of trial time dealing with issues of a contractual nature in which they would have no vested interest. [emphasis added]</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[28] There would certainly be far less prejudice, perhaps no prejudice, to have this defendant resolve its contractual issues with the owners, and then if it does pay out on any such claim, proceed against whoever it wishes to, including these proposed third parties pursuant to its subrogated rights.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34</w:t>
      </w:r>
      <w:r>
        <w:rPr>
          <w:rFonts w:ascii="arial" w:eastAsia="arial" w:hAnsi="arial" w:cs="arial"/>
          <w:color w:val="000000"/>
          <w:sz w:val="20"/>
          <w:lang w:val="en-US" w:eastAsia="en-US" w:bidi="ar-SA"/>
        </w:rPr>
        <w:t>  I find the same in this case, that there would be less prejudice or perhaps no prejudice to have Peace Hills resolve the insurance coverage issue with the plaintiffs, then if it is determined that Peace Hills has subrogated rights they would be at liberty to claim against the third parties.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CONCLUSION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35</w:t>
      </w:r>
      <w:r>
        <w:rPr>
          <w:rFonts w:ascii="arial" w:eastAsia="arial" w:hAnsi="arial" w:cs="arial"/>
          <w:color w:val="000000"/>
          <w:sz w:val="20"/>
          <w:lang w:val="en-US" w:eastAsia="en-US" w:bidi="ar-SA"/>
        </w:rPr>
        <w:t xml:space="preserve">  Having considered all of the factors to add a third party I am persuaded that this case is distinguishable from the facts before Master MacNaughton in </w:t>
      </w:r>
      <w:r>
        <w:rPr>
          <w:rFonts w:ascii="arial" w:eastAsia="arial" w:hAnsi="arial" w:cs="arial"/>
          <w:i/>
          <w:color w:val="000000"/>
          <w:sz w:val="20"/>
          <w:lang w:val="en-US" w:eastAsia="en-US" w:bidi="ar-SA"/>
        </w:rPr>
        <w:t>Strata Plan 4249</w:t>
      </w:r>
      <w:r>
        <w:rPr>
          <w:rFonts w:ascii="arial" w:eastAsia="arial" w:hAnsi="arial" w:cs="arial"/>
          <w:color w:val="000000"/>
          <w:sz w:val="20"/>
          <w:lang w:val="en-US" w:eastAsia="en-US" w:bidi="ar-SA"/>
        </w:rPr>
        <w:t>. I am of the view that this is a case where the defendant should be required to conduct their defence in order to determine whether they owe anything under the insurance coverage before any subrogated claim is brought.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36</w:t>
      </w:r>
      <w:r>
        <w:rPr>
          <w:rFonts w:ascii="arial" w:eastAsia="arial" w:hAnsi="arial" w:cs="arial"/>
          <w:color w:val="000000"/>
          <w:sz w:val="20"/>
          <w:lang w:val="en-US" w:eastAsia="en-US" w:bidi="ar-SA"/>
        </w:rPr>
        <w:t>  Accordingly, the defendant Peace Hills' application to add a third party is dismissed.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J.A. POWER J.</w:t>
      </w:r>
      <w:r>
        <w:rPr>
          <w:rFonts w:ascii="arial" w:eastAsia="arial" w:hAnsi="arial" w:cs="arial"/>
          <w:sz w:val="20"/>
          <w:lang w:val="en-US" w:eastAsia="en-US" w:bidi="ar-SA"/>
        </w:rPr>
        <w:cr/>
      </w:r>
    </w:p>
    <w:p>
      <w:pPr>
        <w:rPr>
          <w:rFonts w:ascii="arial" w:eastAsia="arial" w:hAnsi="arial" w:cs="arial"/>
          <w:sz w:val="20"/>
          <w:lang w:val="en-US" w:eastAsia="en-US" w:bidi="ar-SA"/>
        </w:rPr>
      </w:pPr>
    </w:p>
    <w:p>
      <w:pPr>
        <w:ind w:left="200"/>
        <w:rPr>
          <w:rFonts w:ascii="arial" w:eastAsia="arial" w:hAnsi="arial" w:cs="arial"/>
          <w:sz w:val="20"/>
          <w:lang w:val="en-US" w:eastAsia="en-US" w:bidi="ar-SA"/>
        </w:rPr>
        <w:sectPr>
          <w:type w:val="continuous"/>
          <w:pgMar w:top="840" w:right="1000" w:bottom="840" w:left="1000" w:header="400" w:footer="400"/>
          <w:pgNumType w:fmt="decimal"/>
          <w:cols w:space="720"/>
        </w:sectPr>
      </w:pPr>
      <w:r>
        <w:rPr>
          <w:rFonts w:ascii="arial" w:eastAsia="arial" w:hAnsi="arial" w:cs="arial"/>
          <w:sz w:val="20"/>
          <w:lang w:val="en-US" w:eastAsia="en-US" w:bidi="ar-SA"/>
        </w:rPr>
        <w:br/>
      </w:r>
      <w:r>
        <w:pict>
          <v:line id="_x0000_s1107" style="position:absolute;z-index:251872256"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411"/>
          <w:headerReference w:type="default" r:id="rId412"/>
          <w:footerReference w:type="even" r:id="rId413"/>
          <w:footerReference w:type="default" r:id="rId414"/>
          <w:headerReference w:type="first" r:id="rId415"/>
          <w:footerReference w:type="first" r:id="rId416"/>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hAnsi="Arial" w:cs="Arial"/>
          <w:b/>
          <w:bCs/>
          <w:kern w:val="32"/>
          <w:sz w:val="32"/>
          <w:szCs w:val="32"/>
          <w:lang w:val="en-US" w:eastAsia="en-US" w:bidi="ar-SA"/>
        </w:rPr>
      </w:pPr>
      <w:hyperlink r:id="rId417" w:history="1">
        <w:r>
          <w:rPr>
            <w:rFonts w:ascii="arial" w:eastAsia="arial" w:hAnsi="arial" w:cs="arial"/>
            <w:b/>
            <w:bCs/>
            <w:i/>
            <w:color w:val="0077CC"/>
            <w:kern w:val="32"/>
            <w:sz w:val="28"/>
            <w:szCs w:val="32"/>
            <w:u w:val="single"/>
            <w:shd w:val="clear" w:color="auto" w:fill="FFFFFF"/>
            <w:lang w:val="en-US" w:eastAsia="en-US" w:bidi="ar-SA"/>
          </w:rPr>
          <w:t>F.A. v. Henley, [2006] B.C.J. No. 1529</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British Columbia Judgments</w:t>
      </w:r>
    </w:p>
    <w:p>
      <w:pPr>
        <w:rPr>
          <w:lang w:val="en-US" w:eastAsia="en-US" w:bidi="ar-SA"/>
        </w:rPr>
      </w:pPr>
    </w:p>
    <w:p>
      <w:pPr>
        <w:spacing w:before="120" w:line="260" w:lineRule="atLeast"/>
        <w:jc w:val="center"/>
        <w:rPr>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lang w:val="en-US" w:eastAsia="en-US" w:bidi="ar-SA"/>
        </w:rPr>
      </w:pPr>
      <w:r>
        <w:rPr>
          <w:rFonts w:ascii="arial" w:eastAsia="arial" w:hAnsi="arial" w:cs="arial"/>
          <w:color w:val="000000"/>
          <w:sz w:val="20"/>
          <w:lang w:val="en-US" w:eastAsia="en-US" w:bidi="ar-SA"/>
        </w:rPr>
        <w:t xml:space="preserve"> Prince Rupert, British Columbia</w:t>
      </w:r>
    </w:p>
    <w:p>
      <w:pPr>
        <w:spacing w:before="120" w:line="260" w:lineRule="atLeast"/>
        <w:jc w:val="center"/>
        <w:rPr>
          <w:lang w:val="en-US" w:eastAsia="en-US" w:bidi="ar-SA"/>
        </w:rPr>
      </w:pPr>
      <w:r>
        <w:rPr>
          <w:rFonts w:ascii="arial" w:eastAsia="arial" w:hAnsi="arial" w:cs="arial"/>
          <w:color w:val="000000"/>
          <w:sz w:val="20"/>
          <w:lang w:val="en-US" w:eastAsia="en-US" w:bidi="ar-SA"/>
        </w:rPr>
        <w:t>Halfyard J.</w:t>
      </w:r>
    </w:p>
    <w:p>
      <w:pPr>
        <w:spacing w:before="120" w:line="260" w:lineRule="atLeast"/>
        <w:jc w:val="center"/>
        <w:rPr>
          <w:lang w:val="en-US" w:eastAsia="en-US" w:bidi="ar-SA"/>
        </w:rPr>
      </w:pPr>
      <w:r>
        <w:rPr>
          <w:rFonts w:ascii="arial" w:eastAsia="arial" w:hAnsi="arial" w:cs="arial"/>
          <w:color w:val="000000"/>
          <w:sz w:val="20"/>
          <w:lang w:val="en-US" w:eastAsia="en-US" w:bidi="ar-SA"/>
        </w:rPr>
        <w:t>Oral judgment: May 19, 2006.</w:t>
      </w:r>
    </w:p>
    <w:p>
      <w:pPr>
        <w:spacing w:before="120" w:line="260" w:lineRule="atLeast"/>
        <w:jc w:val="center"/>
        <w:rPr>
          <w:lang w:val="en-US" w:eastAsia="en-US" w:bidi="ar-SA"/>
        </w:rPr>
      </w:pPr>
      <w:r>
        <w:rPr>
          <w:rFonts w:ascii="arial" w:eastAsia="arial" w:hAnsi="arial" w:cs="arial"/>
          <w:color w:val="000000"/>
          <w:sz w:val="20"/>
          <w:lang w:val="en-US" w:eastAsia="en-US" w:bidi="ar-SA"/>
        </w:rPr>
        <w:t>Released: July 10, 2006.</w:t>
      </w:r>
    </w:p>
    <w:p>
      <w:pPr>
        <w:spacing w:before="120" w:line="260" w:lineRule="atLeast"/>
        <w:jc w:val="center"/>
        <w:rPr>
          <w:lang w:val="en-US" w:eastAsia="en-US" w:bidi="ar-SA"/>
        </w:rPr>
      </w:pPr>
      <w:r>
        <w:rPr>
          <w:rFonts w:ascii="arial" w:eastAsia="arial" w:hAnsi="arial" w:cs="arial"/>
          <w:color w:val="000000"/>
          <w:sz w:val="20"/>
          <w:lang w:val="en-US" w:eastAsia="en-US" w:bidi="ar-SA"/>
        </w:rPr>
        <w:t>Prince Rupert Registry No. 4937</w:t>
      </w:r>
    </w:p>
    <w:p>
      <w:pPr>
        <w:rPr>
          <w:lang w:val="en-US" w:eastAsia="en-US" w:bidi="ar-SA"/>
        </w:rPr>
      </w:pPr>
    </w:p>
    <w:p>
      <w:pPr>
        <w:spacing w:before="120" w:line="260" w:lineRule="atLeast"/>
        <w:rPr>
          <w:lang w:val="en-US" w:eastAsia="en-US" w:bidi="ar-SA"/>
        </w:rPr>
      </w:pPr>
      <w:r>
        <w:rPr>
          <w:rFonts w:ascii="arial" w:eastAsia="arial" w:hAnsi="arial" w:cs="arial"/>
          <w:b/>
          <w:color w:val="000000"/>
          <w:sz w:val="20"/>
          <w:lang w:val="en-US" w:eastAsia="en-US" w:bidi="ar-SA"/>
        </w:rPr>
        <w:t>[2006] B.C.J. No. 1529</w:t>
      </w:r>
      <w:r>
        <w:rPr>
          <w:lang w:val="en-US" w:eastAsia="en-US" w:bidi="ar-SA"/>
        </w:rPr>
        <w:t xml:space="preserve"> </w:t>
      </w:r>
      <w:r>
        <w:rPr>
          <w:lang w:val="en-US" w:eastAsia="en-US" w:bidi="ar-SA"/>
        </w:rPr>
        <w:t xml:space="preserve"> </w:t>
      </w:r>
      <w:r>
        <w:rPr>
          <w:lang w:val="en-US" w:eastAsia="en-US" w:bidi="ar-SA"/>
        </w:rPr>
        <w:t xml:space="preserve"> </w:t>
      </w:r>
      <w:r>
        <w:rPr>
          <w:rFonts w:ascii="arial" w:eastAsia="arial" w:hAnsi="arial" w:cs="arial"/>
          <w:color w:val="BCBEC0"/>
          <w:sz w:val="20"/>
          <w:lang w:val="en-US" w:eastAsia="en-US" w:bidi="ar-SA"/>
        </w:rPr>
        <w:t>|</w:t>
      </w:r>
      <w:r>
        <w:rPr>
          <w:lang w:val="en-US" w:eastAsia="en-US" w:bidi="ar-SA"/>
        </w:rPr>
        <w:t xml:space="preserve"> </w:t>
      </w:r>
      <w:r>
        <w:rPr>
          <w:lang w:val="en-US" w:eastAsia="en-US" w:bidi="ar-SA"/>
        </w:rPr>
        <w:t xml:space="preserve"> </w:t>
      </w:r>
      <w:r>
        <w:rPr>
          <w:lang w:val="en-US" w:eastAsia="en-US" w:bidi="ar-SA"/>
        </w:rPr>
        <w:t xml:space="preserve"> </w:t>
      </w:r>
      <w:r>
        <w:rPr>
          <w:rFonts w:ascii="arial" w:eastAsia="arial" w:hAnsi="arial" w:cs="arial"/>
          <w:color w:val="000000"/>
          <w:sz w:val="20"/>
          <w:lang w:val="en-US" w:eastAsia="en-US" w:bidi="ar-SA"/>
        </w:rPr>
        <w:t>2006 BCSC 909</w:t>
      </w:r>
      <w:r>
        <w:rPr>
          <w:lang w:val="en-US" w:eastAsia="en-US" w:bidi="ar-SA"/>
        </w:rPr>
        <w:t xml:space="preserve"> </w:t>
      </w:r>
      <w:r>
        <w:rPr>
          <w:lang w:val="en-US" w:eastAsia="en-US" w:bidi="ar-SA"/>
        </w:rPr>
        <w:t xml:space="preserve"> </w:t>
      </w:r>
      <w:r>
        <w:rPr>
          <w:lang w:val="en-US" w:eastAsia="en-US" w:bidi="ar-SA"/>
        </w:rPr>
        <w:t xml:space="preserve"> </w:t>
      </w:r>
      <w:r>
        <w:rPr>
          <w:rFonts w:ascii="arial" w:eastAsia="arial" w:hAnsi="arial" w:cs="arial"/>
          <w:color w:val="BCBEC0"/>
          <w:sz w:val="20"/>
          <w:lang w:val="en-US" w:eastAsia="en-US" w:bidi="ar-SA"/>
        </w:rPr>
        <w:t>|</w:t>
      </w:r>
      <w:r>
        <w:rPr>
          <w:lang w:val="en-US" w:eastAsia="en-US" w:bidi="ar-SA"/>
        </w:rPr>
        <w:t xml:space="preserve"> </w:t>
      </w:r>
      <w:r>
        <w:rPr>
          <w:lang w:val="en-US" w:eastAsia="en-US" w:bidi="ar-SA"/>
        </w:rPr>
        <w:t xml:space="preserve"> </w:t>
      </w:r>
      <w:r>
        <w:rPr>
          <w:lang w:val="en-US" w:eastAsia="en-US" w:bidi="ar-SA"/>
        </w:rPr>
        <w:t xml:space="preserve"> </w:t>
      </w:r>
      <w:r>
        <w:rPr>
          <w:rFonts w:ascii="arial" w:eastAsia="arial" w:hAnsi="arial" w:cs="arial"/>
          <w:color w:val="000000"/>
          <w:sz w:val="20"/>
          <w:lang w:val="en-US" w:eastAsia="en-US" w:bidi="ar-SA"/>
        </w:rPr>
        <w:t>150 A.C.W.S. (3d) 1017</w:t>
      </w:r>
    </w:p>
    <w:p>
      <w:pPr>
        <w:spacing w:before="120" w:line="260" w:lineRule="atLeast"/>
        <w:rPr>
          <w:lang w:val="en-US" w:eastAsia="en-US" w:bidi="ar-SA"/>
        </w:rPr>
      </w:pPr>
      <w:r>
        <w:rPr>
          <w:rFonts w:ascii="arial" w:eastAsia="arial" w:hAnsi="arial" w:cs="arial"/>
          <w:color w:val="000000"/>
          <w:sz w:val="20"/>
          <w:lang w:val="en-US" w:eastAsia="en-US" w:bidi="ar-SA"/>
        </w:rPr>
        <w:t>Between F.A., J.A., H.B. Jr., C.D., C.N., V.S., G.S., R.S. Jr., T.S. and T.W., plaintiffs, and Michael Henley, The Board of School Trustees of School District No. 92 (Nisga'a) and The Attorney General of Canada, defendants, and Gail Smythe, R.S. Sr., V.S., W.S., S.S., W.A. Sr. and Elizabeth Moore, third parties, and The Board of School Trustees of School District No. 92 (Nisga'a), third party</w:t>
      </w:r>
    </w:p>
    <w:p>
      <w:pPr>
        <w:spacing w:before="120" w:line="260" w:lineRule="atLeast"/>
        <w:rPr>
          <w:lang w:val="en-US" w:eastAsia="en-US" w:bidi="ar-SA"/>
        </w:rPr>
      </w:pPr>
      <w:r>
        <w:rPr>
          <w:lang w:val="en-US" w:eastAsia="en-US" w:bidi="ar-SA"/>
        </w:rPr>
        <w:br/>
      </w:r>
      <w:r>
        <w:rPr>
          <w:rFonts w:ascii="arial" w:eastAsia="arial" w:hAnsi="arial" w:cs="arial"/>
          <w:color w:val="000000"/>
          <w:sz w:val="20"/>
          <w:lang w:val="en-US" w:eastAsia="en-US" w:bidi="ar-SA"/>
        </w:rPr>
        <w:t>(23 paras.)</w:t>
      </w:r>
    </w:p>
    <w:p>
      <w:pPr>
        <w:keepNext/>
        <w:spacing w:before="120" w:line="340" w:lineRule="atLeast"/>
        <w:rPr>
          <w:lang w:val="en-US" w:eastAsia="en-US" w:bidi="ar-SA"/>
        </w:rPr>
      </w:pPr>
      <w:r>
        <w:rPr>
          <w:rFonts w:ascii="arial" w:eastAsia="arial" w:hAnsi="arial" w:cs="arial"/>
          <w:b/>
          <w:color w:val="000000"/>
          <w:sz w:val="28"/>
          <w:lang w:val="en-US" w:eastAsia="en-US" w:bidi="ar-SA"/>
        </w:rPr>
        <w:t>Case Summary</w:t>
      </w:r>
    </w:p>
    <w:p>
      <w:pPr>
        <w:spacing w:line="60" w:lineRule="exact"/>
        <w:rPr>
          <w:lang w:val="en-US" w:eastAsia="en-US" w:bidi="ar-SA"/>
        </w:rPr>
      </w:pPr>
      <w:r>
        <w:pict>
          <v:line id="_x0000_s1108" style="position:absolute;z-index:251675648" from="0,2pt" to="512pt,2pt" strokecolor="#009ddb" strokeweight="2pt">
            <v:stroke linestyle="single"/>
          </v:line>
        </w:pict>
      </w:r>
    </w:p>
    <w:p>
      <w:pPr>
        <w:spacing w:line="240" w:lineRule="exact"/>
        <w:rPr>
          <w:lang w:val="en-US" w:eastAsia="en-US" w:bidi="ar-SA"/>
        </w:rPr>
      </w:pPr>
    </w:p>
    <w:p>
      <w:pPr>
        <w:spacing w:before="120" w:line="260" w:lineRule="atLeast"/>
        <w:rPr>
          <w:lang w:val="en-US" w:eastAsia="en-US" w:bidi="ar-SA"/>
        </w:rPr>
      </w:pPr>
      <w:bookmarkStart w:id="104" w:name="Keywords_15"/>
      <w:bookmarkEnd w:id="104"/>
      <w:r>
        <w:rPr>
          <w:rFonts w:ascii="arial" w:eastAsia="arial" w:hAnsi="arial" w:cs="arial"/>
          <w:b/>
          <w:color w:val="000000"/>
          <w:sz w:val="20"/>
          <w:lang w:val="en-US" w:eastAsia="en-US" w:bidi="ar-SA"/>
        </w:rPr>
        <w:t>Civil procedure — Discovery — Physical or psychological examination — When available — Application by defendant Her Majesty the Queen in Right of Canada for order compelling the 10 plaintiffs to undergo independent psychological assessments allowed in part — Assessments ordered for the two plaintiffs that were subject to the Crown's first application before start of trial — One plaintiff entitled to have aboriginal support person present in the room during the examination.</w:t>
      </w:r>
    </w:p>
    <w:p>
      <w:pPr>
        <w:rPr>
          <w:lang w:val="en-US" w:eastAsia="en-US" w:bidi="ar-SA"/>
        </w:rPr>
      </w:pPr>
    </w:p>
    <w:tbl>
      <w:tblPr>
        <w:tblStyle w:val="TableNormal"/>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
      <w:tblGrid>
        <w:gridCol w:w="10225"/>
      </w:tblGrid>
      <w:tr>
        <w:tblPrEx>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Ex>
        <w:tc>
          <w:tcPr/>
          <w:p>
            <w:pPr>
              <w:rPr>
                <w:lang w:val="en-US" w:eastAsia="en-US" w:bidi="ar-SA"/>
              </w:rPr>
            </w:pPr>
            <w:bookmarkStart w:id="105" w:name="Case Summary_14"/>
            <w:bookmarkEnd w:id="105"/>
          </w:p>
          <w:p>
            <w:pPr>
              <w:spacing w:before="120" w:line="260" w:lineRule="atLeast"/>
              <w:ind w:left="240"/>
              <w:jc w:val="both"/>
              <w:rPr>
                <w:lang w:val="en-US" w:eastAsia="en-US" w:bidi="ar-SA"/>
              </w:rPr>
            </w:pPr>
            <w:r>
              <w:rPr>
                <w:rFonts w:ascii="arial" w:eastAsia="arial" w:hAnsi="arial" w:cs="arial"/>
                <w:color w:val="000000"/>
                <w:sz w:val="20"/>
                <w:lang w:val="en-US" w:eastAsia="en-US" w:bidi="ar-SA"/>
              </w:rPr>
              <w:t xml:space="preserve">Application by defendant Her Majesty the Queen in Right of Canada for order compelling the 10 plaintiffs to undergo independent psychological assessments -- Plaintiffs were aboriginal peoples who claimed they were sexually abused at a residential school funded by Canada -- Plaintiffs claimed they suffered psychological damages as a result -- Plaintiffs commenced an action against the teacher, the school district and Canada in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and breach of fiduciary duty -- Canada first brought application for independent assessments a few weeks before trial in respect of two plaintiffs -- Canada brought application for assessment of all plaintiffs on first day of trial -- HELD: Application allowed in part -- Assessments ordered for the two plaintiffs that were subject to the Crown's first application -- One plaintiff entitled to have aboriginal support person present in the room during the examination -- Canada offered no explanation for enlarging scope of application for independent examination. </w:t>
            </w:r>
          </w:p>
          <w:p>
            <w:pPr>
              <w:spacing w:before="120" w:line="260" w:lineRule="atLeast"/>
              <w:ind w:left="240"/>
              <w:jc w:val="both"/>
              <w:rPr>
                <w:lang w:val="en-US" w:eastAsia="en-US" w:bidi="ar-SA"/>
              </w:rPr>
            </w:pPr>
            <w:r>
              <w:rPr>
                <w:rFonts w:ascii="arial" w:eastAsia="arial" w:hAnsi="arial" w:cs="arial"/>
                <w:color w:val="000000"/>
                <w:sz w:val="20"/>
                <w:lang w:val="en-US" w:eastAsia="en-US" w:bidi="ar-SA"/>
              </w:rPr>
              <w:t xml:space="preserve">Oral Ruling re Independent Medical Examinations </w:t>
            </w:r>
            <w:r>
              <w:rPr>
                <w:lang w:val="en-US" w:eastAsia="en-US" w:bidi="ar-SA"/>
              </w:rPr>
              <w:cr/>
            </w:r>
          </w:p>
          <w:p>
            <w:pPr>
              <w:rPr>
                <w:lang w:val="en-US" w:eastAsia="en-US" w:bidi="ar-SA"/>
              </w:rPr>
            </w:pPr>
          </w:p>
        </w:tc>
      </w:tr>
    </w:tbl>
    <w:p>
      <w:pPr>
        <w:jc w:val="both"/>
        <w:rPr>
          <w:lang w:val="en-US" w:eastAsia="en-US" w:bidi="ar-SA"/>
        </w:rPr>
      </w:pPr>
      <w:bookmarkStart w:id="106" w:name="Counsel_15"/>
      <w:bookmarkEnd w:id="106"/>
      <w:r>
        <w:rPr>
          <w:lang w:val="en-US" w:eastAsia="en-US" w:bidi="ar-SA"/>
        </w:rPr>
        <w:br/>
      </w:r>
    </w:p>
    <w:p>
      <w:pPr>
        <w:keepNext/>
        <w:spacing w:before="240" w:line="340" w:lineRule="atLeast"/>
        <w:rPr>
          <w:lang w:val="en-US" w:eastAsia="en-US" w:bidi="ar-SA"/>
        </w:rPr>
      </w:pPr>
      <w:r>
        <w:rPr>
          <w:rFonts w:ascii="arial" w:eastAsia="arial" w:hAnsi="arial" w:cs="arial"/>
          <w:b/>
          <w:color w:val="000000"/>
          <w:sz w:val="28"/>
          <w:lang w:val="en-US" w:eastAsia="en-US" w:bidi="ar-SA"/>
        </w:rPr>
        <w:t>Counsel</w:t>
      </w:r>
    </w:p>
    <w:p>
      <w:pPr>
        <w:spacing w:line="60" w:lineRule="exact"/>
        <w:rPr>
          <w:lang w:val="en-US" w:eastAsia="en-US" w:bidi="ar-SA"/>
        </w:rPr>
      </w:pPr>
      <w:r>
        <w:pict>
          <v:line id="_x0000_s1109" style="position:absolute;z-index:251726848" from="0,2pt" to="512pt,2pt" strokecolor="#009ddb" strokeweight="2pt">
            <v:stroke linestyle="single"/>
          </v:line>
        </w:pict>
      </w:r>
    </w:p>
    <w:p>
      <w:pPr>
        <w:spacing w:line="240" w:lineRule="exact"/>
        <w:rPr>
          <w:lang w:val="en-US" w:eastAsia="en-US" w:bidi="ar-SA"/>
        </w:rPr>
      </w:pPr>
    </w:p>
    <w:p>
      <w:pPr>
        <w:spacing w:line="260" w:lineRule="atLeast"/>
        <w:jc w:val="both"/>
        <w:rPr>
          <w:lang w:val="en-US" w:eastAsia="en-US" w:bidi="ar-SA"/>
        </w:rPr>
      </w:pPr>
      <w:r>
        <w:rPr>
          <w:rFonts w:ascii="arial" w:eastAsia="arial" w:hAnsi="arial" w:cs="arial"/>
          <w:color w:val="000000"/>
          <w:sz w:val="20"/>
          <w:lang w:val="en-US" w:eastAsia="en-US" w:bidi="ar-SA"/>
        </w:rPr>
        <w:t>Counsel for Plaintiffs: I. Lawson</w:t>
      </w:r>
    </w:p>
    <w:p>
      <w:pPr>
        <w:spacing w:line="260" w:lineRule="atLeast"/>
        <w:jc w:val="both"/>
        <w:rPr>
          <w:lang w:val="en-US" w:eastAsia="en-US" w:bidi="ar-SA"/>
        </w:rPr>
      </w:pPr>
      <w:r>
        <w:rPr>
          <w:lang w:val="en-US" w:eastAsia="en-US" w:bidi="ar-SA"/>
        </w:rPr>
        <w:br/>
      </w:r>
      <w:r>
        <w:rPr>
          <w:rFonts w:ascii="arial" w:eastAsia="arial" w:hAnsi="arial" w:cs="arial"/>
          <w:color w:val="000000"/>
          <w:sz w:val="20"/>
          <w:lang w:val="en-US" w:eastAsia="en-US" w:bidi="ar-SA"/>
        </w:rPr>
        <w:t>Counsel for Defendants: D. Kwan, L. Riddle</w:t>
      </w:r>
      <w:r>
        <w:rPr>
          <w:lang w:val="en-US" w:eastAsia="en-US" w:bidi="ar-SA"/>
        </w:rPr>
        <w:cr/>
      </w:r>
    </w:p>
    <w:p>
      <w:pPr>
        <w:spacing w:after="240"/>
        <w:rPr>
          <w:lang w:val="en-US" w:eastAsia="en-US" w:bidi="ar-SA"/>
        </w:rPr>
      </w:pPr>
      <w:bookmarkStart w:id="107" w:name="Judgment_16"/>
      <w:bookmarkEnd w:id="107"/>
      <w:r>
        <w:pict>
          <v:line id="_x0000_s1110" style="position:absolute;z-index:251778048" from="0,12pt" to="512pt,12pt" strokecolor="#009ddb" strokeweight="1.5pt">
            <v:stroke linestyle="single"/>
          </v:line>
        </w:pict>
      </w:r>
    </w:p>
    <w:p>
      <w:pPr>
        <w:spacing w:before="120" w:line="240" w:lineRule="atLeast"/>
        <w:ind w:firstLine="240"/>
        <w:rPr>
          <w:lang w:val="en-US" w:eastAsia="en-US" w:bidi="ar-SA"/>
        </w:rPr>
      </w:pPr>
      <w:r>
        <w:rPr>
          <w:rFonts w:ascii="arial" w:eastAsia="arial" w:hAnsi="arial" w:cs="arial"/>
          <w:color w:val="000000"/>
          <w:sz w:val="18"/>
          <w:lang w:val="en-US" w:eastAsia="en-US" w:bidi="ar-SA"/>
        </w:rPr>
        <w:t>[Editor's Note: The note "[text deleted by LexisNexis Canada]" indicates the removal of information which may identify individuals protected by LexisNexis Canada's Guidelines for the Protection of Identities.]</w:t>
      </w:r>
      <w:r>
        <w:rPr>
          <w:lang w:val="en-US" w:eastAsia="en-US" w:bidi="ar-SA"/>
        </w:rPr>
        <w:cr/>
      </w:r>
    </w:p>
    <w:p>
      <w:pPr>
        <w:rPr>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3337"/>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lang w:val="en-US" w:eastAsia="en-US" w:bidi="ar-SA"/>
              </w:rPr>
            </w:pPr>
            <w:bookmarkStart w:id="108" w:name="HALFYARD J. (orally)"/>
            <w:bookmarkEnd w:id="108"/>
            <w:r>
              <w:rPr>
                <w:rFonts w:ascii="arial" w:eastAsia="arial" w:hAnsi="arial" w:cs="arial"/>
                <w:b/>
                <w:color w:val="000000"/>
                <w:sz w:val="30"/>
                <w:lang w:val="en-US" w:eastAsia="en-US" w:bidi="ar-SA"/>
              </w:rPr>
              <w:t>HALFYARD J. (orally)</w:t>
            </w:r>
          </w:p>
        </w:tc>
      </w:tr>
    </w:tbl>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I am going to give my ruling now on this application.</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The defendant Her Majesty the Queen in Right of Canada applies for an order requiring all of the ten plaintiffs to undergo psychological examination and assessment by Dr. Judith Daylen.</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The plaintiffs are all aboriginal persons who grew up in [text deleted by LexisNexis Canada], the Nisga'a village at the mouth of the [text deleted by LexisNexis Canada] River. In this lawsuit, they allege that when they were children, they were sexually assaulted by the defendant Henley, who was teaching school in [text deleted by LexisNexis Canada] in the early 1980s. He was then an employee of the former defendant, School District 92.</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The plaintiffs are now in their early to mid-30s. They allege that they have suffered psychological injuries as a result of being sexually assaulted by Mr. Henley.</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Nine of the ten plaintiffs have been examined by two psychologists. Expert reports respecting four of the plaintiffs were delivered to the applicant on April 3rd and 4th, 2006. Those four reports were prepared by Dr. Sochting, who assessed the four plaintiffs. Reports for the five other plaintiffs, who were examined by Dr. Robert Ley, have not yet even been delivered to plaintiffs' counsel.</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The hearing of this application commenced two days ago, on May 17th, which was the first day of trial.</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The plaintiffs settled their claims with the defendants School District 92 and Henley about a week or 10 days before May 17th. Her Majesty the Queen is the only remaining defendant.</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The applicant seeks an order for independent medical examinations of the plaintiffs to assist in the contesting of the issues of causation of the alleged injuries and their effects on the plaintiffs. It is proposed that all of the assessments be done by Dr. Judith Daylen. The evidence shows that she is well-qualified to conduct the examinations, and her qualifications to do so are not in dispute.</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The position of the plaintiffs is that the application should be dismissed, because it is made at the beginning of trial when the applicant has had some three years to request examinations of the plaintiffs. But the first request for independent medical examinations was made on April 24th, 2006, and then only for two of the plaintiffs, namely F.A. and V.S..</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In the alternative, Mr. Lawson says that if the order is to be granted, then each plaintiff should be permitted to have an aboriginal support person with him during his examination. The applicant opposes such a term, but would agree to the support person waiting outside the examination room.</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xml:space="preserve">  Mr. Kwan, for the applicant, referred me to the decision of then Master Chamberlist in </w:t>
      </w:r>
      <w:r>
        <w:rPr>
          <w:rFonts w:ascii="arial" w:eastAsia="arial" w:hAnsi="arial" w:cs="arial"/>
          <w:b/>
          <w:i/>
          <w:color w:val="000000"/>
          <w:sz w:val="20"/>
          <w:lang w:val="en-US" w:eastAsia="en-US" w:bidi="ar-SA"/>
        </w:rPr>
        <w:t>Mahoney v. Roland</w:t>
      </w:r>
      <w:r>
        <w:rPr>
          <w:rFonts w:ascii="arial" w:eastAsia="arial" w:hAnsi="arial" w:cs="arial"/>
          <w:color w:val="000000"/>
          <w:sz w:val="20"/>
          <w:lang w:val="en-US" w:eastAsia="en-US" w:bidi="ar-SA"/>
        </w:rPr>
        <w:t xml:space="preserve">, reported at </w:t>
      </w:r>
      <w:hyperlink r:id="rId418" w:history="1">
        <w:r>
          <w:rPr>
            <w:rFonts w:ascii="arial" w:eastAsia="arial" w:hAnsi="arial" w:cs="arial"/>
            <w:i/>
            <w:color w:val="0077CC"/>
            <w:sz w:val="20"/>
            <w:u w:val="single"/>
            <w:shd w:val="clear" w:color="auto" w:fill="FFFFFF"/>
            <w:lang w:val="en-US" w:eastAsia="en-US" w:bidi="ar-SA"/>
          </w:rPr>
          <w:t>(1997), 40 B.C.L.R. (3d) 79</w:t>
        </w:r>
      </w:hyperlink>
      <w:r>
        <w:rPr>
          <w:rFonts w:ascii="arial" w:eastAsia="arial" w:hAnsi="arial" w:cs="arial"/>
          <w:color w:val="000000"/>
          <w:sz w:val="20"/>
          <w:lang w:val="en-US" w:eastAsia="en-US" w:bidi="ar-SA"/>
        </w:rPr>
        <w:t>. In that case, the plaintiff in a personal injury action had requested that the order for his IME by an orthopedic surgeon should include a term permitting him to videotape the examination. At paragraph 25 of the decision, Master Chamberlist said the following:</w:t>
      </w:r>
      <w:r>
        <w:rPr>
          <w:lang w:val="en-US" w:eastAsia="en-US" w:bidi="ar-SA"/>
        </w:rPr>
        <w:cr/>
      </w:r>
    </w:p>
    <w:p>
      <w:pPr>
        <w:spacing w:line="260" w:lineRule="atLeast"/>
        <w:ind w:left="720"/>
        <w:rPr>
          <w:lang w:val="en-US" w:eastAsia="en-US" w:bidi="ar-SA"/>
        </w:rPr>
      </w:pPr>
      <w:r>
        <w:rPr>
          <w:rFonts w:ascii="arial" w:eastAsia="arial" w:hAnsi="arial" w:cs="arial"/>
          <w:color w:val="000000"/>
          <w:sz w:val="20"/>
          <w:lang w:val="en-US" w:eastAsia="en-US" w:bidi="ar-SA"/>
        </w:rPr>
        <w:t>On the cases that I have reviewed above, I am of the view that the concept of a medical examination pursuant to Rule 30(1) is to put the parties on a level playing field on the basis of equality and that such medical examination take place in the format requested by the applicant unless there are compelling reasons demonstrated to allow intrusion into that format to satisfy legitimate concerns of the examinee.</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In that case, the court found that the plaintiff had not met that test and refused the request to videotape. The order also expressly stated that the plaintiff was not entitled to have anyone accompany him.</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The applicant has presented the opinion evidence of Robert Colby, a registered psychologist of great experience. In paragraphs 4 and 7 of his affidavit, he deposes as follows, at paragraph 4:</w:t>
      </w:r>
      <w:r>
        <w:rPr>
          <w:lang w:val="en-US" w:eastAsia="en-US" w:bidi="ar-SA"/>
        </w:rPr>
        <w:cr/>
      </w:r>
    </w:p>
    <w:p>
      <w:pPr>
        <w:spacing w:line="260" w:lineRule="atLeast"/>
        <w:ind w:left="720"/>
        <w:rPr>
          <w:lang w:val="en-US" w:eastAsia="en-US" w:bidi="ar-SA"/>
        </w:rPr>
      </w:pPr>
      <w:r>
        <w:rPr>
          <w:rFonts w:ascii="arial" w:eastAsia="arial" w:hAnsi="arial" w:cs="arial"/>
          <w:color w:val="000000"/>
          <w:sz w:val="20"/>
          <w:lang w:val="en-US" w:eastAsia="en-US" w:bidi="ar-SA"/>
        </w:rPr>
        <w:t>It is my opinion that the presence of a counsellor at a psychological assessment could interfere with the ability of the psychologist to elicit accurate and proper responses from the person being examined.</w:t>
      </w:r>
    </w:p>
    <w:p>
      <w:pPr>
        <w:spacing w:line="260" w:lineRule="atLeast"/>
        <w:jc w:val="both"/>
        <w:rPr>
          <w:lang w:val="en-US" w:eastAsia="en-US" w:bidi="ar-SA"/>
        </w:rPr>
      </w:pPr>
      <w:r>
        <w:rPr>
          <w:lang w:val="en-US" w:eastAsia="en-US" w:bidi="ar-SA"/>
        </w:rPr>
        <w:br/>
      </w:r>
      <w:r>
        <w:rPr>
          <w:rFonts w:ascii="arial" w:eastAsia="arial" w:hAnsi="arial" w:cs="arial"/>
          <w:color w:val="000000"/>
          <w:sz w:val="20"/>
          <w:lang w:val="en-US" w:eastAsia="en-US" w:bidi="ar-SA"/>
        </w:rPr>
        <w:t>At paragraph 7, he states:</w:t>
      </w:r>
      <w:r>
        <w:rPr>
          <w:lang w:val="en-US" w:eastAsia="en-US" w:bidi="ar-SA"/>
        </w:rPr>
        <w:cr/>
      </w:r>
    </w:p>
    <w:p>
      <w:pPr>
        <w:spacing w:line="260" w:lineRule="atLeast"/>
        <w:ind w:left="720"/>
        <w:rPr>
          <w:lang w:val="en-US" w:eastAsia="en-US" w:bidi="ar-SA"/>
        </w:rPr>
      </w:pPr>
      <w:r>
        <w:rPr>
          <w:rFonts w:ascii="arial" w:eastAsia="arial" w:hAnsi="arial" w:cs="arial"/>
          <w:color w:val="000000"/>
          <w:sz w:val="20"/>
          <w:lang w:val="en-US" w:eastAsia="en-US" w:bidi="ar-SA"/>
        </w:rPr>
        <w:t>The manner in which the psychological assessment is conducted and the rapport between the psychologist and the person being examined affects the usefulness of the assessment. It is my opinion that even the silent presence of a counsellor changes the dynamics of the situation and could affect the attention, demeanour and conduct of the person being examined. This would in turn affect the validity of their responses.</w:t>
      </w:r>
    </w:p>
    <w:p>
      <w:pPr>
        <w:spacing w:line="260" w:lineRule="atLeast"/>
        <w:jc w:val="both"/>
        <w:rPr>
          <w:lang w:val="en-US" w:eastAsia="en-US" w:bidi="ar-SA"/>
        </w:rPr>
      </w:pPr>
      <w:r>
        <w:rPr>
          <w:lang w:val="en-US" w:eastAsia="en-US" w:bidi="ar-SA"/>
        </w:rPr>
        <w:br/>
      </w:r>
      <w:r>
        <w:rPr>
          <w:rFonts w:ascii="arial" w:eastAsia="arial" w:hAnsi="arial" w:cs="arial"/>
          <w:color w:val="000000"/>
          <w:sz w:val="20"/>
          <w:lang w:val="en-US" w:eastAsia="en-US" w:bidi="ar-SA"/>
        </w:rPr>
        <w:t>In the final paragraph of his affidavit, Dr. Colby says that he does not permit such a practice in his particular practice of the profession.</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The plaintiffs have presented evidence from the plaintiff F.A. in his affidavit sworn May 17, 2006. That evidence establishes that F.A. suffered considerable emotional upset from discussing the sexual assaults on examination for discovery and with Dr. Sochting, and also that he is worried about having to testify about these matters at the trial. His evidence also shows that an aboriginal support person was present at his examination for discovery and that this made it easier for him to answer questions.</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15</w:t>
      </w:r>
      <w:r>
        <w:rPr>
          <w:rFonts w:ascii="arial" w:eastAsia="arial" w:hAnsi="arial" w:cs="arial"/>
          <w:color w:val="000000"/>
          <w:sz w:val="20"/>
          <w:lang w:val="en-US" w:eastAsia="en-US" w:bidi="ar-SA"/>
        </w:rPr>
        <w:t>  The plaintiffs have also presented a letter from Dr. Sochting dated May 16, 2006. I am satisfied from her letter that psychological assessment by an expert retained by the opposing party has the potential to cause significant stress to the plaintiffs, even without fault of the expert. In Dr. Sochting's opinion, this stress can be reduced by having a support person waiting outside the assessment room or, if necessary, having the support person sitting silently in the examination room.</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16</w:t>
      </w:r>
      <w:r>
        <w:rPr>
          <w:rFonts w:ascii="arial" w:eastAsia="arial" w:hAnsi="arial" w:cs="arial"/>
          <w:color w:val="000000"/>
          <w:sz w:val="20"/>
          <w:lang w:val="en-US" w:eastAsia="en-US" w:bidi="ar-SA"/>
        </w:rPr>
        <w:t>  Finally, the plaintiffs have introduced the affidavit evidence of Shane Point, sworn May 18, 2006. This person has great experience as a support person for aboriginal persons who are plaintiffs in cases having similarity to the present case. His evidence confirms and strengthens the opinions of Dr. Sochting, and I accept it.</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17</w:t>
      </w:r>
      <w:r>
        <w:rPr>
          <w:rFonts w:ascii="arial" w:eastAsia="arial" w:hAnsi="arial" w:cs="arial"/>
          <w:color w:val="000000"/>
          <w:sz w:val="20"/>
          <w:lang w:val="en-US" w:eastAsia="en-US" w:bidi="ar-SA"/>
        </w:rPr>
        <w:t>  I find it an important fact here that any psychological assessments ordered will have to be conducted during the trial and before the plaintiffs testify. In addition, no explanation was offered by the applicant as to why the request for independent medical examinations increased from two plaintiffs to all ten plaintiffs in a little over two weeks.</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18</w:t>
      </w:r>
      <w:r>
        <w:rPr>
          <w:rFonts w:ascii="arial" w:eastAsia="arial" w:hAnsi="arial" w:cs="arial"/>
          <w:color w:val="000000"/>
          <w:sz w:val="20"/>
          <w:lang w:val="en-US" w:eastAsia="en-US" w:bidi="ar-SA"/>
        </w:rPr>
        <w:t>  In these circumstances, I am going to make the following order.</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19</w:t>
      </w:r>
      <w:r>
        <w:rPr>
          <w:rFonts w:ascii="arial" w:eastAsia="arial" w:hAnsi="arial" w:cs="arial"/>
          <w:color w:val="000000"/>
          <w:sz w:val="20"/>
          <w:lang w:val="en-US" w:eastAsia="en-US" w:bidi="ar-SA"/>
        </w:rPr>
        <w:t>  I order that the plaintiff F.A. submit to independent medical examination by Dr. Judith Daylen at a time and place in Terrace to be agreed on by counsel or, failing that, as set by me, at the expense of the applicant. This date will not be later than July 15, 2006.</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20</w:t>
      </w:r>
      <w:r>
        <w:rPr>
          <w:rFonts w:ascii="arial" w:eastAsia="arial" w:hAnsi="arial" w:cs="arial"/>
          <w:color w:val="000000"/>
          <w:sz w:val="20"/>
          <w:lang w:val="en-US" w:eastAsia="en-US" w:bidi="ar-SA"/>
        </w:rPr>
        <w:t>  Mr. F.A. shall be entitled to have in the room with him during the examination a qualified aboriginal support person, either Shane Point or someone appointed by him, who shall remain silent unless asked or permitted by Dr. Daylen to speak.</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21</w:t>
      </w:r>
      <w:r>
        <w:rPr>
          <w:rFonts w:ascii="arial" w:eastAsia="arial" w:hAnsi="arial" w:cs="arial"/>
          <w:color w:val="000000"/>
          <w:sz w:val="20"/>
          <w:lang w:val="en-US" w:eastAsia="en-US" w:bidi="ar-SA"/>
        </w:rPr>
        <w:t>  There will be a somewhat similar order in respect of the plaintiff V.S., except that the support person shall only be entitled to wait outside the examination room during the examination and interviews by Dr. Daylen.</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22</w:t>
      </w:r>
      <w:r>
        <w:rPr>
          <w:rFonts w:ascii="arial" w:eastAsia="arial" w:hAnsi="arial" w:cs="arial"/>
          <w:color w:val="000000"/>
          <w:sz w:val="20"/>
          <w:lang w:val="en-US" w:eastAsia="en-US" w:bidi="ar-SA"/>
        </w:rPr>
        <w:t>  With respect to the other eight plaintiffs, the application is dismissed, but with liberty to reapply when the reports of Dr. Ley are received.</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23</w:t>
      </w:r>
      <w:r>
        <w:rPr>
          <w:rFonts w:ascii="arial" w:eastAsia="arial" w:hAnsi="arial" w:cs="arial"/>
          <w:color w:val="000000"/>
          <w:sz w:val="20"/>
          <w:lang w:val="en-US" w:eastAsia="en-US" w:bidi="ar-SA"/>
        </w:rPr>
        <w:t>  Costs of this application will be costs to the plaintiffs in any event of the cause.</w:t>
      </w:r>
    </w:p>
    <w:p>
      <w:pPr>
        <w:spacing w:line="260" w:lineRule="atLeast"/>
        <w:jc w:val="both"/>
        <w:rPr>
          <w:lang w:val="en-US" w:eastAsia="en-US" w:bidi="ar-SA"/>
        </w:rPr>
      </w:pPr>
      <w:r>
        <w:rPr>
          <w:lang w:val="en-US" w:eastAsia="en-US" w:bidi="ar-SA"/>
        </w:rPr>
        <w:br/>
      </w:r>
      <w:r>
        <w:rPr>
          <w:rFonts w:ascii="arial" w:eastAsia="arial" w:hAnsi="arial" w:cs="arial"/>
          <w:color w:val="000000"/>
          <w:sz w:val="20"/>
          <w:lang w:val="en-US" w:eastAsia="en-US" w:bidi="ar-SA"/>
        </w:rPr>
        <w:t>HALFYARD J.</w:t>
      </w:r>
      <w:r>
        <w:rPr>
          <w:lang w:val="en-US" w:eastAsia="en-US" w:bidi="ar-SA"/>
        </w:rPr>
        <w:cr/>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11" style="position:absolute;z-index:251827200" from="0,10pt" to="512pt,10pt" strokecolor="black" strokeweight="1pt">
            <v:stroke linestyle="single"/>
          </v:line>
        </w:pict>
      </w:r>
      <w:r>
        <w:rPr>
          <w:b/>
          <w:color w:val="767676"/>
          <w:sz w:val="16"/>
          <w:lang w:val="en-US" w:eastAsia="en-US" w:bidi="ar-SA"/>
        </w:rPr>
        <w:t>End of Document</w:t>
      </w:r>
    </w:p>
    <w:p>
      <w:pPr>
        <w:rPr>
          <w:rFonts w:ascii="arial" w:eastAsia="arial" w:hAnsi="arial" w:cs="arial"/>
          <w:sz w:val="20"/>
          <w:lang w:val="en-US" w:eastAsia="en-US" w:bidi="ar-SA"/>
        </w:rPr>
        <w:sectPr>
          <w:headerReference w:type="even" r:id="rId419"/>
          <w:headerReference w:type="default" r:id="rId420"/>
          <w:footerReference w:type="even" r:id="rId421"/>
          <w:footerReference w:type="default" r:id="rId422"/>
          <w:headerReference w:type="first" r:id="rId423"/>
          <w:footerReference w:type="first" r:id="rId424"/>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eastAsia="arial" w:hAnsi="Arial" w:cs="Arial"/>
          <w:b/>
          <w:bCs/>
          <w:kern w:val="32"/>
          <w:sz w:val="32"/>
          <w:szCs w:val="32"/>
          <w:lang w:val="en-US" w:eastAsia="en-US" w:bidi="ar-SA"/>
        </w:rPr>
      </w:pPr>
      <w:hyperlink r:id="rId425" w:history="1">
        <w:r>
          <w:rPr>
            <w:rFonts w:ascii="arial" w:eastAsia="arial" w:hAnsi="arial" w:cs="arial"/>
            <w:b/>
            <w:bCs/>
            <w:i/>
            <w:color w:val="0077CC"/>
            <w:kern w:val="32"/>
            <w:sz w:val="28"/>
            <w:szCs w:val="32"/>
            <w:u w:val="single"/>
            <w:shd w:val="clear" w:color="auto" w:fill="FFFFFF"/>
            <w:lang w:val="en-US" w:eastAsia="en-US" w:bidi="ar-SA"/>
          </w:rPr>
          <w:t>J.L.G. v. A.W.W., [2004] B.C.J. No. 1779</w:t>
        </w:r>
      </w:hyperlink>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Judgments</w:t>
      </w:r>
    </w:p>
    <w:p>
      <w:pPr>
        <w:rPr>
          <w:rFonts w:ascii="arial" w:eastAsia="arial" w:hAnsi="arial" w:cs="arial"/>
          <w:sz w:val="20"/>
          <w:lang w:val="en-US" w:eastAsia="en-US" w:bidi="ar-SA"/>
        </w:rPr>
      </w:pP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Vancouver, British Columbia</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Cole J.</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Heard: June 4 and 26, 2004.</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Judgment: August 25, 2004.</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Vancouver Registry No. S016341</w:t>
      </w:r>
    </w:p>
    <w:p>
      <w:pPr>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r>
        <w:rPr>
          <w:rFonts w:ascii="arial" w:eastAsia="arial" w:hAnsi="arial" w:cs="arial"/>
          <w:b/>
          <w:color w:val="000000"/>
          <w:sz w:val="20"/>
          <w:lang w:val="en-US" w:eastAsia="en-US" w:bidi="ar-SA"/>
        </w:rPr>
        <w:t>[2004] B.C.J. No. 1779</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2004 BCSC 1123</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33 B.C.L.R. (4th) 387</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133 A.C.W.S. (3d) 37</w:t>
      </w:r>
    </w:p>
    <w:p>
      <w:pPr>
        <w:spacing w:before="120" w:line="260" w:lineRule="atLeast"/>
        <w:rPr>
          <w:rFonts w:ascii="arial" w:eastAsia="arial" w:hAnsi="arial" w:cs="arial"/>
          <w:sz w:val="20"/>
          <w:lang w:val="en-US" w:eastAsia="en-US" w:bidi="ar-SA"/>
        </w:rPr>
      </w:pPr>
      <w:r>
        <w:rPr>
          <w:rFonts w:ascii="arial" w:eastAsia="arial" w:hAnsi="arial" w:cs="arial"/>
          <w:color w:val="000000"/>
          <w:sz w:val="20"/>
          <w:lang w:val="en-US" w:eastAsia="en-US" w:bidi="ar-SA"/>
        </w:rPr>
        <w:t>Between J.L.G., as representative Plaintiff, plaintiff, and A.W.W. and Her Majesty the Queen in Right of the Province of British Columbia, defendants</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(19 paras.)</w:t>
      </w:r>
    </w:p>
    <w:p>
      <w:pPr>
        <w:keepNext/>
        <w:spacing w:before="12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Case Summary</w:t>
      </w:r>
    </w:p>
    <w:p>
      <w:pPr>
        <w:spacing w:line="60" w:lineRule="exact"/>
        <w:rPr>
          <w:rFonts w:ascii="arial" w:eastAsia="arial" w:hAnsi="arial" w:cs="arial"/>
          <w:sz w:val="20"/>
          <w:lang w:val="en-US" w:eastAsia="en-US" w:bidi="ar-SA"/>
        </w:rPr>
      </w:pPr>
      <w:r>
        <w:pict>
          <v:line id="_x0000_s1112" style="position:absolute;z-index:251676672"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bookmarkStart w:id="109" w:name="Keywords_16"/>
      <w:bookmarkEnd w:id="109"/>
      <w:r>
        <w:rPr>
          <w:rFonts w:ascii="arial" w:eastAsia="arial" w:hAnsi="arial" w:cs="arial"/>
          <w:b/>
          <w:color w:val="000000"/>
          <w:sz w:val="20"/>
          <w:lang w:val="en-US" w:eastAsia="en-US" w:bidi="ar-SA"/>
        </w:rPr>
        <w:t xml:space="preserve">Civil procedure — Parties — Class or representative actions — Discovery — Production and inspection of documents — Confidentiality of orders — Objections and compelling production — Government law — Crown — Actions by and against Crown — </w:t>
      </w:r>
      <w:r>
        <w:rPr>
          <w:rFonts w:ascii="arial" w:eastAsia="arial" w:hAnsi="arial" w:cs="arial"/>
          <w:b/>
          <w:i/>
          <w:color w:val="000000"/>
          <w:sz w:val="20"/>
          <w:u w:val="single"/>
          <w:lang w:val="en-US" w:eastAsia="en-US" w:bidi="ar-SA"/>
        </w:rPr>
        <w:t>Negligence</w:t>
      </w:r>
      <w:r>
        <w:rPr>
          <w:rFonts w:ascii="arial" w:eastAsia="arial" w:hAnsi="arial" w:cs="arial"/>
          <w:b/>
          <w:color w:val="000000"/>
          <w:sz w:val="20"/>
          <w:lang w:val="en-US" w:eastAsia="en-US" w:bidi="ar-SA"/>
        </w:rPr>
        <w:t xml:space="preserve"> by Crown — Tort law — Trespass — To person — Sexual assault.</w:t>
      </w:r>
    </w:p>
    <w:p>
      <w:pPr>
        <w:rPr>
          <w:rFonts w:ascii="arial" w:eastAsia="arial" w:hAnsi="arial" w:cs="arial"/>
          <w:sz w:val="20"/>
          <w:lang w:val="en-US" w:eastAsia="en-US" w:bidi="ar-SA"/>
        </w:rPr>
      </w:pPr>
    </w:p>
    <w:tbl>
      <w:tblPr>
        <w:tblStyle w:val="TableNormal"/>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
      <w:tblGrid>
        <w:gridCol w:w="10225"/>
      </w:tblGrid>
      <w:tr>
        <w:tblPrEx>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Ex>
        <w:tc>
          <w:tcPr/>
          <w:p>
            <w:pPr>
              <w:rPr>
                <w:rFonts w:ascii="arial" w:eastAsia="arial" w:hAnsi="arial" w:cs="arial"/>
                <w:sz w:val="20"/>
                <w:lang w:val="en-US" w:eastAsia="en-US" w:bidi="ar-SA"/>
              </w:rPr>
            </w:pPr>
            <w:bookmarkStart w:id="110" w:name="Case Summary_15"/>
            <w:bookmarkEnd w:id="110"/>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Application by JLG for disclosure of documents in connection with a class proceeding regarding sexual abuse by AWW. The Crown placed a number of children in the care of AWW and these children were subsequently sexually abused by AWW. The Crown claimed that disclosure relating to these children violated their privacy rights. </w:t>
            </w:r>
            <w:r>
              <w:rPr>
                <w:rFonts w:ascii="arial" w:eastAsia="arial" w:hAnsi="arial" w:cs="arial"/>
                <w:sz w:val="20"/>
                <w:lang w:val="en-US" w:eastAsia="en-US" w:bidi="ar-SA"/>
              </w:rPr>
              <w:cr/>
            </w:r>
          </w:p>
          <w:p>
            <w:pPr>
              <w:spacing w:before="120" w:line="260" w:lineRule="atLeast"/>
              <w:ind w:left="240"/>
              <w:jc w:val="both"/>
              <w:rPr>
                <w:rFonts w:ascii="arial" w:eastAsia="arial" w:hAnsi="arial" w:cs="arial"/>
                <w:sz w:val="20"/>
                <w:lang w:val="en-US" w:eastAsia="en-US" w:bidi="ar-SA"/>
              </w:rPr>
            </w:pPr>
            <w:bookmarkStart w:id="111" w:name="Holdings of Court_11"/>
            <w:bookmarkEnd w:id="111"/>
            <w:r>
              <w:rPr>
                <w:rFonts w:ascii="arial" w:eastAsia="arial" w:hAnsi="arial" w:cs="arial"/>
                <w:color w:val="000000"/>
                <w:sz w:val="20"/>
                <w:lang w:val="en-US" w:eastAsia="en-US" w:bidi="ar-SA"/>
              </w:rPr>
              <w:t>HELD: Application partially granted.</w:t>
            </w:r>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The court balanced the privacy rights of former children against JLG's right to documents relevant to his case and found that in some cases the rights of JLG outweighed that of the children's privacy. In other cases, the two step procedure for discovery was to be used in determining whether or not disclosure was to be made. </w:t>
            </w:r>
            <w:r>
              <w:rPr>
                <w:rFonts w:ascii="arial" w:eastAsia="arial" w:hAnsi="arial" w:cs="arial"/>
                <w:sz w:val="20"/>
                <w:lang w:val="en-US" w:eastAsia="en-US" w:bidi="ar-SA"/>
              </w:rPr>
              <w:cr/>
            </w:r>
          </w:p>
          <w:p>
            <w:pPr>
              <w:rPr>
                <w:rFonts w:ascii="arial" w:eastAsia="arial" w:hAnsi="arial" w:cs="arial"/>
                <w:sz w:val="20"/>
                <w:lang w:val="en-US" w:eastAsia="en-US" w:bidi="ar-SA"/>
              </w:rPr>
            </w:pPr>
          </w:p>
        </w:tc>
      </w:tr>
    </w:tbl>
    <w:p>
      <w:pPr>
        <w:jc w:val="both"/>
        <w:rPr>
          <w:rFonts w:ascii="arial" w:eastAsia="arial" w:hAnsi="arial" w:cs="arial"/>
          <w:sz w:val="20"/>
          <w:lang w:val="en-US" w:eastAsia="en-US" w:bidi="ar-SA"/>
        </w:rPr>
      </w:pPr>
      <w:bookmarkStart w:id="112" w:name="Legislation Cited_11"/>
      <w:bookmarkEnd w:id="112"/>
      <w:r>
        <w:rPr>
          <w:rFonts w:ascii="arial" w:eastAsia="arial" w:hAnsi="arial" w:cs="arial"/>
          <w:sz w:val="20"/>
          <w:lang w:val="en-US" w:eastAsia="en-US" w:bidi="ar-SA"/>
        </w:rPr>
        <w:br/>
      </w:r>
    </w:p>
    <w:p>
      <w:pPr>
        <w:keepNext/>
        <w:spacing w:before="24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Statutes, Regulations and Rules Cited:</w:t>
      </w:r>
    </w:p>
    <w:p>
      <w:pPr>
        <w:spacing w:line="60" w:lineRule="exact"/>
        <w:rPr>
          <w:rFonts w:ascii="arial" w:eastAsia="arial" w:hAnsi="arial" w:cs="arial"/>
          <w:sz w:val="20"/>
          <w:lang w:val="en-US" w:eastAsia="en-US" w:bidi="ar-SA"/>
        </w:rPr>
      </w:pPr>
      <w:r>
        <w:pict>
          <v:line id="_x0000_s1113" style="position:absolute;z-index:251727872"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Class Proceedings Act R.S.B.C. 1996</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Child, Family and Community Service Act R.S.B.C. 1996</w:t>
      </w:r>
      <w:r>
        <w:rPr>
          <w:rFonts w:ascii="arial" w:eastAsia="arial" w:hAnsi="arial" w:cs="arial"/>
          <w:sz w:val="20"/>
          <w:lang w:val="en-US" w:eastAsia="en-US" w:bidi="ar-SA"/>
        </w:rPr>
        <w:cr/>
      </w:r>
    </w:p>
    <w:p>
      <w:pPr>
        <w:keepNext/>
        <w:spacing w:before="240" w:line="340" w:lineRule="atLeast"/>
        <w:rPr>
          <w:rFonts w:ascii="arial" w:eastAsia="arial" w:hAnsi="arial" w:cs="arial"/>
          <w:sz w:val="20"/>
          <w:lang w:val="en-US" w:eastAsia="en-US" w:bidi="ar-SA"/>
        </w:rPr>
      </w:pPr>
      <w:bookmarkStart w:id="113" w:name="Counsel_16"/>
      <w:bookmarkEnd w:id="113"/>
      <w:r>
        <w:rPr>
          <w:rFonts w:ascii="arial" w:eastAsia="arial" w:hAnsi="arial" w:cs="arial"/>
          <w:b/>
          <w:color w:val="000000"/>
          <w:sz w:val="28"/>
          <w:lang w:val="en-US" w:eastAsia="en-US" w:bidi="ar-SA"/>
        </w:rPr>
        <w:t>Counsel</w:t>
      </w:r>
    </w:p>
    <w:p>
      <w:pPr>
        <w:spacing w:line="60" w:lineRule="exact"/>
        <w:rPr>
          <w:rFonts w:ascii="arial" w:eastAsia="arial" w:hAnsi="arial" w:cs="arial"/>
          <w:sz w:val="20"/>
          <w:lang w:val="en-US" w:eastAsia="en-US" w:bidi="ar-SA"/>
        </w:rPr>
      </w:pPr>
      <w:r>
        <w:pict>
          <v:line id="_x0000_s1114" style="position:absolute;z-index:251779072"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Counsel for the Plaintiff: D.M. Rosenberg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Counsel for the Defendant, British Columbia: W.K. Branch and D. Baumgard</w:t>
      </w:r>
      <w:r>
        <w:rPr>
          <w:rFonts w:ascii="arial" w:eastAsia="arial" w:hAnsi="arial" w:cs="arial"/>
          <w:sz w:val="20"/>
          <w:lang w:val="en-US" w:eastAsia="en-US" w:bidi="ar-SA"/>
        </w:rPr>
        <w:cr/>
      </w:r>
    </w:p>
    <w:p>
      <w:pPr>
        <w:spacing w:after="240"/>
        <w:rPr>
          <w:rFonts w:ascii="arial" w:eastAsia="arial" w:hAnsi="arial" w:cs="arial"/>
          <w:sz w:val="20"/>
          <w:lang w:val="en-US" w:eastAsia="en-US" w:bidi="ar-SA"/>
        </w:rPr>
      </w:pPr>
      <w:bookmarkStart w:id="114" w:name="Judgment_17"/>
      <w:bookmarkEnd w:id="114"/>
      <w:r>
        <w:pict>
          <v:line id="_x0000_s1115" style="position:absolute;z-index:251828224" from="0,12pt" to="512pt,12pt" strokecolor="#009ddb" strokeweight="1.5pt">
            <v:stroke linestyle="single"/>
          </v:line>
        </w:pict>
      </w:r>
    </w:p>
    <w:p>
      <w:pPr>
        <w:spacing w:before="120" w:line="240" w:lineRule="atLeast"/>
        <w:ind w:firstLine="240"/>
        <w:rPr>
          <w:rFonts w:ascii="arial" w:eastAsia="arial" w:hAnsi="arial" w:cs="arial"/>
          <w:sz w:val="20"/>
          <w:lang w:val="en-US" w:eastAsia="en-US" w:bidi="ar-SA"/>
        </w:rPr>
      </w:pPr>
      <w:r>
        <w:rPr>
          <w:rFonts w:ascii="arial" w:eastAsia="arial" w:hAnsi="arial" w:cs="arial"/>
          <w:color w:val="000000"/>
          <w:sz w:val="18"/>
          <w:lang w:val="en-US" w:eastAsia="en-US" w:bidi="ar-SA"/>
        </w:rPr>
        <w:t xml:space="preserve">[Editor's note: Supplementary reasons for judgment were delivered November 17, 2004. See </w:t>
      </w:r>
      <w:hyperlink r:id="rId426" w:history="1">
        <w:r>
          <w:rPr>
            <w:rFonts w:ascii="arial" w:eastAsia="arial" w:hAnsi="arial" w:cs="arial"/>
            <w:i/>
            <w:color w:val="0077CC"/>
            <w:sz w:val="18"/>
            <w:u w:val="single"/>
            <w:shd w:val="clear" w:color="auto" w:fill="FFFFFF"/>
            <w:lang w:val="en-US" w:eastAsia="en-US" w:bidi="ar-SA"/>
          </w:rPr>
          <w:t>[2004] B.C.J. No. 2866</w:t>
        </w:r>
      </w:hyperlink>
      <w:r>
        <w:rPr>
          <w:rFonts w:ascii="arial" w:eastAsia="arial" w:hAnsi="arial" w:cs="arial"/>
          <w:color w:val="000000"/>
          <w:sz w:val="18"/>
          <w:lang w:val="en-US" w:eastAsia="en-US" w:bidi="ar-SA"/>
        </w:rPr>
        <w:t>.]</w:t>
      </w:r>
      <w:r>
        <w:rPr>
          <w:rFonts w:ascii="arial" w:eastAsia="arial" w:hAnsi="arial" w:cs="arial"/>
          <w:sz w:val="20"/>
          <w:lang w:val="en-US" w:eastAsia="en-US" w:bidi="ar-SA"/>
        </w:rPr>
        <w:cr/>
      </w:r>
    </w:p>
    <w:p>
      <w:pPr>
        <w:rPr>
          <w:rFonts w:ascii="arial" w:eastAsia="arial" w:hAnsi="arial" w:cs="arial"/>
          <w:sz w:val="20"/>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1437"/>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rFonts w:ascii="arial" w:eastAsia="arial" w:hAnsi="arial" w:cs="arial"/>
                <w:sz w:val="20"/>
                <w:lang w:val="en-US" w:eastAsia="en-US" w:bidi="ar-SA"/>
              </w:rPr>
            </w:pPr>
            <w:bookmarkStart w:id="115" w:name="COLE J."/>
            <w:bookmarkEnd w:id="115"/>
            <w:r>
              <w:rPr>
                <w:rFonts w:ascii="arial" w:eastAsia="arial" w:hAnsi="arial" w:cs="arial"/>
                <w:b/>
                <w:color w:val="000000"/>
                <w:sz w:val="30"/>
                <w:lang w:val="en-US" w:eastAsia="en-US" w:bidi="ar-SA"/>
              </w:rPr>
              <w:t>COLE J.</w:t>
            </w:r>
          </w:p>
        </w:tc>
      </w:tr>
    </w:tbl>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xml:space="preserve">   This is an application brought by the plaintiff for disclosure in a proceeding under the Class Proceedings Act, </w:t>
      </w:r>
      <w:r>
        <w:rPr>
          <w:rFonts w:ascii="arial" w:eastAsia="arial" w:hAnsi="arial" w:cs="arial"/>
          <w:i/>
          <w:color w:val="000000"/>
          <w:sz w:val="20"/>
          <w:lang w:val="en-US" w:eastAsia="en-US" w:bidi="ar-SA"/>
        </w:rPr>
        <w:t>R.S.B.C. 1996, c. 50</w:t>
      </w:r>
      <w:r>
        <w:rPr>
          <w:rFonts w:ascii="arial" w:eastAsia="arial" w:hAnsi="arial" w:cs="arial"/>
          <w:color w:val="000000"/>
          <w:sz w:val="20"/>
          <w:lang w:val="en-US" w:eastAsia="en-US" w:bidi="ar-SA"/>
        </w:rPr>
        <w:t>. The order sought is as follows:</w:t>
      </w:r>
      <w:r>
        <w:rPr>
          <w:rFonts w:ascii="arial" w:eastAsia="arial" w:hAnsi="arial" w:cs="arial"/>
          <w:sz w:val="20"/>
          <w:lang w:val="en-US" w:eastAsia="en-US" w:bidi="ar-SA"/>
        </w:rPr>
        <w:cr/>
      </w:r>
    </w:p>
    <w:p>
      <w:pPr>
        <w:numPr>
          <w:numId w:val="9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Defendant, Her Majesty the Queen in Right of British Columbia ("the Crown"), shall within twenty-one (21) days of pronouncement of this Order, produce and deliver to counsel for the Plaintiff, the full names, last known addresses, dates of birth, and any other information in the possession of the Crown which could assist in the location of the members of the class.</w:t>
      </w:r>
    </w:p>
    <w:p>
      <w:pPr>
        <w:numPr>
          <w:numId w:val="9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Crown shall provide the Plaintiff with the names of all foster children that were placed by the Crown with Mr. A.W.W. and the dates in which those foster children were in any home supervised by Mr. A.W.W. within twenty-one (21) days of this Order.</w:t>
      </w:r>
    </w:p>
    <w:p>
      <w:pPr>
        <w:numPr>
          <w:numId w:val="9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Unless the parties otherwise agree, the Crown shall within twenty-eight days (28) of the date of this Order, apply to the Court for an in camera review of the files of all of the members of the class, and the further former child-in-care, J.L.G., whose file makes reference to sexual abuse in the home, for determination by the Court of which documents, if any, must be produced to J.L.G.'s counsel. The Plaintiff will have liberty to apply for an Order regarding the name of the further former children-in-care whose file refers to sexual abuse in any of the homes supervised by A.W.W..</w:t>
      </w:r>
    </w:p>
    <w:p>
      <w:pPr>
        <w:numPr>
          <w:numId w:val="9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No one other than counsel for the parties, the parties themselves, and investigators acting on behalf of the parties shall contact the individuals described in these Reasons as members of the class, or disclose the names or contact information about anyone or more of them, to anyone other than a party to this action, their counsel, and their investigators, except with leave of the Court.</w:t>
      </w:r>
    </w:p>
    <w:p>
      <w:pPr>
        <w:numPr>
          <w:numId w:val="9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No person who is advised of the names or contact information for members of the class shall make use of the information obtained thereby except for the purposes of this action.</w:t>
      </w:r>
    </w:p>
    <w:p>
      <w:pPr>
        <w:numPr>
          <w:numId w:val="9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Plaintiff has liberty to apply for a further Order regarding documents in the files regarding the members of the class.</w:t>
      </w:r>
    </w:p>
    <w:p>
      <w:pPr>
        <w:numPr>
          <w:numId w:val="9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Crown shall provide the Plaintiff those portions of the files of members of the class which refer to abuse by Mr. A.W.W..</w:t>
      </w:r>
    </w:p>
    <w:p>
      <w:pPr>
        <w:numPr>
          <w:numId w:val="9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If sought by the Plaintiff, the Crown shall produce to the Plaintiff's counsel documents in the Plaintiff's file containing references to the Plaintiff's allegations of abuse.</w:t>
      </w:r>
    </w:p>
    <w:p>
      <w:pPr>
        <w:numPr>
          <w:numId w:val="9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If the names deleted from the Crown documents described above include the names of any of the members of the class, the Crown shall provide Plaintiff's counsel with copies including those names. If not, the Plaintiff has liberty to apply in respect of whether the other deleted names should be provided.</w:t>
      </w:r>
    </w:p>
    <w:p>
      <w:pPr>
        <w:numPr>
          <w:numId w:val="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Plaintiff is at liberty to apply for any further information regarding any members of the class who were former children-in-care in any foster home supervised by Mr. A.W.W..</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xml:space="preserve">  The defendant Her Majesty the Queen in Right of the Province of British Columbia ("the Crown") consents to the relief sought in paragraphs 3, 4, 5 and 10, and appears to take no issue with paragraph 6, but takes the position that the orders sought in paragraphs 1, 2, 7, 8 and 9 should be dismissed. The Crown's position is that the relief sought by the plaintiff fails to take into account the significant privacy issues engaged in a case involving former children in care. The Crown says: this application violates the two-step procedure for disclosure established by this Court in McGarva v. HMTQ, </w:t>
      </w:r>
      <w:hyperlink r:id="rId427" w:history="1">
        <w:r>
          <w:rPr>
            <w:rFonts w:ascii="arial" w:eastAsia="arial" w:hAnsi="arial" w:cs="arial"/>
            <w:i/>
            <w:color w:val="0077CC"/>
            <w:sz w:val="20"/>
            <w:u w:val="single"/>
            <w:shd w:val="clear" w:color="auto" w:fill="FFFFFF"/>
            <w:lang w:val="en-US" w:eastAsia="en-US" w:bidi="ar-SA"/>
          </w:rPr>
          <w:t>2003 BCSC 909</w:t>
        </w:r>
      </w:hyperlink>
      <w:r>
        <w:rPr>
          <w:rFonts w:ascii="arial" w:eastAsia="arial" w:hAnsi="arial" w:cs="arial"/>
          <w:color w:val="000000"/>
          <w:sz w:val="20"/>
          <w:lang w:val="en-US" w:eastAsia="en-US" w:bidi="ar-SA"/>
        </w:rPr>
        <w:t xml:space="preserve">, </w:t>
      </w:r>
      <w:hyperlink r:id="rId427" w:history="1">
        <w:r>
          <w:rPr>
            <w:rFonts w:ascii="arial" w:eastAsia="arial" w:hAnsi="arial" w:cs="arial"/>
            <w:i/>
            <w:color w:val="0077CC"/>
            <w:sz w:val="20"/>
            <w:u w:val="single"/>
            <w:shd w:val="clear" w:color="auto" w:fill="FFFFFF"/>
            <w:lang w:val="en-US" w:eastAsia="en-US" w:bidi="ar-SA"/>
          </w:rPr>
          <w:t>[2003] B.C.J. No. 1435</w:t>
        </w:r>
      </w:hyperlink>
      <w:r>
        <w:rPr>
          <w:rFonts w:ascii="arial" w:eastAsia="arial" w:hAnsi="arial" w:cs="arial"/>
          <w:color w:val="000000"/>
          <w:sz w:val="20"/>
          <w:lang w:val="en-US" w:eastAsia="en-US" w:bidi="ar-SA"/>
        </w:rPr>
        <w:t xml:space="preserve"> and amounts to a "fishing expedition"; and it is unnecessary and has no connection to the resolution of the common issues. The Crown also disputes the plaintiff's suggestion that the question of "overplacement" necessitates the disclosure.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BACKGROUND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On August 19, 2002, this action was certified as a class proceeding pursuant to the Class Proceedings Act, supra. The plaintiff, J.L.G., was appointed as a representative plaintiff for those individuals who came into the care of the Crown and were placed by the Crown in the care of A.W.W. and who were sexually abused by Mr. A.W.W..</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A number of common issues were certified, including the issue of whether the Crown breached the standard of care it owed to the members of the class between 1963 and 1987 by:</w:t>
      </w:r>
      <w:r>
        <w:rPr>
          <w:rFonts w:ascii="arial" w:eastAsia="arial" w:hAnsi="arial" w:cs="arial"/>
          <w:sz w:val="20"/>
          <w:lang w:val="en-US" w:eastAsia="en-US" w:bidi="ar-SA"/>
        </w:rPr>
        <w:cr/>
      </w:r>
    </w:p>
    <w:p>
      <w:pPr>
        <w:numPr>
          <w:numId w:val="3"/>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failing to adequately vet in the application process and in the hiring process of A.W.W.;</w:t>
      </w:r>
    </w:p>
    <w:p>
      <w:pPr>
        <w:numPr>
          <w:numId w:val="3"/>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failing to adequately monitor the conduct of A.W.W.; and</w:t>
      </w:r>
    </w:p>
    <w:p>
      <w:pPr>
        <w:numPr>
          <w:numId w:val="3"/>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failing to adequately investigate complaints made against A.W.W..</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This is referred to as "the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issue".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"OVERPLACEMENT"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xml:space="preserve">  Last year, the Supreme Court of Canada released the "trilogy" which consists of three cases relating to the issues raised in these proceedings: K.L.B. v. British Columbia, </w:t>
      </w:r>
      <w:hyperlink r:id="rId428" w:history="1">
        <w:r>
          <w:rPr>
            <w:rFonts w:ascii="arial" w:eastAsia="arial" w:hAnsi="arial" w:cs="arial"/>
            <w:i/>
            <w:color w:val="0077CC"/>
            <w:sz w:val="20"/>
            <w:u w:val="single"/>
            <w:shd w:val="clear" w:color="auto" w:fill="FFFFFF"/>
            <w:lang w:val="en-US" w:eastAsia="en-US" w:bidi="ar-SA"/>
          </w:rPr>
          <w:t>[2003] 2 S.C.R. 403</w:t>
        </w:r>
      </w:hyperlink>
      <w:r>
        <w:rPr>
          <w:rFonts w:ascii="arial" w:eastAsia="arial" w:hAnsi="arial" w:cs="arial"/>
          <w:color w:val="000000"/>
          <w:sz w:val="20"/>
          <w:lang w:val="en-US" w:eastAsia="en-US" w:bidi="ar-SA"/>
        </w:rPr>
        <w:t xml:space="preserve">, </w:t>
      </w:r>
      <w:hyperlink r:id="rId428" w:history="1">
        <w:r>
          <w:rPr>
            <w:rFonts w:ascii="arial" w:eastAsia="arial" w:hAnsi="arial" w:cs="arial"/>
            <w:i/>
            <w:color w:val="0077CC"/>
            <w:sz w:val="20"/>
            <w:u w:val="single"/>
            <w:shd w:val="clear" w:color="auto" w:fill="FFFFFF"/>
            <w:lang w:val="en-US" w:eastAsia="en-US" w:bidi="ar-SA"/>
          </w:rPr>
          <w:t>2003 SCC 51</w:t>
        </w:r>
      </w:hyperlink>
      <w:r>
        <w:rPr>
          <w:rFonts w:ascii="arial" w:eastAsia="arial" w:hAnsi="arial" w:cs="arial"/>
          <w:color w:val="000000"/>
          <w:sz w:val="20"/>
          <w:lang w:val="en-US" w:eastAsia="en-US" w:bidi="ar-SA"/>
        </w:rPr>
        <w:t xml:space="preserve">; M.B. v. British Columbia, </w:t>
      </w:r>
      <w:hyperlink r:id="rId429" w:history="1">
        <w:r>
          <w:rPr>
            <w:rFonts w:ascii="arial" w:eastAsia="arial" w:hAnsi="arial" w:cs="arial"/>
            <w:i/>
            <w:color w:val="0077CC"/>
            <w:sz w:val="20"/>
            <w:u w:val="single"/>
            <w:shd w:val="clear" w:color="auto" w:fill="FFFFFF"/>
            <w:lang w:val="en-US" w:eastAsia="en-US" w:bidi="ar-SA"/>
          </w:rPr>
          <w:t>[2003] 2 S.C.R. 477</w:t>
        </w:r>
      </w:hyperlink>
      <w:r>
        <w:rPr>
          <w:rFonts w:ascii="arial" w:eastAsia="arial" w:hAnsi="arial" w:cs="arial"/>
          <w:color w:val="000000"/>
          <w:sz w:val="20"/>
          <w:lang w:val="en-US" w:eastAsia="en-US" w:bidi="ar-SA"/>
        </w:rPr>
        <w:t xml:space="preserve">, </w:t>
      </w:r>
      <w:hyperlink r:id="rId429" w:history="1">
        <w:r>
          <w:rPr>
            <w:rFonts w:ascii="arial" w:eastAsia="arial" w:hAnsi="arial" w:cs="arial"/>
            <w:i/>
            <w:color w:val="0077CC"/>
            <w:sz w:val="20"/>
            <w:u w:val="single"/>
            <w:shd w:val="clear" w:color="auto" w:fill="FFFFFF"/>
            <w:lang w:val="en-US" w:eastAsia="en-US" w:bidi="ar-SA"/>
          </w:rPr>
          <w:t>2003 SCC 53</w:t>
        </w:r>
      </w:hyperlink>
      <w:r>
        <w:rPr>
          <w:rFonts w:ascii="arial" w:eastAsia="arial" w:hAnsi="arial" w:cs="arial"/>
          <w:color w:val="000000"/>
          <w:sz w:val="20"/>
          <w:lang w:val="en-US" w:eastAsia="en-US" w:bidi="ar-SA"/>
        </w:rPr>
        <w:t xml:space="preserve">; and E.D.G. v. Hammer, </w:t>
      </w:r>
      <w:hyperlink r:id="rId430" w:history="1">
        <w:r>
          <w:rPr>
            <w:rFonts w:ascii="arial" w:eastAsia="arial" w:hAnsi="arial" w:cs="arial"/>
            <w:i/>
            <w:color w:val="0077CC"/>
            <w:sz w:val="20"/>
            <w:u w:val="single"/>
            <w:shd w:val="clear" w:color="auto" w:fill="FFFFFF"/>
            <w:lang w:val="en-US" w:eastAsia="en-US" w:bidi="ar-SA"/>
          </w:rPr>
          <w:t>[2003] 2 S.C.R. 459</w:t>
        </w:r>
      </w:hyperlink>
      <w:r>
        <w:rPr>
          <w:rFonts w:ascii="arial" w:eastAsia="arial" w:hAnsi="arial" w:cs="arial"/>
          <w:color w:val="000000"/>
          <w:sz w:val="20"/>
          <w:lang w:val="en-US" w:eastAsia="en-US" w:bidi="ar-SA"/>
        </w:rPr>
        <w:t xml:space="preserve">, </w:t>
      </w:r>
      <w:hyperlink r:id="rId430" w:history="1">
        <w:r>
          <w:rPr>
            <w:rFonts w:ascii="arial" w:eastAsia="arial" w:hAnsi="arial" w:cs="arial"/>
            <w:i/>
            <w:color w:val="0077CC"/>
            <w:sz w:val="20"/>
            <w:u w:val="single"/>
            <w:shd w:val="clear" w:color="auto" w:fill="FFFFFF"/>
            <w:lang w:val="en-US" w:eastAsia="en-US" w:bidi="ar-SA"/>
          </w:rPr>
          <w:t>2003 SCC 52</w:t>
        </w:r>
      </w:hyperlink>
      <w:r>
        <w:rPr>
          <w:rFonts w:ascii="arial" w:eastAsia="arial" w:hAnsi="arial" w:cs="arial"/>
          <w:color w:val="000000"/>
          <w:sz w:val="20"/>
          <w:lang w:val="en-US" w:eastAsia="en-US" w:bidi="ar-SA"/>
        </w:rPr>
        <w:t xml:space="preserve">. In K.L.B., Chief Justice McLachlin for the majority considered direct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by the government in terms of liability for the tortious conduct of foster parents towards children whom the government had placed under their care. In determining that there was direct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by the government, McLachlin C.J. defined the duty that the government had to place children in adequate foster homes and to supervise their stay. In determining that the duty had been breached and that the Crown was negligent, one of the factors that the majority found persuasive was that the foster home was "overplaced" ([paragraph] 16). Another factor of significance was that social workers visited the home only infrequently, given that the foster homes were overplaced and had a documented history of breach.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One of the issues that the plaintiff wants to pursue is whether the Crown was negligent in placing too many children with Mr. A.W.W., given the number of children in the home and the condition of the children who were placed there. Many of the placements included children with special needs. Consequently, the plaintiff wants to know the names of all persons placed in the W. foster home at any given time, and the needs of each of the children in the home, to determine if any placement was negligent.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xml:space="preserve">  In the K.L.B. case, however, the allegations were almost exclusively with respect to neglect and the physical mistreatment of the children. Here, the only real issue in respect to the treatment of the children is sexual abuse. In my view, there is only a tenuous connection between overplacement of children in a foster home and the incidence of sexual abuse. In any event, the Crown has admitted that sexual abuse in [paragraph] 8 of the statement of defence. Furthermore, the Crown has already provided a listing of all the children placed in the W. home, with the initials listed instead of the full names, and the dates of the placements. I also note that the plaintiff has not plead the issue of overplacement as part of his claim in respect to the issue of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although that alone is not determinative of the issue. However, I am satisfied that at this time the plaintiff is not entitled to any further disclosure in respect to the matter of overplacement.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THE TWO-STEP PROCEDURE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The Crown opposes the relief sought in paragraphs 1, 2 and 9 of the draft order because the Crown says such relief violates the two-step procedure for discovery established by McGarva, supra; it amounts to a "fishing expedition"; and it is unnecessary and has no connection to the resolution of the common issues.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xml:space="preserve">  Section 75 of the Child, Family and Community Service Act, </w:t>
      </w:r>
      <w:r>
        <w:rPr>
          <w:rFonts w:ascii="arial" w:eastAsia="arial" w:hAnsi="arial" w:cs="arial"/>
          <w:i/>
          <w:color w:val="000000"/>
          <w:sz w:val="20"/>
          <w:lang w:val="en-US" w:eastAsia="en-US" w:bidi="ar-SA"/>
        </w:rPr>
        <w:t>R.S.B.C. 1996, c. 46</w:t>
      </w:r>
      <w:r>
        <w:rPr>
          <w:rFonts w:ascii="arial" w:eastAsia="arial" w:hAnsi="arial" w:cs="arial"/>
          <w:color w:val="000000"/>
          <w:sz w:val="20"/>
          <w:lang w:val="en-US" w:eastAsia="en-US" w:bidi="ar-SA"/>
        </w:rPr>
        <w:t>, prohibits the disclosure of information obtained under that Act, but provides for exceptions. The relevant exception is contained in s. 79 which provides for disclosure pursuant to an "order of a court to be made to a party to a proceeding". The Act does not specify the considerations relevant to the exercise of the course of discretion. However, I am satisfied that what is required on this type of application to balance competing interests. The two competing interests are the privacy rights of former children in care and the plaintiff's right to documents relevant to his case.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xml:space="preserve">  There is no authority directly relevant to the application before the Court because the relevant case law does not deal with a certified class action. However, it is generally recognized that the former children in care have an interest in a high degree of confidentiality in the records. For instance, in V.F. v. British Columbia (Superintendant of Family and Child Service) </w:t>
      </w:r>
      <w:hyperlink r:id="rId431" w:history="1">
        <w:r>
          <w:rPr>
            <w:rFonts w:ascii="arial" w:eastAsia="arial" w:hAnsi="arial" w:cs="arial"/>
            <w:i/>
            <w:color w:val="0077CC"/>
            <w:sz w:val="20"/>
            <w:u w:val="single"/>
            <w:shd w:val="clear" w:color="auto" w:fill="FFFFFF"/>
            <w:lang w:val="en-US" w:eastAsia="en-US" w:bidi="ar-SA"/>
          </w:rPr>
          <w:t>(1993), 86 B.C.L.R. (2d) 314</w:t>
        </w:r>
      </w:hyperlink>
      <w:r>
        <w:rPr>
          <w:rFonts w:ascii="arial" w:eastAsia="arial" w:hAnsi="arial" w:cs="arial"/>
          <w:color w:val="000000"/>
          <w:sz w:val="20"/>
          <w:lang w:val="en-US" w:eastAsia="en-US" w:bidi="ar-SA"/>
        </w:rPr>
        <w:t xml:space="preserve">, </w:t>
      </w:r>
      <w:hyperlink r:id="rId431" w:history="1">
        <w:r>
          <w:rPr>
            <w:rFonts w:ascii="arial" w:eastAsia="arial" w:hAnsi="arial" w:cs="arial"/>
            <w:i/>
            <w:color w:val="0077CC"/>
            <w:sz w:val="20"/>
            <w:u w:val="single"/>
            <w:shd w:val="clear" w:color="auto" w:fill="FFFFFF"/>
            <w:lang w:val="en-US" w:eastAsia="en-US" w:bidi="ar-SA"/>
          </w:rPr>
          <w:t>[1993] B.C.J. No. 2588</w:t>
        </w:r>
      </w:hyperlink>
      <w:r>
        <w:rPr>
          <w:rFonts w:ascii="arial" w:eastAsia="arial" w:hAnsi="arial" w:cs="arial"/>
          <w:color w:val="000000"/>
          <w:sz w:val="20"/>
          <w:lang w:val="en-US" w:eastAsia="en-US" w:bidi="ar-SA"/>
        </w:rPr>
        <w:t xml:space="preserve"> (S.C.), Esson C.J.S.C. (as he then was) stated at [paragraph] 7:</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 accept that the relationship between the Superintendent and the ward is one of trust and that, in the nature of things, the kind of information recorded in the file will include matters of great sensitivity arising at a difficult time in the life of the ward. It follows that, so far as reasonably possible, the ward is entitled to be protected against the hurt and damage which may ensue from disclosure of these matters. It is entirely proper for the Superintendent to make no voluntary disclosure and, in responding to the subpoena, to raise objections based on relevancy and/or privilege, to the end that there will be no unnecessary disclosure.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xml:space="preserve">  In McGarva v. HMTQ, supra, the plaintiff sued the Crown for alleged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breach of fiduciary duty, and vicarious liability for abuse and neglect by her foster parents. She sought an order requiring the Crown to provide the names, locating information and documents to her because she wanted to locate other former foster children who may have witnessed the alleged abuse or who may have suffered similar abuse from the foster parents. Madam Justice Gray in McGarva considered the two-step process for reviewing disclosure of information in child protection files that was set out in Brooks v. H.M.T.Q. (29 June 1999), Vancouver Registry C970404 (B.C.S.C.) at [paragraph] 14-29. The first step is an order that the Crown produce for inspection by a judge or master of the Court the child in care files or other files and information in the Crown's possession dealing with complaints which had been made by the children about the alleged wrong-doers. After reviewing the files or documents while keeping the privacy interests in mind, the judge or master may direct disclosure of documents or portions of documents considered relevant. At the second stage, once plaintiff's counsel has had an opportunity to review those documents produced, they may make a further application for the disclosure of the names. Gray J. summarized the Court's task in applications such as this, at [paragraph] 29:</w:t>
      </w:r>
      <w:r>
        <w:rPr>
          <w:rFonts w:ascii="arial" w:eastAsia="arial" w:hAnsi="arial" w:cs="arial"/>
          <w:sz w:val="20"/>
          <w:lang w:val="en-US" w:eastAsia="en-US" w:bidi="ar-SA"/>
        </w:rPr>
        <w:cr/>
      </w:r>
    </w:p>
    <w:p>
      <w:pPr>
        <w:numPr>
          <w:numId w:val="4"/>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If the evidence is adequate to enable the balancing of the interests, the court may order the Crown to produce names and addresses and documents;</w:t>
      </w:r>
    </w:p>
    <w:p>
      <w:pPr>
        <w:numPr>
          <w:numId w:val="4"/>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If the evidence is insufficient to enable the balancing of the interests, the court may order the Crown to provide further evidence, either following the two-step procedure or specifically requesting some information; and</w:t>
      </w:r>
    </w:p>
    <w:p>
      <w:pPr>
        <w:numPr>
          <w:numId w:val="4"/>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Where the court concludes that the request is merely a "fishing expedition", the court will dismiss the application.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xml:space="preserve">  In Doyle v. HMTQ and Hart et al, </w:t>
      </w:r>
      <w:hyperlink r:id="rId432" w:history="1">
        <w:r>
          <w:rPr>
            <w:rFonts w:ascii="arial" w:eastAsia="arial" w:hAnsi="arial" w:cs="arial"/>
            <w:i/>
            <w:color w:val="0077CC"/>
            <w:sz w:val="20"/>
            <w:u w:val="single"/>
            <w:shd w:val="clear" w:color="auto" w:fill="FFFFFF"/>
            <w:lang w:val="en-US" w:eastAsia="en-US" w:bidi="ar-SA"/>
          </w:rPr>
          <w:t>2001 BCSC 262</w:t>
        </w:r>
      </w:hyperlink>
      <w:r>
        <w:rPr>
          <w:rFonts w:ascii="arial" w:eastAsia="arial" w:hAnsi="arial" w:cs="arial"/>
          <w:color w:val="000000"/>
          <w:sz w:val="20"/>
          <w:lang w:val="en-US" w:eastAsia="en-US" w:bidi="ar-SA"/>
        </w:rPr>
        <w:t xml:space="preserve">, </w:t>
      </w:r>
      <w:hyperlink r:id="rId432" w:history="1">
        <w:r>
          <w:rPr>
            <w:rFonts w:ascii="arial" w:eastAsia="arial" w:hAnsi="arial" w:cs="arial"/>
            <w:i/>
            <w:color w:val="0077CC"/>
            <w:sz w:val="20"/>
            <w:u w:val="single"/>
            <w:shd w:val="clear" w:color="auto" w:fill="FFFFFF"/>
            <w:lang w:val="en-US" w:eastAsia="en-US" w:bidi="ar-SA"/>
          </w:rPr>
          <w:t>[2001] B.C.J. No. 2837</w:t>
        </w:r>
      </w:hyperlink>
      <w:r>
        <w:rPr>
          <w:rFonts w:ascii="arial" w:eastAsia="arial" w:hAnsi="arial" w:cs="arial"/>
          <w:color w:val="000000"/>
          <w:sz w:val="20"/>
          <w:lang w:val="en-US" w:eastAsia="en-US" w:bidi="ar-SA"/>
        </w:rPr>
        <w:t>, potential witnesses to the plaintiff's allegations of physical abuse had been children in care at the same foster home as the plaintiff. The Court ordered that the Crown produce the addresses and telephone numbers of those two potential witnesses. Mr. Justice Lander concluded that he could disregard the first step of the two-step protocol because the requisite relevance had been shown. At [paragraph] 19, he stated: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Once it is shown that any person was present in the foster homes at the relevant times then that person is a potential witness in the actions and therefore I am of the view the plaintiffs' applications are not a "fishing expedition."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In this case, since it is questionable what evidence the children in care could actually provide that would be relevant to the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issue", and since the sexual abuse is admitted, it would not be proper in my view to release the names and addresses of these individuals on the basis that they may be potential witnesses.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The Crown in this case has inadvertently produced a list of 29 names to the plaintiff, and the police records have been released by a Court order which contains the names of a number of children in care. In respect to the list of 29 names inadvertently produced, it is my view that the inadvertent production does not waive the privacy rights of those 29 named individuals and that on the material before me, their privacy rights prevail over the right of the plaintiff and I decline to order the production of their names or addresses. However, in respect to the names of the children contained in the police records, and since they have provided information concerning sexual abuse allegations, I am satisfied that they have in essence waived their privacy rights and I order that the Crown provide the full names and the last known addresses of those individuals.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w:t>
      </w:r>
      <w:r>
        <w:rPr>
          <w:rFonts w:ascii="arial" w:eastAsia="arial" w:hAnsi="arial" w:cs="arial"/>
          <w:color w:val="000000"/>
          <w:sz w:val="20"/>
          <w:lang w:val="en-US" w:eastAsia="en-US" w:bidi="ar-SA"/>
        </w:rPr>
        <w:t>  In respect to the balance of disclosure requested by the plaintiff, I am satisfied that the only way to properly protect the privacy rights of former children in the care of the Crown is to ensure that the two-step process outlined in McGarva, supra, is carried out. Therefore, the relief sought in paragraphs 1 and 2 is not granted.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CONCLUSION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w:t>
      </w:r>
      <w:r>
        <w:rPr>
          <w:rFonts w:ascii="arial" w:eastAsia="arial" w:hAnsi="arial" w:cs="arial"/>
          <w:color w:val="000000"/>
          <w:sz w:val="20"/>
          <w:lang w:val="en-US" w:eastAsia="en-US" w:bidi="ar-SA"/>
        </w:rPr>
        <w:t>  Paragraphs 3, 4, 5, 6 and 10 will go by way of consent with the following modifications. Paragraphs 7 and 9 will be incorporated into paragraph 3 so that any additional production required by those paragraphs applies only to those documents that come through the filtering process in paragraph 3.</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w:t>
      </w:r>
      <w:r>
        <w:rPr>
          <w:rFonts w:ascii="arial" w:eastAsia="arial" w:hAnsi="arial" w:cs="arial"/>
          <w:color w:val="000000"/>
          <w:sz w:val="20"/>
          <w:lang w:val="en-US" w:eastAsia="en-US" w:bidi="ar-SA"/>
        </w:rPr>
        <w:t>  In order to protect confidentiality, the following terms should also be inserted in paragraph 3:</w:t>
      </w:r>
      <w:r>
        <w:rPr>
          <w:rFonts w:ascii="arial" w:eastAsia="arial" w:hAnsi="arial" w:cs="arial"/>
          <w:sz w:val="20"/>
          <w:lang w:val="en-US" w:eastAsia="en-US" w:bidi="ar-SA"/>
        </w:rPr>
        <w:cr/>
      </w:r>
    </w:p>
    <w:p>
      <w:pPr>
        <w:numPr>
          <w:numId w:val="5"/>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no one other than counsel of the parties may inspect the documents produced pursuant to this order without leave of the Court;</w:t>
      </w:r>
    </w:p>
    <w:p>
      <w:pPr>
        <w:numPr>
          <w:numId w:val="5"/>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no one who inspects the documents or is informed of their contents shall disclose the contents to anyone other than a party to this action or an expert witness, except with leave of the Court; and</w:t>
      </w:r>
    </w:p>
    <w:p>
      <w:pPr>
        <w:numPr>
          <w:numId w:val="5"/>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no one who inspects the documents or is informed of their contents shall make use of the information obtained thereby, except for the purpose of this action.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w:t>
      </w:r>
      <w:r>
        <w:rPr>
          <w:rFonts w:ascii="arial" w:eastAsia="arial" w:hAnsi="arial" w:cs="arial"/>
          <w:color w:val="000000"/>
          <w:sz w:val="20"/>
          <w:lang w:val="en-US" w:eastAsia="en-US" w:bidi="ar-SA"/>
        </w:rPr>
        <w:t>  The Crown is not required to make a fresh application to have its files reviewed, that matter can take place before a master or judge of this Court.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w:t>
      </w:r>
      <w:r>
        <w:rPr>
          <w:rFonts w:ascii="arial" w:eastAsia="arial" w:hAnsi="arial" w:cs="arial"/>
          <w:color w:val="000000"/>
          <w:sz w:val="20"/>
          <w:lang w:val="en-US" w:eastAsia="en-US" w:bidi="ar-SA"/>
        </w:rPr>
        <w:t>  In respect to paragraph 8, the defendant does not specifically deal with the basis of its objection to that particular paragraph. Surely, it is the right of the plaintiff to have copies of his complete file (for instance under s. 76 of the Child, Family and Community Service Act, supra) and I grant the order sought in paragraph 8.</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COLE J.</w:t>
      </w:r>
      <w:r>
        <w:rPr>
          <w:rFonts w:ascii="arial" w:eastAsia="arial" w:hAnsi="arial" w:cs="arial"/>
          <w:sz w:val="20"/>
          <w:lang w:val="en-US" w:eastAsia="en-US" w:bidi="ar-SA"/>
        </w:rPr>
        <w:cr/>
      </w:r>
    </w:p>
    <w:p>
      <w:pPr>
        <w:rPr>
          <w:rFonts w:ascii="arial" w:eastAsia="arial" w:hAnsi="arial" w:cs="arial"/>
          <w:sz w:val="20"/>
          <w:lang w:val="en-US" w:eastAsia="en-US" w:bidi="ar-SA"/>
        </w:rPr>
      </w:pPr>
    </w:p>
    <w:p>
      <w:pPr>
        <w:ind w:left="200"/>
        <w:rPr>
          <w:rFonts w:ascii="arial" w:eastAsia="arial" w:hAnsi="arial" w:cs="arial"/>
          <w:sz w:val="20"/>
          <w:lang w:val="en-US" w:eastAsia="en-US" w:bidi="ar-SA"/>
        </w:rPr>
        <w:sectPr>
          <w:type w:val="continuous"/>
          <w:pgMar w:top="840" w:right="1000" w:bottom="840" w:left="1000" w:header="400" w:footer="400"/>
          <w:pgNumType w:fmt="decimal"/>
          <w:cols w:space="720"/>
        </w:sectPr>
      </w:pPr>
      <w:r>
        <w:rPr>
          <w:rFonts w:ascii="arial" w:eastAsia="arial" w:hAnsi="arial" w:cs="arial"/>
          <w:sz w:val="20"/>
          <w:lang w:val="en-US" w:eastAsia="en-US" w:bidi="ar-SA"/>
        </w:rPr>
        <w:br/>
      </w:r>
      <w:r>
        <w:pict>
          <v:line id="_x0000_s1116" style="position:absolute;z-index:251873280" from="0,10pt" to="512pt,10pt" strokecolor="black" strokeweight="1pt">
            <v:stroke linestyle="single"/>
          </v:line>
        </w:pict>
      </w:r>
      <w:r>
        <w:rPr>
          <w:b/>
          <w:color w:val="767676"/>
          <w:sz w:val="16"/>
          <w:lang w:val="en-US" w:eastAsia="en-US" w:bidi="ar-SA"/>
        </w:rPr>
        <w:t>End of Document</w:t>
      </w:r>
    </w:p>
    <w:p>
      <w:pPr>
        <w:rPr>
          <w:rFonts w:ascii="arial" w:eastAsia="arial" w:hAnsi="arial" w:cs="arial"/>
          <w:sz w:val="20"/>
          <w:lang w:val="en-US" w:eastAsia="en-US" w:bidi="ar-SA"/>
        </w:rPr>
        <w:sectPr>
          <w:headerReference w:type="even" r:id="rId433"/>
          <w:headerReference w:type="default" r:id="rId434"/>
          <w:footerReference w:type="even" r:id="rId435"/>
          <w:footerReference w:type="default" r:id="rId436"/>
          <w:headerReference w:type="first" r:id="rId437"/>
          <w:footerReference w:type="first" r:id="rId438"/>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eastAsia="arial" w:hAnsi="Arial" w:cs="Arial"/>
          <w:b/>
          <w:bCs/>
          <w:kern w:val="32"/>
          <w:sz w:val="32"/>
          <w:szCs w:val="32"/>
          <w:lang w:val="en-US" w:eastAsia="en-US" w:bidi="ar-SA"/>
        </w:rPr>
      </w:pPr>
      <w:hyperlink r:id="rId439" w:history="1">
        <w:r>
          <w:rPr>
            <w:rFonts w:ascii="arial" w:eastAsia="arial" w:hAnsi="arial" w:cs="arial"/>
            <w:b/>
            <w:bCs/>
            <w:i/>
            <w:color w:val="0077CC"/>
            <w:kern w:val="32"/>
            <w:sz w:val="28"/>
            <w:szCs w:val="32"/>
            <w:u w:val="single"/>
            <w:shd w:val="clear" w:color="auto" w:fill="FFFFFF"/>
            <w:lang w:val="en-US" w:eastAsia="en-US" w:bidi="ar-SA"/>
          </w:rPr>
          <w:t>Gordon v. Krieg, [2011] B.C.J. No. 1304</w:t>
        </w:r>
      </w:hyperlink>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Judgments</w:t>
      </w:r>
    </w:p>
    <w:p>
      <w:pPr>
        <w:rPr>
          <w:rFonts w:ascii="arial" w:eastAsia="arial" w:hAnsi="arial" w:cs="arial"/>
          <w:sz w:val="20"/>
          <w:lang w:val="en-US" w:eastAsia="en-US" w:bidi="ar-SA"/>
        </w:rPr>
      </w:pP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Vernon, British Columbia</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Master R. McDiarmid</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Heard: June 28, 2011.</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Judgment: July 8, 2011.</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Docket: 42218</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Registry: Vernon</w:t>
      </w:r>
    </w:p>
    <w:p>
      <w:pPr>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r>
        <w:rPr>
          <w:rFonts w:ascii="arial" w:eastAsia="arial" w:hAnsi="arial" w:cs="arial"/>
          <w:b/>
          <w:color w:val="000000"/>
          <w:sz w:val="20"/>
          <w:lang w:val="en-US" w:eastAsia="en-US" w:bidi="ar-SA"/>
        </w:rPr>
        <w:t>[2011] B.C.J. No. 1304</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2011 BCSC 916</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2011 CarswellBC 1825</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205 A.C.W.S. (3d) 91</w:t>
      </w:r>
    </w:p>
    <w:p>
      <w:pPr>
        <w:spacing w:before="120" w:line="260" w:lineRule="atLeast"/>
        <w:rPr>
          <w:rFonts w:ascii="arial" w:eastAsia="arial" w:hAnsi="arial" w:cs="arial"/>
          <w:sz w:val="20"/>
          <w:lang w:val="en-US" w:eastAsia="en-US" w:bidi="ar-SA"/>
        </w:rPr>
      </w:pPr>
      <w:r>
        <w:rPr>
          <w:rFonts w:ascii="arial" w:eastAsia="arial" w:hAnsi="arial" w:cs="arial"/>
          <w:color w:val="000000"/>
          <w:sz w:val="20"/>
          <w:lang w:val="en-US" w:eastAsia="en-US" w:bidi="ar-SA"/>
        </w:rPr>
        <w:t>Between Elizabeth Ann Gordon, Plaintiff, and William Krieg, Kathleen Anne Krieg, Wolfram Oscar Krieg, Norwich Real Estate Services Inc., David Kilby, Craig Rodney Hostland, R 340 Enterprises Ltd. dba Pillar To Post, R 340 Enterprises Ltd., Claire Fillion, A-1 Appraisals Ltd., Defendants</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(94 paras.)</w:t>
      </w:r>
    </w:p>
    <w:p>
      <w:pPr>
        <w:keepNext/>
        <w:spacing w:before="12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Case Summary</w:t>
      </w:r>
    </w:p>
    <w:p>
      <w:pPr>
        <w:spacing w:line="60" w:lineRule="exact"/>
        <w:rPr>
          <w:rFonts w:ascii="arial" w:eastAsia="arial" w:hAnsi="arial" w:cs="arial"/>
          <w:sz w:val="20"/>
          <w:lang w:val="en-US" w:eastAsia="en-US" w:bidi="ar-SA"/>
        </w:rPr>
      </w:pPr>
      <w:r>
        <w:pict>
          <v:line id="_x0000_s1117" style="position:absolute;z-index:251677696"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bookmarkStart w:id="116" w:name="Keywords_17"/>
      <w:bookmarkEnd w:id="116"/>
      <w:r>
        <w:rPr>
          <w:rFonts w:ascii="arial" w:eastAsia="arial" w:hAnsi="arial" w:cs="arial"/>
          <w:b/>
          <w:color w:val="000000"/>
          <w:sz w:val="20"/>
          <w:lang w:val="en-US" w:eastAsia="en-US" w:bidi="ar-SA"/>
        </w:rPr>
        <w:t>Civil litigation — Civil procedure — Parties — Third party procedure — Notice — Leave — Application by three sets of defendants for leave to file third party notice against parties involved with planning and construction of property dismissed — Plaintiff purchased property in question and claimed defendants made misrepresentations and breached contract by not disclosing structural issues and pre-existing settlement of property — Plaintiff was claiming failure to disclose settlement, which proposed third parties had no role in, not claiming loss relating to settling of property — Adding third parties would be substantially prejudicial as it would change focus of action to inquiry into who caused structural problems.</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Real property law — Sale of land — Misrepresentation — Negligent misrepresentation — Application by three sets of defendants for leave to file third party notice against parties involved with planning and construction of property dismissed — Plaintiff purchased property in question and claimed defendants made misrepresentations and breached contract by not disclosing structural issues and pre-existing settlement of property — Plaintiff was claiming failure to disclose settlement, which proposed third parties had no role in, not claiming loss relating to settling of property — Adding third parties would be substantially prejudicial as it would change focus of action to inquiry into who caused structural problems.</w:t>
      </w:r>
    </w:p>
    <w:p>
      <w:pPr>
        <w:rPr>
          <w:rFonts w:ascii="arial" w:eastAsia="arial" w:hAnsi="arial" w:cs="arial"/>
          <w:sz w:val="20"/>
          <w:lang w:val="en-US" w:eastAsia="en-US" w:bidi="ar-SA"/>
        </w:rPr>
      </w:pPr>
    </w:p>
    <w:tbl>
      <w:tblPr>
        <w:tblStyle w:val="TableNormal"/>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
      <w:tblGrid>
        <w:gridCol w:w="10225"/>
      </w:tblGrid>
      <w:tr>
        <w:tblPrEx>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Ex>
        <w:tc>
          <w:tcPr/>
          <w:p>
            <w:pPr>
              <w:rPr>
                <w:rFonts w:ascii="arial" w:eastAsia="arial" w:hAnsi="arial" w:cs="arial"/>
                <w:sz w:val="20"/>
                <w:lang w:val="en-US" w:eastAsia="en-US" w:bidi="ar-SA"/>
              </w:rPr>
            </w:pPr>
            <w:bookmarkStart w:id="117" w:name="Case Summary_16"/>
            <w:bookmarkEnd w:id="117"/>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Application by three sets of defendants for leave to file third party notice against parties who were involved in planning and construction of property in question. The plaintiff now owned the property in question and commenced the action in respect of her purchase of the property. The plaintiff claimed the defendants made misrepresentations and committed breach of contract by failing to disclose structural damage and settlement of the property. The plaintiff alleged settlement had occurred prior to the transaction and had worsened since the purchase. </w:t>
            </w:r>
            <w:r>
              <w:rPr>
                <w:rFonts w:ascii="arial" w:eastAsia="arial" w:hAnsi="arial" w:cs="arial"/>
                <w:sz w:val="20"/>
                <w:lang w:val="en-US" w:eastAsia="en-US" w:bidi="ar-SA"/>
              </w:rPr>
              <w:cr/>
            </w:r>
          </w:p>
          <w:p>
            <w:pPr>
              <w:spacing w:before="120" w:line="260" w:lineRule="atLeast"/>
              <w:ind w:left="240"/>
              <w:jc w:val="both"/>
              <w:rPr>
                <w:rFonts w:ascii="arial" w:eastAsia="arial" w:hAnsi="arial" w:cs="arial"/>
                <w:sz w:val="20"/>
                <w:lang w:val="en-US" w:eastAsia="en-US" w:bidi="ar-SA"/>
              </w:rPr>
            </w:pPr>
            <w:bookmarkStart w:id="118" w:name="Holdings of Court_12"/>
            <w:bookmarkEnd w:id="118"/>
            <w:r>
              <w:rPr>
                <w:rFonts w:ascii="arial" w:eastAsia="arial" w:hAnsi="arial" w:cs="arial"/>
                <w:color w:val="000000"/>
                <w:sz w:val="20"/>
                <w:lang w:val="en-US" w:eastAsia="en-US" w:bidi="ar-SA"/>
              </w:rPr>
              <w:t>HELD: Application dismissed.</w:t>
            </w:r>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The proposed third parties were involved with the property at least 15 years before the events giving rise to this claim. The plaintiff was not claiming loss relating to the settlement of the property. The plaintiff was claiming loss relating to the defendants' failure to disclose the pre-existing settlement. The defendants were not entitled to any contribution or indemnity from parties involved in the planning and construction of the property. Adding the proposed third parties would be substantially prejudicial to the plaintiff as it would change the focus of her action into an inquiry into who caused the problems. This would add complexity and cost and force the plaintiff to participate in fundamentally different proceedings. Furthermore, the matter was set for trial in two months, so the defendants had unreasonably delayed in bringing their applications. </w:t>
            </w:r>
            <w:r>
              <w:rPr>
                <w:rFonts w:ascii="arial" w:eastAsia="arial" w:hAnsi="arial" w:cs="arial"/>
                <w:sz w:val="20"/>
                <w:lang w:val="en-US" w:eastAsia="en-US" w:bidi="ar-SA"/>
              </w:rPr>
              <w:cr/>
            </w:r>
          </w:p>
          <w:p>
            <w:pPr>
              <w:rPr>
                <w:rFonts w:ascii="arial" w:eastAsia="arial" w:hAnsi="arial" w:cs="arial"/>
                <w:sz w:val="20"/>
                <w:lang w:val="en-US" w:eastAsia="en-US" w:bidi="ar-SA"/>
              </w:rPr>
            </w:pPr>
          </w:p>
        </w:tc>
      </w:tr>
    </w:tbl>
    <w:p>
      <w:pPr>
        <w:jc w:val="both"/>
        <w:rPr>
          <w:rFonts w:ascii="arial" w:eastAsia="arial" w:hAnsi="arial" w:cs="arial"/>
          <w:sz w:val="20"/>
          <w:lang w:val="en-US" w:eastAsia="en-US" w:bidi="ar-SA"/>
        </w:rPr>
      </w:pPr>
      <w:bookmarkStart w:id="119" w:name="Legislation Cited_12"/>
      <w:bookmarkEnd w:id="119"/>
      <w:r>
        <w:rPr>
          <w:rFonts w:ascii="arial" w:eastAsia="arial" w:hAnsi="arial" w:cs="arial"/>
          <w:sz w:val="20"/>
          <w:lang w:val="en-US" w:eastAsia="en-US" w:bidi="ar-SA"/>
        </w:rPr>
        <w:br/>
      </w:r>
    </w:p>
    <w:p>
      <w:pPr>
        <w:keepNext/>
        <w:spacing w:before="24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Statutes, Regulations and Rules Cited:</w:t>
      </w:r>
    </w:p>
    <w:p>
      <w:pPr>
        <w:spacing w:line="60" w:lineRule="exact"/>
        <w:rPr>
          <w:rFonts w:ascii="arial" w:eastAsia="arial" w:hAnsi="arial" w:cs="arial"/>
          <w:sz w:val="20"/>
          <w:lang w:val="en-US" w:eastAsia="en-US" w:bidi="ar-SA"/>
        </w:rPr>
      </w:pPr>
      <w:r>
        <w:pict>
          <v:line id="_x0000_s1118" style="position:absolute;z-index:251728896"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Act, </w:t>
      </w:r>
      <w:hyperlink r:id="rId440" w:history="1">
        <w:r>
          <w:rPr>
            <w:rFonts w:ascii="arial" w:eastAsia="arial" w:hAnsi="arial" w:cs="arial"/>
            <w:i/>
            <w:color w:val="0077CC"/>
            <w:sz w:val="20"/>
            <w:u w:val="single"/>
            <w:shd w:val="clear" w:color="auto" w:fill="FFFFFF"/>
            <w:lang w:val="en-US" w:eastAsia="en-US" w:bidi="ar-SA"/>
          </w:rPr>
          <w:t>RSBC 1996, CHAPTER 333, s. 4</w:t>
        </w:r>
      </w:hyperlink>
      <w:r>
        <w:rPr>
          <w:rFonts w:ascii="arial" w:eastAsia="arial" w:hAnsi="arial" w:cs="arial"/>
          <w:color w:val="000000"/>
          <w:sz w:val="20"/>
          <w:lang w:val="en-US" w:eastAsia="en-US" w:bidi="ar-SA"/>
        </w:rPr>
        <w:t>(2)</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Supreme Court Civil Rules, Rule 3(5)(4)(a), Rule 3-5(1), Rule 22(1)</w:t>
      </w:r>
      <w:r>
        <w:rPr>
          <w:rFonts w:ascii="arial" w:eastAsia="arial" w:hAnsi="arial" w:cs="arial"/>
          <w:sz w:val="20"/>
          <w:lang w:val="en-US" w:eastAsia="en-US" w:bidi="ar-SA"/>
        </w:rPr>
        <w:cr/>
      </w:r>
    </w:p>
    <w:p>
      <w:pPr>
        <w:keepNext/>
        <w:spacing w:before="240" w:line="340" w:lineRule="atLeast"/>
        <w:rPr>
          <w:rFonts w:ascii="arial" w:eastAsia="arial" w:hAnsi="arial" w:cs="arial"/>
          <w:sz w:val="20"/>
          <w:lang w:val="en-US" w:eastAsia="en-US" w:bidi="ar-SA"/>
        </w:rPr>
      </w:pPr>
      <w:bookmarkStart w:id="120" w:name="Counsel_17"/>
      <w:bookmarkEnd w:id="120"/>
      <w:r>
        <w:rPr>
          <w:rFonts w:ascii="arial" w:eastAsia="arial" w:hAnsi="arial" w:cs="arial"/>
          <w:b/>
          <w:color w:val="000000"/>
          <w:sz w:val="28"/>
          <w:lang w:val="en-US" w:eastAsia="en-US" w:bidi="ar-SA"/>
        </w:rPr>
        <w:t>Counsel</w:t>
      </w:r>
    </w:p>
    <w:p>
      <w:pPr>
        <w:spacing w:line="60" w:lineRule="exact"/>
        <w:rPr>
          <w:rFonts w:ascii="arial" w:eastAsia="arial" w:hAnsi="arial" w:cs="arial"/>
          <w:sz w:val="20"/>
          <w:lang w:val="en-US" w:eastAsia="en-US" w:bidi="ar-SA"/>
        </w:rPr>
      </w:pPr>
      <w:r>
        <w:pict>
          <v:line id="_x0000_s1119" style="position:absolute;z-index:251780096"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Counsel for Applicants David Kilby, Craig Rodney Hostland, R 340 Enterprises Ltd. dba Pillar To Post, R 340 Enterprises Ltd.: Nigel Trevethan.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Counsel for Applicants Wolfram Oscar Krieg, Norwich Real Estate Services Inc.: Oana Hyatt.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Counsel for Applicants William Krieg, Kathleen Anne Krieg: Donald Lewthwaite.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Counsel for Claire Fillion, A-1 Appraisals Ltd.: Erin Cram.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Counsel for the Plaintiff (Respondent): Kenneth Crosby.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Counsel for Interior Testing Services Ltd., a proposed Third Party: Carmen Tham by Teleconference.</w:t>
      </w:r>
      <w:r>
        <w:rPr>
          <w:rFonts w:ascii="arial" w:eastAsia="arial" w:hAnsi="arial" w:cs="arial"/>
          <w:sz w:val="20"/>
          <w:lang w:val="en-US" w:eastAsia="en-US" w:bidi="ar-SA"/>
        </w:rPr>
        <w:cr/>
      </w:r>
    </w:p>
    <w:p>
      <w:pPr>
        <w:spacing w:after="240"/>
        <w:rPr>
          <w:rFonts w:ascii="arial" w:eastAsia="arial" w:hAnsi="arial" w:cs="arial"/>
          <w:sz w:val="20"/>
          <w:lang w:val="en-US" w:eastAsia="en-US" w:bidi="ar-SA"/>
        </w:rPr>
      </w:pPr>
      <w:bookmarkStart w:id="121" w:name="Judgment_18"/>
      <w:bookmarkEnd w:id="121"/>
      <w:r>
        <w:pict>
          <v:line id="_x0000_s1120" style="position:absolute;z-index:251829248" from="0,12pt" to="512pt,12pt" strokecolor="#009ddb" strokeweight="1.5pt">
            <v:stroke linestyle="single"/>
          </v:line>
        </w:pict>
      </w:r>
    </w:p>
    <w:p>
      <w:pPr>
        <w:spacing w:before="120" w:line="260" w:lineRule="atLeast"/>
        <w:jc w:val="center"/>
        <w:rPr>
          <w:rFonts w:ascii="arial" w:eastAsia="arial" w:hAnsi="arial" w:cs="arial"/>
          <w:sz w:val="20"/>
          <w:lang w:val="en-US" w:eastAsia="en-US" w:bidi="ar-SA"/>
        </w:rPr>
      </w:pPr>
      <w:r>
        <w:rPr>
          <w:rFonts w:ascii="arial" w:eastAsia="arial" w:hAnsi="arial" w:cs="arial"/>
          <w:b/>
          <w:color w:val="000000"/>
          <w:sz w:val="20"/>
          <w:lang w:val="en-US" w:eastAsia="en-US" w:bidi="ar-SA"/>
        </w:rPr>
        <w:t>Reasons for Judgment</w:t>
      </w:r>
      <w:r>
        <w:rPr>
          <w:rFonts w:ascii="arial" w:eastAsia="arial" w:hAnsi="arial" w:cs="arial"/>
          <w:sz w:val="20"/>
          <w:lang w:val="en-US" w:eastAsia="en-US" w:bidi="ar-SA"/>
        </w:rPr>
        <w:cr/>
      </w:r>
    </w:p>
    <w:p>
      <w:pPr>
        <w:rPr>
          <w:rFonts w:ascii="arial" w:eastAsia="arial" w:hAnsi="arial" w:cs="arial"/>
          <w:sz w:val="20"/>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3703"/>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rFonts w:ascii="arial" w:eastAsia="arial" w:hAnsi="arial" w:cs="arial"/>
                <w:sz w:val="20"/>
                <w:lang w:val="en-US" w:eastAsia="en-US" w:bidi="ar-SA"/>
              </w:rPr>
            </w:pPr>
            <w:bookmarkStart w:id="122" w:name="MASTER R. McDIARMID"/>
            <w:bookmarkEnd w:id="122"/>
            <w:r>
              <w:rPr>
                <w:rFonts w:ascii="arial" w:eastAsia="arial" w:hAnsi="arial" w:cs="arial"/>
                <w:b/>
                <w:color w:val="000000"/>
                <w:sz w:val="30"/>
                <w:lang w:val="en-US" w:eastAsia="en-US" w:bidi="ar-SA"/>
              </w:rPr>
              <w:t>MASTER R. McDIARMID</w:t>
            </w:r>
          </w:p>
        </w:tc>
      </w:tr>
    </w:tbl>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There are three applications before the Court.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There is an application by the defendant/third parties, David Kilby, Craig Rodney Hostland, R340 Enterprises Ltd. dba Pillar to Post, and R340 Enterprises Ltd. ("Pillar to Post defendants") for an order for leave to file a third party notice against Interior Testing Services Ltd. ("Interior Testing") in the form attached to their notice of application filed June 8, 2011.</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There is application by the defendants, Wolfram Krieg and Norwich Real Estate Services Inc. ("Norwich"), for leave to file a third party notice against Interior Testing in the form attached to their notice of application as Appendix A. Their notice of application was filed June 16, 2011. It is in substance identical to the notice of application by the Pillar to Post defendants. The proposed third party notice is in substance identical to the third party notice attached to the Pillar to Post defendants' notice.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There is an application by the defendants, William Krieg and Kathleen Anne Krieg ("Mr. and Mrs. Krieg"), for leave to file a third party notice against Matthew James Zarr, Christine Agnes Zarr, Team Construction Foundation Ltd. ("Team"), Eugene Knorr and Knorr Construction Ltd. in the forms attached to their notice of application filed June 17, 2011.</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The notices of application proposing to file third party notices against Interior Testing allege the following:</w:t>
      </w:r>
      <w:r>
        <w:rPr>
          <w:rFonts w:ascii="arial" w:eastAsia="arial" w:hAnsi="arial" w:cs="arial"/>
          <w:sz w:val="20"/>
          <w:lang w:val="en-US" w:eastAsia="en-US" w:bidi="ar-SA"/>
        </w:rPr>
        <w:cr/>
      </w:r>
    </w:p>
    <w:p>
      <w:pPr>
        <w:numPr>
          <w:numId w:val="9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At all material times, Interior Testing Services Ltd. performed geotechnical analysis, planning, preparation, supervision, and analysis of the Property prior to and to completion of the Property.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The proposed third party notice sought to be filed by Mr. and Mrs. Krieg against Eugene Knorr and Knorr Construction Ltd. alleges:</w:t>
      </w:r>
      <w:r>
        <w:rPr>
          <w:rFonts w:ascii="arial" w:eastAsia="arial" w:hAnsi="arial" w:cs="arial"/>
          <w:sz w:val="20"/>
          <w:lang w:val="en-US" w:eastAsia="en-US" w:bidi="ar-SA"/>
        </w:rPr>
        <w:cr/>
      </w:r>
    </w:p>
    <w:p>
      <w:pPr>
        <w:numPr>
          <w:numId w:val="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At all material times Eugene Knorr and/or Knorr Construction Ltd. was involved in the construction of the Property, which included the planning, preparation, supervision and analysis of the Property, prior to and completion of the Property.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The proposed third party notice sought to be filed by Mr. and Mrs. Krieg against Matthew James Zarr and Christine Agnes Zarr alleges:</w:t>
      </w:r>
      <w:r>
        <w:rPr>
          <w:rFonts w:ascii="arial" w:eastAsia="arial" w:hAnsi="arial" w:cs="arial"/>
          <w:sz w:val="20"/>
          <w:lang w:val="en-US" w:eastAsia="en-US" w:bidi="ar-SA"/>
        </w:rPr>
        <w:cr/>
      </w:r>
    </w:p>
    <w:p>
      <w:pPr>
        <w:numPr>
          <w:numId w:val="3"/>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At all material times, Matthew James Zarr and Christine Agnes Zarr were the registered owners of the Property between 1989 and 2004, and undertook certain repairs and work to the Property, which is the subject of the herein lawsuit.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In accordance with the settled principles dealing with amendment of pleadings, equally applicable to this application, the Court should consider the application on the assumption that the facts pleaded can be established.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Wolfram Krieg and Norwich, in their application response dated June 16, 2011, have consented to the application brought by the Pillar to Post defendants. They have taken no position with respect to the application brought on behalf of Mr. and Mrs. Krieg. The defendants, Claire Fillion and A-1 Appraisals Ltd. responded to the application of Mr. and Mrs. Krieg and took no position with respect to that application. Their counsel attended and advised the Court that she took no position with respect to the other notices of application.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The plaintiff filed a single response to the notices of application of the Pillar to Post defendants and Wolfram Krieg and Norwich on June 21, 2011, and filed a response to the notice of application of Mr. and Mrs. Krieg on June 23, 2011.</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By brief written reasons dated June 30, 2011, I dismissed the three applications with reasons to follow.</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FACTS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The plaintiff is the owner of property located at 1156 Cerise Drive, Kelowna, British Columbia, with a legal description of Lot 4, Plan 42064 (the "Property") which according to the second amended statement of claim comprises a residential lot, a main residence building and a detached garage or workshop building. The second amended statement of claim defines the main residence building on the property purchased by the plaintiff as the "Residence", and that term will be used throughout these reasons.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xml:space="preserve">  It appears that on or about November 30, 1989, Eugene Knorr applied to the City of Kelowna for a building permit to build the Residence on the Property (Lot 4, Plan 42068, although the address is noted as </w:t>
      </w:r>
      <w:r>
        <w:rPr>
          <w:rFonts w:ascii="arial" w:eastAsia="arial" w:hAnsi="arial" w:cs="arial"/>
          <w:color w:val="000000"/>
          <w:sz w:val="20"/>
          <w:u w:val="single"/>
          <w:lang w:val="en-US" w:eastAsia="en-US" w:bidi="ar-SA"/>
        </w:rPr>
        <w:t>1285</w:t>
      </w:r>
      <w:r>
        <w:rPr>
          <w:rFonts w:ascii="arial" w:eastAsia="arial" w:hAnsi="arial" w:cs="arial"/>
          <w:color w:val="000000"/>
          <w:sz w:val="20"/>
          <w:lang w:val="en-US" w:eastAsia="en-US" w:bidi="ar-SA"/>
        </w:rPr>
        <w:t xml:space="preserve"> Cerise Drive). The building permit form (referred to in the William Krieg affidavit at paragraph 5 as exhibit A, a "true copy of a City of Kelowna Occupancy Permit issued to Eugene Knorr and Knorr Construction", has as its first page a document which is entitled "Building Permit 5595", names Knorr Construction as the contractor, and is noted as being approved, presumably by the City of Kelowna on December 13, 1989. The Building Permit contains some wording in the section entitled "Conditions": ... "Caution possible fill on lot engineer's design for footings &amp; foundations req'd, inspector to determine on site." At the bottom of the document, in the section entitled "Remarks" there is the following wording: "Dec 11 89 Jim Wright OK passing permit in regard to fill on lot." That writing is largely illegible, but has been rewritten near the bottom of the document. Following that is printing similar to the printing in the section referred to above entitled "Conditions" as follows: "See Interior Testing Services report in subdivision file."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Other documentation attached to William Krieg's affidavit as part of the same exhibit documents notes of inspections which took place on December 14 and 15, 1989. The site inspection notes are apparently by R. Weber of Interior Testing. There is also a memo dated December 15, 1989 from Interior Testing to Culos Construction Ltd. signed by an individual whose surname is Williams (first name is not readily legible), who underneath his signature has written "P. Eng.", signifying that the signor is a professional engineer.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w:t>
      </w:r>
      <w:r>
        <w:rPr>
          <w:rFonts w:ascii="arial" w:eastAsia="arial" w:hAnsi="arial" w:cs="arial"/>
          <w:color w:val="000000"/>
          <w:sz w:val="20"/>
          <w:lang w:val="en-US" w:eastAsia="en-US" w:bidi="ar-SA"/>
        </w:rPr>
        <w:t>  Exhibit A to the William Krieg affidavit attaches several other inspection reports. It also attaches a copy of an occupancy permit noted as being "Final" granting permission to Knorr Construction, or subsequent owner, to use the building constructed on Lot 4, Plan 42068 at 1285 [sic] Cerise Drive. The occupancy permit is dated April 25, 1990. It is not clear whether the reference to 1285 Cerise Drive is in error. Counsel made no submissions on this discrepancy. For the purposes of this application, I assume that these documents all relate to construction of the Residence on the Property.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w:t>
      </w:r>
      <w:r>
        <w:rPr>
          <w:rFonts w:ascii="arial" w:eastAsia="arial" w:hAnsi="arial" w:cs="arial"/>
          <w:color w:val="000000"/>
          <w:sz w:val="20"/>
          <w:lang w:val="en-US" w:eastAsia="en-US" w:bidi="ar-SA"/>
        </w:rPr>
        <w:t>  William Krieg deposes that he believes that Eugene Knorr and Knorr Construction Ltd. built the Residence and then sold it to Matthew James Zarr and Christine Agnes Zarr in 1989 or 1990.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w:t>
      </w:r>
      <w:r>
        <w:rPr>
          <w:rFonts w:ascii="arial" w:eastAsia="arial" w:hAnsi="arial" w:cs="arial"/>
          <w:color w:val="000000"/>
          <w:sz w:val="20"/>
          <w:lang w:val="en-US" w:eastAsia="en-US" w:bidi="ar-SA"/>
        </w:rPr>
        <w:t>  William Krieg deposes that he bought the Residence and the Property upon which it is situate in 1994.</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w:t>
      </w:r>
      <w:r>
        <w:rPr>
          <w:rFonts w:ascii="arial" w:eastAsia="arial" w:hAnsi="arial" w:cs="arial"/>
          <w:color w:val="000000"/>
          <w:sz w:val="20"/>
          <w:lang w:val="en-US" w:eastAsia="en-US" w:bidi="ar-SA"/>
        </w:rPr>
        <w:t>  Paragraph 41 of the second amended statement of claim alleges that on or about March 7, 2006, Mr. and Mrs. Krieg listed the property for sale and made representations in a vendor's disclosure statement stating that they were not aware of any structural problems with the buildings or the property. William Krieg's affidavit, states:</w:t>
      </w:r>
      <w:r>
        <w:rPr>
          <w:rFonts w:ascii="arial" w:eastAsia="arial" w:hAnsi="arial" w:cs="arial"/>
          <w:sz w:val="20"/>
          <w:lang w:val="en-US" w:eastAsia="en-US" w:bidi="ar-SA"/>
        </w:rPr>
        <w:cr/>
      </w:r>
    </w:p>
    <w:p>
      <w:pPr>
        <w:numPr>
          <w:numId w:val="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In May 2006, when the Cerise Drive Home was listed for sale, I was advised by my Realtor, Wolfram Krieg, that there were concerns raised by various Realtors as to the sloping floor in the home. I contacted the business known as Team Foundation Systems Ltd. and asked them to attend at the Cerise Drive Home for the purpose of assessing the problem and the cost for repairing the same.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w:t>
      </w:r>
      <w:r>
        <w:rPr>
          <w:rFonts w:ascii="arial" w:eastAsia="arial" w:hAnsi="arial" w:cs="arial"/>
          <w:color w:val="000000"/>
          <w:sz w:val="20"/>
          <w:lang w:val="en-US" w:eastAsia="en-US" w:bidi="ar-SA"/>
        </w:rPr>
        <w:t>  In the next paragraph he goes on to depose that a representative from Team attended at the Cerise Drive home in March or April 2006, and estimated the repairs to be approximately $33,829.00 and attaches a copy of the document prepared by Team.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w:t>
      </w:r>
      <w:r>
        <w:rPr>
          <w:rFonts w:ascii="arial" w:eastAsia="arial" w:hAnsi="arial" w:cs="arial"/>
          <w:color w:val="000000"/>
          <w:sz w:val="20"/>
          <w:lang w:val="en-US" w:eastAsia="en-US" w:bidi="ar-SA"/>
        </w:rPr>
        <w:t>  I assume that William Krieg is in error when he deposes that the listing was in May and that the paragraph should properly have read "in March 2006". A document dated April 27, 2006 is attached. Somewhat confusingly, the second page of the document appears to be dated March 21, 2007; it is common ground that the document was created on or about April 27, 2006.</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w:t>
      </w:r>
      <w:r>
        <w:rPr>
          <w:rFonts w:ascii="arial" w:eastAsia="arial" w:hAnsi="arial" w:cs="arial"/>
          <w:color w:val="000000"/>
          <w:sz w:val="20"/>
          <w:lang w:val="en-US" w:eastAsia="en-US" w:bidi="ar-SA"/>
        </w:rPr>
        <w:t>  A letter from Team to Mr. and Mrs. Krieg's lawyers, dated May 28, 2009, refers to being contacted by Mr. Krieg on approximately March 20, 2006, speaking to the Kriegs, accessing the residence, inspecting the settled corner of the home, having bedroom and bathroom doors pointed out to them by Mr. Krieg which would not close properly, and observing drywall cracks and trim which was out of line due to building settlement. Team representatives apparently inspected two cracks in the foundation wall that they determined were a result of settlement.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w:t>
      </w:r>
      <w:r>
        <w:rPr>
          <w:rFonts w:ascii="arial" w:eastAsia="arial" w:hAnsi="arial" w:cs="arial"/>
          <w:color w:val="000000"/>
          <w:sz w:val="20"/>
          <w:lang w:val="en-US" w:eastAsia="en-US" w:bidi="ar-SA"/>
        </w:rPr>
        <w:t>  The letter goes on to state that Team representatives made another appointment with the Kriegs which they believed to be on March 30, 2006, to review a repair budget. The letter states: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We reviewed our cost estimate for the work which involved the installation of 12 [screw] piles on the [south-west] corner of the home.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w:t>
      </w:r>
      <w:r>
        <w:rPr>
          <w:rFonts w:ascii="arial" w:eastAsia="arial" w:hAnsi="arial" w:cs="arial"/>
          <w:color w:val="000000"/>
          <w:sz w:val="20"/>
          <w:lang w:val="en-US" w:eastAsia="en-US" w:bidi="ar-SA"/>
        </w:rPr>
        <w:t>  The letter explains that the estimate was for budgeting purposes and that if the Kriegs wished to proceed with the work they would have to hire a structural and geotechnical engineer to certify and design a plan of repair. The letter goes on to state: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Mr. Krieg called us back on April 27 and advised he wanted to proceed with the foundation repair ...</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On May 2nd, 2006 Mr. Krieg phoned us back and advised he had second thoughts and he and his wife were going to market their home for sale as is and would let the new owners repair the home should they think it was necessary.</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work we had done on the project was done free of charge.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w:t>
      </w:r>
      <w:r>
        <w:rPr>
          <w:rFonts w:ascii="arial" w:eastAsia="arial" w:hAnsi="arial" w:cs="arial"/>
          <w:color w:val="000000"/>
          <w:sz w:val="20"/>
          <w:lang w:val="en-US" w:eastAsia="en-US" w:bidi="ar-SA"/>
        </w:rPr>
        <w:t>  From the second amended statement of claim, paragraph 47, it is alleged that the plaintiff entered into a contract of purchase and sale with Mr. and Mrs. Krieg on May 10, 2006. It is further alleged that on June 2, 2006, the plaintiff met with Mr. and Mrs. Krieg at the Property to gather information.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w:t>
      </w:r>
      <w:r>
        <w:rPr>
          <w:rFonts w:ascii="arial" w:eastAsia="arial" w:hAnsi="arial" w:cs="arial"/>
          <w:color w:val="000000"/>
          <w:sz w:val="20"/>
          <w:lang w:val="en-US" w:eastAsia="en-US" w:bidi="ar-SA"/>
        </w:rPr>
        <w:t>  Paragraph 62 of the second amended statement of claim alleges that on or about May 12, 2006, the plaintiff hired the Pillar to Post defendants to perform an inspection of the Property and the buildings for defects and repair information. From the pleadings it would appear that the Pillar to Post defendants provided a written report to the plaintiff on or about May 15, 2006. In paragraph 64, the plaintiff alleges the report informed the plaintiff that the total cost of all necessary repairs was less than $500.00, and any cracks in the foundation walls were cosmetic and not signs of structural distress, that a sloping or uneven floor was of no structural or other significance, that there were no structural problems in the plaintiff's residence, gave the plaintiff an assurance that the plaintiff's residence was a "good solid house", did not disclose the structural distress signs, did not disclose remedial efforts allegedly carried out by Mr. and Mrs. Krieg, and did not disclose the existence or the possible existence of the ground settlement or the structural damage. These are obviously allegations and not proven.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w:t>
      </w:r>
      <w:r>
        <w:rPr>
          <w:rFonts w:ascii="arial" w:eastAsia="arial" w:hAnsi="arial" w:cs="arial"/>
          <w:color w:val="000000"/>
          <w:sz w:val="20"/>
          <w:lang w:val="en-US" w:eastAsia="en-US" w:bidi="ar-SA"/>
        </w:rPr>
        <w:t>  At paragraph 65 of the second amended statement of claim, the plaintiff alleges that she relied upon what she was told by the Pillar to Post defendants, and was thereby induced to complete the purchase of the Property.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w:t>
      </w:r>
      <w:r>
        <w:rPr>
          <w:rFonts w:ascii="arial" w:eastAsia="arial" w:hAnsi="arial" w:cs="arial"/>
          <w:color w:val="000000"/>
          <w:sz w:val="20"/>
          <w:lang w:val="en-US" w:eastAsia="en-US" w:bidi="ar-SA"/>
        </w:rPr>
        <w:t>  The plaintiff is claiming against the Pillar to Post defendants for breach of duties owed to her by the Pillar to Post defendants in contract and in tort, and alleges that those duties were breached.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w:t>
      </w:r>
      <w:r>
        <w:rPr>
          <w:rFonts w:ascii="arial" w:eastAsia="arial" w:hAnsi="arial" w:cs="arial"/>
          <w:color w:val="000000"/>
          <w:sz w:val="20"/>
          <w:lang w:val="en-US" w:eastAsia="en-US" w:bidi="ar-SA"/>
        </w:rPr>
        <w:t xml:space="preserve">  Without repeating the specific allegations in the second amended statement of claim, the plaintiff is alleging that at all material times Norwich was a licensed real estate brokerage firm vicariously liable for the fault of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of Wolfram Krieg. Wolfram Krieg is alleged to be a licensed realtor, who in or about February 2006 was contracted by Mr. and Mrs. Krieg to be their listing realtor for the sale of the property. It is alleged that he knew about the settlement of the Residence, knew about the remedial efforts carried out by Mr. and Mrs. Krieg, knew about the April 27, 2006 Team estimate, failed to disclose it, and knew that Mr. and Mrs. Krieg had cancelled their initial decision to have Team effect the repairs to the Residence.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w:t>
      </w:r>
      <w:r>
        <w:rPr>
          <w:rFonts w:ascii="arial" w:eastAsia="arial" w:hAnsi="arial" w:cs="arial"/>
          <w:color w:val="000000"/>
          <w:sz w:val="20"/>
          <w:lang w:val="en-US" w:eastAsia="en-US" w:bidi="ar-SA"/>
        </w:rPr>
        <w:t>  According to paragraph 30 of the second amended statement of claim, on June 15, 2006, the plaintiff completed the purchase and took possession of the Property.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w:t>
      </w:r>
      <w:r>
        <w:rPr>
          <w:rFonts w:ascii="arial" w:eastAsia="arial" w:hAnsi="arial" w:cs="arial"/>
          <w:color w:val="000000"/>
          <w:sz w:val="20"/>
          <w:lang w:val="en-US" w:eastAsia="en-US" w:bidi="ar-SA"/>
        </w:rPr>
        <w:t>  The second amended statement of claim further states:</w:t>
      </w:r>
      <w:r>
        <w:rPr>
          <w:rFonts w:ascii="arial" w:eastAsia="arial" w:hAnsi="arial" w:cs="arial"/>
          <w:sz w:val="20"/>
          <w:lang w:val="en-US" w:eastAsia="en-US" w:bidi="ar-SA"/>
        </w:rPr>
        <w:cr/>
      </w:r>
    </w:p>
    <w:p>
      <w:pPr>
        <w:numPr>
          <w:numId w:val="5"/>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 Ground Settlement and Structural Damage occurred between 1994 and 2006 when the Property was owned by Mr. and Mrs. Krieg.</w:t>
      </w:r>
    </w:p>
    <w:p>
      <w:pPr>
        <w:numPr>
          <w:numId w:val="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Structural Damage caused and continues to cause various signs of distress to the Buildings and the Property ...</w:t>
      </w:r>
    </w:p>
    <w:p>
      <w:pPr>
        <w:numPr>
          <w:numId w:val="7"/>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 Defendants did not disclose or advise the Plaintiff about the Ground Settlement, the Structural Damage or the Structural Distress Signs before the Plaintiff purchased the Property when the Defendants, and each of them, had a duty to do so.</w:t>
      </w:r>
    </w:p>
    <w:p>
      <w:pPr>
        <w:numPr>
          <w:numId w:val="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Had the Plaintiff learned of the Structural Distress Signs and the possible existence of Structural Damage and Ground Settlement, the Plaintiff would not have purchased the Property.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w:t>
      </w:r>
      <w:r>
        <w:rPr>
          <w:rFonts w:ascii="arial" w:eastAsia="arial" w:hAnsi="arial" w:cs="arial"/>
          <w:color w:val="000000"/>
          <w:sz w:val="20"/>
          <w:lang w:val="en-US" w:eastAsia="en-US" w:bidi="ar-SA"/>
        </w:rPr>
        <w:t>  It appears that by the spring of 2007, the plaintiff became of the view that there were signs of significant foundation and structural settlement of the Residence. She retained a lawyer, who by several letters dated June 19, 2007, gave notice to some of the defendants of the various signs of distress and structural problems that were discovered by the plaintiff, and putting the Pillar to Post defendants and Wolfram Krieg on notice that the plaintiff would be making claims against them.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w:t>
      </w:r>
      <w:r>
        <w:rPr>
          <w:rFonts w:ascii="arial" w:eastAsia="arial" w:hAnsi="arial" w:cs="arial"/>
          <w:color w:val="000000"/>
          <w:sz w:val="20"/>
          <w:lang w:val="en-US" w:eastAsia="en-US" w:bidi="ar-SA"/>
        </w:rPr>
        <w:t>  The original statement of claim in these proceedings was filed November 7, 2008, and was amended into its present form on August 18, 2010 following an order of Master Shaw made July 20, 2010.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w:t>
      </w:r>
      <w:r>
        <w:rPr>
          <w:rFonts w:ascii="arial" w:eastAsia="arial" w:hAnsi="arial" w:cs="arial"/>
          <w:color w:val="000000"/>
          <w:sz w:val="20"/>
          <w:lang w:val="en-US" w:eastAsia="en-US" w:bidi="ar-SA"/>
        </w:rPr>
        <w:t>  In paragraph 36, the plaintiff alleges that ground settlement and structural damage will require the buildings and the property to be stabilized, repaired or replaced in whole or in part.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34</w:t>
      </w:r>
      <w:r>
        <w:rPr>
          <w:rFonts w:ascii="arial" w:eastAsia="arial" w:hAnsi="arial" w:cs="arial"/>
          <w:color w:val="000000"/>
          <w:sz w:val="20"/>
          <w:lang w:val="en-US" w:eastAsia="en-US" w:bidi="ar-SA"/>
        </w:rPr>
        <w:t>  In paragraph 37, the plaintiff particularizes some of her damages to include mental distress, total loss of resale value of the property and the buildings, the cost of repairing or alternatively replacing the buildings, loss of home-based business profits, loss of rental income, economic and financial loss, and special 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35</w:t>
      </w:r>
      <w:r>
        <w:rPr>
          <w:rFonts w:ascii="arial" w:eastAsia="arial" w:hAnsi="arial" w:cs="arial"/>
          <w:color w:val="000000"/>
          <w:sz w:val="20"/>
          <w:lang w:val="en-US" w:eastAsia="en-US" w:bidi="ar-SA"/>
        </w:rPr>
        <w:t>  The second amended statement of claim, filed about a month before the notice of trial, claims against Mr. and Mrs. Krieg for rescission of the purchase contract and all ancillary and corollary relief, or in the alternative, damages for negligent misrepresentations, breach of duty and costs. In addition, there is a claim against all of the defendants jointly and severally for damages for cost of repair or replacing the property and the buildings, mental distress, special damages and costs. These prayers for relief appear to be mostly unchanged from the original November 7, 2008 statement of claim.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36</w:t>
      </w:r>
      <w:r>
        <w:rPr>
          <w:rFonts w:ascii="arial" w:eastAsia="arial" w:hAnsi="arial" w:cs="arial"/>
          <w:color w:val="000000"/>
          <w:sz w:val="20"/>
          <w:lang w:val="en-US" w:eastAsia="en-US" w:bidi="ar-SA"/>
        </w:rPr>
        <w:t>  Statements of defence were filed by the various defendants in 2009 and in February of 2010.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37</w:t>
      </w:r>
      <w:r>
        <w:rPr>
          <w:rFonts w:ascii="arial" w:eastAsia="arial" w:hAnsi="arial" w:cs="arial"/>
          <w:color w:val="000000"/>
          <w:sz w:val="20"/>
          <w:lang w:val="en-US" w:eastAsia="en-US" w:bidi="ar-SA"/>
        </w:rPr>
        <w:t>  It would appear from correspondence that in August of 2009 the parties agreed on a trial date to take place in September 2011. On April 1, 2010, it was confirmed that the trial would take place for 24 days commencing September 6, 2011. By notice of trial filed September 21, 2010, the trial was formally set down to commence September 6, 2011 for 19 days. The notice of trial contained the usual provision that: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All solicitors of record and unrepresented parties of record in this action agree that not more than 19 days is a reasonable time for the hearing of all evidence and argument in this action.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38</w:t>
      </w:r>
      <w:r>
        <w:rPr>
          <w:rFonts w:ascii="arial" w:eastAsia="arial" w:hAnsi="arial" w:cs="arial"/>
          <w:color w:val="000000"/>
          <w:sz w:val="20"/>
          <w:lang w:val="en-US" w:eastAsia="en-US" w:bidi="ar-SA"/>
        </w:rPr>
        <w:t>  In April of 2011, counsel for the plaintiff delivered a number of reports. Included in those reports was a report by a geotechnical engineer which was received by the lawyers for the Pillar to Post defendants on April 11, 2011, and by lawyers for Wolfram Krieg and Norwich the following day. The Thurber Engineering Ltd. report, authored by Dave Smith, P. Eng., principal of Thurber Engineering Ltd., does an evaluation of the observed house distress. In that evaluation, in paragraph 8 of the letter, exhibit C, page 39, to the affidavit of Lee Mauro, there is a recap of Interior Testing's options to eliminate or reduce the potential for settlement of the house built on top of the fill on Lot 4. On the following page, exhibit C, page 40, there is further discussion of the site preparation prior to house construction and then the comment: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These procedures do not conform to the recommendations provided by Interior Testing in Document 2, though the Document 3 memo states that </w:t>
      </w:r>
      <w:r>
        <w:rPr>
          <w:rFonts w:ascii="arial" w:eastAsia="arial" w:hAnsi="arial" w:cs="arial"/>
          <w:i/>
          <w:color w:val="000000"/>
          <w:sz w:val="20"/>
          <w:lang w:val="en-US" w:eastAsia="en-US" w:bidi="ar-SA"/>
        </w:rPr>
        <w:t>foundation preparation has been carried out in accordance with our recommendation of our report of December 8, 1989</w:t>
      </w:r>
      <w:r>
        <w:rPr>
          <w:rFonts w:ascii="arial" w:eastAsia="arial" w:hAnsi="arial" w:cs="arial"/>
          <w:color w:val="000000"/>
          <w:sz w:val="20"/>
          <w:lang w:val="en-US" w:eastAsia="en-US" w:bidi="ar-SA"/>
        </w:rPr>
        <w:t xml:space="preserve"> (i.e. Document 2).</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39</w:t>
      </w:r>
      <w:r>
        <w:rPr>
          <w:rFonts w:ascii="arial" w:eastAsia="arial" w:hAnsi="arial" w:cs="arial"/>
          <w:color w:val="000000"/>
          <w:sz w:val="20"/>
          <w:lang w:val="en-US" w:eastAsia="en-US" w:bidi="ar-SA"/>
        </w:rPr>
        <w:t>  In commenting on Thurber's April 6, 2011 letter, Lee Mauro, a lawyer who is an associate with the solicitors for the Pillar to Post defendants, deposes:</w:t>
      </w:r>
      <w:r>
        <w:rPr>
          <w:rFonts w:ascii="arial" w:eastAsia="arial" w:hAnsi="arial" w:cs="arial"/>
          <w:sz w:val="20"/>
          <w:lang w:val="en-US" w:eastAsia="en-US" w:bidi="ar-SA"/>
        </w:rPr>
        <w:cr/>
      </w:r>
    </w:p>
    <w:p>
      <w:pPr>
        <w:numPr>
          <w:numId w:val="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Mr. Smith details the role of Interior Testing Services Ltd. ("Interior Testing") and notes they were the geotechnical engineers involved in the original site investigation and preparation. Mr. Smith notes that Interior Testing made certain recommendations with regards to the preparation of the site, but those recommendations do not appear to be complied with despite the fact that Interior Testing certified "that foundation preparation has been carried out in accordance with our recommendation [Interior Testing's] of our report of December 8, 1989".</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40</w:t>
      </w:r>
      <w:r>
        <w:rPr>
          <w:rFonts w:ascii="arial" w:eastAsia="arial" w:hAnsi="arial" w:cs="arial"/>
          <w:color w:val="000000"/>
          <w:sz w:val="20"/>
          <w:lang w:val="en-US" w:eastAsia="en-US" w:bidi="ar-SA"/>
        </w:rPr>
        <w:t>  In his affidavit, Mr. Mauro states:</w:t>
      </w:r>
      <w:r>
        <w:rPr>
          <w:rFonts w:ascii="arial" w:eastAsia="arial" w:hAnsi="arial" w:cs="arial"/>
          <w:sz w:val="20"/>
          <w:lang w:val="en-US" w:eastAsia="en-US" w:bidi="ar-SA"/>
        </w:rPr>
        <w:cr/>
      </w:r>
    </w:p>
    <w:p>
      <w:pPr>
        <w:numPr>
          <w:numId w:val="1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Mr. Smith concludes that the failure to properly prepare the site has been a significant cause of the settlement distress found in the house.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41</w:t>
      </w:r>
      <w:r>
        <w:rPr>
          <w:rFonts w:ascii="arial" w:eastAsia="arial" w:hAnsi="arial" w:cs="arial"/>
          <w:color w:val="000000"/>
          <w:sz w:val="20"/>
          <w:lang w:val="en-US" w:eastAsia="en-US" w:bidi="ar-SA"/>
        </w:rPr>
        <w:t>  Mr. Mauro further states:</w:t>
      </w:r>
      <w:r>
        <w:rPr>
          <w:rFonts w:ascii="arial" w:eastAsia="arial" w:hAnsi="arial" w:cs="arial"/>
          <w:sz w:val="20"/>
          <w:lang w:val="en-US" w:eastAsia="en-US" w:bidi="ar-SA"/>
        </w:rPr>
        <w:cr/>
      </w:r>
    </w:p>
    <w:p>
      <w:pPr>
        <w:numPr>
          <w:numId w:val="1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Until our office received and reviewed the report of Mr. Smith, we were not aware that there was a claim available against Interior Testing for the damages alleged to be suffered by the plaintiff.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42</w:t>
      </w:r>
      <w:r>
        <w:rPr>
          <w:rFonts w:ascii="arial" w:eastAsia="arial" w:hAnsi="arial" w:cs="arial"/>
          <w:color w:val="000000"/>
          <w:sz w:val="20"/>
          <w:lang w:val="en-US" w:eastAsia="en-US" w:bidi="ar-SA"/>
        </w:rPr>
        <w:t>  Danna Marks, a lawyer with the law firm representing Wolfram Krieg and Norwich, deposes in her affidavit dated June 15, 2011, commenting on the same Thurber report authored by Dave Smith:</w:t>
      </w:r>
      <w:r>
        <w:rPr>
          <w:rFonts w:ascii="arial" w:eastAsia="arial" w:hAnsi="arial" w:cs="arial"/>
          <w:sz w:val="20"/>
          <w:lang w:val="en-US" w:eastAsia="en-US" w:bidi="ar-SA"/>
        </w:rPr>
        <w:cr/>
      </w:r>
    </w:p>
    <w:p>
      <w:pPr>
        <w:numPr>
          <w:numId w:val="1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It was not until we received and reviewed Mr. Smith's report that we were aware that there was a claim available against Interior Testing Services Ltd. for the damages alleged to be suffered by the Plaintiff in this action.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43</w:t>
      </w:r>
      <w:r>
        <w:rPr>
          <w:rFonts w:ascii="arial" w:eastAsia="arial" w:hAnsi="arial" w:cs="arial"/>
          <w:color w:val="000000"/>
          <w:sz w:val="20"/>
          <w:lang w:val="en-US" w:eastAsia="en-US" w:bidi="ar-SA"/>
        </w:rPr>
        <w:t>  William Krieg deposes in his affidavit as follows:</w:t>
      </w:r>
      <w:r>
        <w:rPr>
          <w:rFonts w:ascii="arial" w:eastAsia="arial" w:hAnsi="arial" w:cs="arial"/>
          <w:sz w:val="20"/>
          <w:lang w:val="en-US" w:eastAsia="en-US" w:bidi="ar-SA"/>
        </w:rPr>
        <w:cr/>
      </w:r>
    </w:p>
    <w:p>
      <w:pPr>
        <w:numPr>
          <w:numId w:val="1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During the months of April and May 2011, the Plaintiff served upon the Defendants named in the herein proceedings, a number of expert reports wherein, for the first time, it became apparent to me that the Plaintiff estimated the cost to repair the Cerise Drive Home at $497,682.00, and the replacement cost of $614,250.00. I had no idea as to the extent of the claims for damages, as I sold the home to the Plaintiff for $360,000.00 in 2006.</w:t>
      </w:r>
    </w:p>
    <w:p>
      <w:pPr>
        <w:numPr>
          <w:numId w:val="1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In mid-May 2011, I first became aware of the fact that the previous owners of the Cerise Drive Home, Matthew James Zarr and Christine Agnes Zarr, had informed the Plaintiff that I did the repairs to the home after I purchased it from them.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44</w:t>
      </w:r>
      <w:r>
        <w:rPr>
          <w:rFonts w:ascii="arial" w:eastAsia="arial" w:hAnsi="arial" w:cs="arial"/>
          <w:color w:val="000000"/>
          <w:sz w:val="20"/>
          <w:lang w:val="en-US" w:eastAsia="en-US" w:bidi="ar-SA"/>
        </w:rPr>
        <w:t>  He goes on in paragraphs 34 to 37 of his affidavit to place in issue what repairs and work were undertaken to the Cerise Drive home by the Zarrs, and what the Zarrs knew about the property prior to selling it to Mr. and Mrs. Krieg. He deposes that he believes the contractor who built the home would have been aware of soil and foundation when the home was constructed. He denies knowledge or understanding as to why the floor was sloping, and deposes that he undertook none of the repairs and never did any work to hide or conceal defects.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THE APPLICATION TO ADD INTERIOR TESTING BY THE PILLAR TO POST DEFENDANTS AND BY WOLFRAM KRIEG AND NORWICH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45</w:t>
      </w:r>
      <w:r>
        <w:rPr>
          <w:rFonts w:ascii="arial" w:eastAsia="arial" w:hAnsi="arial" w:cs="arial"/>
          <w:color w:val="000000"/>
          <w:sz w:val="20"/>
          <w:lang w:val="en-US" w:eastAsia="en-US" w:bidi="ar-SA"/>
        </w:rPr>
        <w:t xml:space="preserve">  These applications have their genesis in s. 4(2) of the </w:t>
      </w:r>
      <w:r>
        <w:rPr>
          <w:rFonts w:ascii="arial" w:eastAsia="arial" w:hAnsi="arial" w:cs="arial"/>
          <w:b/>
          <w:i/>
          <w:color w:val="000000"/>
          <w:sz w:val="20"/>
          <w:u w:val="single"/>
          <w:lang w:val="en-US" w:eastAsia="en-US" w:bidi="ar-SA"/>
        </w:rPr>
        <w:t>Negligence</w:t>
      </w:r>
      <w:r>
        <w:rPr>
          <w:rFonts w:ascii="arial" w:eastAsia="arial" w:hAnsi="arial" w:cs="arial"/>
          <w:i/>
          <w:color w:val="000000"/>
          <w:sz w:val="20"/>
          <w:lang w:val="en-US" w:eastAsia="en-US" w:bidi="ar-SA"/>
        </w:rPr>
        <w:t xml:space="preserve"> Act</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R.S.B.C. 1996, c. 333</w:t>
      </w:r>
      <w:r>
        <w:rPr>
          <w:rFonts w:ascii="arial" w:eastAsia="arial" w:hAnsi="arial" w:cs="arial"/>
          <w:color w:val="000000"/>
          <w:sz w:val="20"/>
          <w:lang w:val="en-US" w:eastAsia="en-US" w:bidi="ar-SA"/>
        </w:rPr>
        <w:t>. That statute has been pleaded by the plaintiff and by all of the defendants. Section 4(2) provides that if two or more persons are found at fault they are jointly and severally liable to the person suffering the damage or loss, and as between themselves, in the absence of a contract express or implied, they are liable to contribute to and indemnify each other in the degree to which they are respectively found to have been at fault.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46</w:t>
      </w:r>
      <w:r>
        <w:rPr>
          <w:rFonts w:ascii="arial" w:eastAsia="arial" w:hAnsi="arial" w:cs="arial"/>
          <w:color w:val="000000"/>
          <w:sz w:val="20"/>
          <w:lang w:val="en-US" w:eastAsia="en-US" w:bidi="ar-SA"/>
        </w:rPr>
        <w:t xml:space="preserve">  Rule 3-5(1) of the </w:t>
      </w:r>
      <w:r>
        <w:rPr>
          <w:rFonts w:ascii="arial" w:eastAsia="arial" w:hAnsi="arial" w:cs="arial"/>
          <w:i/>
          <w:color w:val="000000"/>
          <w:sz w:val="20"/>
          <w:lang w:val="en-US" w:eastAsia="en-US" w:bidi="ar-SA"/>
        </w:rPr>
        <w:t>Supreme Court Civil Rules</w:t>
      </w:r>
      <w:r>
        <w:rPr>
          <w:rFonts w:ascii="arial" w:eastAsia="arial" w:hAnsi="arial" w:cs="arial"/>
          <w:color w:val="000000"/>
          <w:sz w:val="20"/>
          <w:lang w:val="en-US" w:eastAsia="en-US" w:bidi="ar-SA"/>
        </w:rPr>
        <w:t xml:space="preserve"> (the "</w:t>
      </w:r>
      <w:r>
        <w:rPr>
          <w:rFonts w:ascii="arial" w:eastAsia="arial" w:hAnsi="arial" w:cs="arial"/>
          <w:i/>
          <w:color w:val="000000"/>
          <w:sz w:val="20"/>
          <w:lang w:val="en-US" w:eastAsia="en-US" w:bidi="ar-SA"/>
        </w:rPr>
        <w:t>Rules"</w:t>
      </w:r>
      <w:r>
        <w:rPr>
          <w:rFonts w:ascii="arial" w:eastAsia="arial" w:hAnsi="arial" w:cs="arial"/>
          <w:color w:val="000000"/>
          <w:sz w:val="20"/>
          <w:lang w:val="en-US" w:eastAsia="en-US" w:bidi="ar-SA"/>
        </w:rPr>
        <w:t>) reads as follows: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Making a third party claim</w:t>
      </w:r>
    </w:p>
    <w:p>
      <w:pPr>
        <w:numPr>
          <w:numId w:val="15"/>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A party against whom relief is sought in an action may, if that party is not a plaintiff in the action, pursue a third party claim against any person if the party alleges that</w:t>
      </w:r>
    </w:p>
    <w:p>
      <w:pPr>
        <w:numPr>
          <w:numId w:val="16"/>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 party is entitled to contribution or indemnity from the person in relation to any relief that is being sought against the party in the action,</w:t>
      </w:r>
    </w:p>
    <w:p>
      <w:pPr>
        <w:numPr>
          <w:numId w:val="16"/>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 party is entitled to relief against the person and that relief relates to or is connected with the subject matter of the action, or</w:t>
      </w:r>
    </w:p>
    <w:p>
      <w:pPr>
        <w:numPr>
          <w:numId w:val="16"/>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a question or issue between the party and the person</w:t>
      </w:r>
    </w:p>
    <w:p>
      <w:pPr>
        <w:numPr>
          <w:numId w:val="17"/>
        </w:numPr>
        <w:tabs>
          <w:tab w:val="clear" w:pos="112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is substantially the same as a question or issue that relates to or is connected with</w:t>
      </w:r>
    </w:p>
    <w:p>
      <w:pPr>
        <w:numPr>
          <w:numId w:val="18"/>
        </w:numPr>
        <w:tabs>
          <w:tab w:val="clear" w:pos="1120"/>
          <w:tab w:val="num" w:pos="2200"/>
        </w:tabs>
        <w:spacing w:before="120" w:line="260" w:lineRule="atLeast"/>
        <w:ind w:left="2200"/>
        <w:jc w:val="both"/>
        <w:rPr>
          <w:rFonts w:ascii="arial" w:eastAsia="arial" w:hAnsi="arial" w:cs="arial"/>
          <w:sz w:val="20"/>
          <w:lang w:val="en-US" w:eastAsia="en-US" w:bidi="ar-SA"/>
        </w:rPr>
      </w:pPr>
      <w:r>
        <w:rPr>
          <w:rFonts w:ascii="arial" w:eastAsia="arial" w:hAnsi="arial" w:cs="arial"/>
          <w:color w:val="000000"/>
          <w:sz w:val="20"/>
          <w:lang w:val="en-US" w:eastAsia="en-US" w:bidi="ar-SA"/>
        </w:rPr>
        <w:t>relief claimed in the action, or</w:t>
      </w:r>
    </w:p>
    <w:p>
      <w:pPr>
        <w:numPr>
          <w:numId w:val="19"/>
        </w:numPr>
        <w:tabs>
          <w:tab w:val="clear" w:pos="1480"/>
          <w:tab w:val="num" w:pos="2200"/>
        </w:tabs>
        <w:spacing w:before="120" w:line="260" w:lineRule="atLeast"/>
        <w:ind w:left="2200"/>
        <w:jc w:val="both"/>
        <w:rPr>
          <w:rFonts w:ascii="arial" w:eastAsia="arial" w:hAnsi="arial" w:cs="arial"/>
          <w:sz w:val="20"/>
          <w:lang w:val="en-US" w:eastAsia="en-US" w:bidi="ar-SA"/>
        </w:rPr>
      </w:pPr>
      <w:r>
        <w:rPr>
          <w:rFonts w:ascii="arial" w:eastAsia="arial" w:hAnsi="arial" w:cs="arial"/>
          <w:color w:val="000000"/>
          <w:sz w:val="20"/>
          <w:lang w:val="en-US" w:eastAsia="en-US" w:bidi="ar-SA"/>
        </w:rPr>
        <w:t>the subject matter of the action, and</w:t>
      </w:r>
    </w:p>
    <w:p>
      <w:pPr>
        <w:numPr>
          <w:numId w:val="20"/>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should properly be determined in the action.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47</w:t>
      </w:r>
      <w:r>
        <w:rPr>
          <w:rFonts w:ascii="arial" w:eastAsia="arial" w:hAnsi="arial" w:cs="arial"/>
          <w:color w:val="000000"/>
          <w:sz w:val="20"/>
          <w:lang w:val="en-US" w:eastAsia="en-US" w:bidi="ar-SA"/>
        </w:rPr>
        <w:t xml:space="preserve">  The general law dealing with third party proceedings is well settled. McLachlin J.A., as she then was, in </w:t>
      </w:r>
      <w:r>
        <w:rPr>
          <w:rFonts w:ascii="arial" w:eastAsia="arial" w:hAnsi="arial" w:cs="arial"/>
          <w:i/>
          <w:color w:val="000000"/>
          <w:sz w:val="20"/>
          <w:lang w:val="en-US" w:eastAsia="en-US" w:bidi="ar-SA"/>
        </w:rPr>
        <w:t>McNaughton v. Baker</w:t>
      </w:r>
      <w:r>
        <w:rPr>
          <w:rFonts w:ascii="arial" w:eastAsia="arial" w:hAnsi="arial" w:cs="arial"/>
          <w:color w:val="000000"/>
          <w:sz w:val="20"/>
          <w:lang w:val="en-US" w:eastAsia="en-US" w:bidi="ar-SA"/>
        </w:rPr>
        <w:t xml:space="preserve">, </w:t>
      </w:r>
      <w:hyperlink r:id="rId98" w:history="1">
        <w:r>
          <w:rPr>
            <w:rFonts w:ascii="arial" w:eastAsia="arial" w:hAnsi="arial" w:cs="arial"/>
            <w:i/>
            <w:color w:val="0077CC"/>
            <w:sz w:val="20"/>
            <w:u w:val="single"/>
            <w:shd w:val="clear" w:color="auto" w:fill="FFFFFF"/>
            <w:lang w:val="en-US" w:eastAsia="en-US" w:bidi="ar-SA"/>
          </w:rPr>
          <w:t>[1988] B.C.J. No. 515</w:t>
        </w:r>
      </w:hyperlink>
      <w:r>
        <w:rPr>
          <w:rFonts w:ascii="arial" w:eastAsia="arial" w:hAnsi="arial" w:cs="arial"/>
          <w:color w:val="000000"/>
          <w:sz w:val="20"/>
          <w:lang w:val="en-US" w:eastAsia="en-US" w:bidi="ar-SA"/>
        </w:rPr>
        <w:t xml:space="preserve"> sets out the following propositions:</w:t>
      </w:r>
      <w:r>
        <w:rPr>
          <w:rFonts w:ascii="arial" w:eastAsia="arial" w:hAnsi="arial" w:cs="arial"/>
          <w:sz w:val="20"/>
          <w:lang w:val="en-US" w:eastAsia="en-US" w:bidi="ar-SA"/>
        </w:rPr>
        <w:cr/>
      </w:r>
    </w:p>
    <w:p>
      <w:pPr>
        <w:numPr>
          <w:numId w:val="2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object of permitting third party proceedings to be tried with the main action is to provide a single procedure for the resolution of related questions, issues or remedies, in order to avoid multiple actions and inconsistent findings, to provide a mechanism for the third party to defend the plaintiff's claim, and to ensure the third party claim is decided before a defendant is called upon to pay the full amount of any judgment;</w:t>
      </w:r>
    </w:p>
    <w:p>
      <w:pPr>
        <w:numPr>
          <w:numId w:val="2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avoidance of a multiplicity of proceedings is fundamental to our rules of civil procedure;</w:t>
      </w:r>
    </w:p>
    <w:p>
      <w:pPr>
        <w:numPr>
          <w:numId w:val="2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A third party notice can be struck out on the basis that the claim does not fall within one of the categories listed under Rule 22(1), now Rule 3-5(1) of the </w:t>
      </w:r>
      <w:r>
        <w:rPr>
          <w:rFonts w:ascii="arial" w:eastAsia="arial" w:hAnsi="arial" w:cs="arial"/>
          <w:i/>
          <w:color w:val="000000"/>
          <w:sz w:val="20"/>
          <w:lang w:val="en-US" w:eastAsia="en-US" w:bidi="ar-SA"/>
        </w:rPr>
        <w:t>Rules</w:t>
      </w:r>
      <w:r>
        <w:rPr>
          <w:rFonts w:ascii="arial" w:eastAsia="arial" w:hAnsi="arial" w:cs="arial"/>
          <w:color w:val="000000"/>
          <w:sz w:val="20"/>
          <w:lang w:val="en-US" w:eastAsia="en-US" w:bidi="ar-SA"/>
        </w:rPr>
        <w:t>;</w:t>
      </w:r>
    </w:p>
    <w:p>
      <w:pPr>
        <w:numPr>
          <w:numId w:val="2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 party is generally not required adduce evidence in support of pleadings, and that applies to amendment of pleadings. A motion to strike out or amend a third party claim should be considered on the assumption that the facts pleaded can be established.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48</w:t>
      </w:r>
      <w:r>
        <w:rPr>
          <w:rFonts w:ascii="arial" w:eastAsia="arial" w:hAnsi="arial" w:cs="arial"/>
          <w:color w:val="000000"/>
          <w:sz w:val="20"/>
          <w:lang w:val="en-US" w:eastAsia="en-US" w:bidi="ar-SA"/>
        </w:rPr>
        <w:t xml:space="preserve">  A consideration of adding third parties and permitting third party proceedings requires an analysis of contribution and indemnity. As was stated by Craig J.A. in </w:t>
      </w:r>
      <w:r>
        <w:rPr>
          <w:rFonts w:ascii="arial" w:eastAsia="arial" w:hAnsi="arial" w:cs="arial"/>
          <w:i/>
          <w:color w:val="000000"/>
          <w:sz w:val="20"/>
          <w:lang w:val="en-US" w:eastAsia="en-US" w:bidi="ar-SA"/>
        </w:rPr>
        <w:t>Peter v. Anchor Transit Ltd.</w:t>
      </w:r>
      <w:r>
        <w:rPr>
          <w:rFonts w:ascii="arial" w:eastAsia="arial" w:hAnsi="arial" w:cs="arial"/>
          <w:color w:val="000000"/>
          <w:sz w:val="20"/>
          <w:lang w:val="en-US" w:eastAsia="en-US" w:bidi="ar-SA"/>
        </w:rPr>
        <w:t xml:space="preserve">, </w:t>
      </w:r>
      <w:hyperlink r:id="rId441" w:history="1">
        <w:r>
          <w:rPr>
            <w:rFonts w:ascii="arial" w:eastAsia="arial" w:hAnsi="arial" w:cs="arial"/>
            <w:i/>
            <w:color w:val="0077CC"/>
            <w:sz w:val="20"/>
            <w:u w:val="single"/>
            <w:shd w:val="clear" w:color="auto" w:fill="FFFFFF"/>
            <w:lang w:val="en-US" w:eastAsia="en-US" w:bidi="ar-SA"/>
          </w:rPr>
          <w:t>[1979] B.C.J. No. 1493</w:t>
        </w:r>
      </w:hyperlink>
      <w:r>
        <w:rPr>
          <w:rFonts w:ascii="arial" w:eastAsia="arial" w:hAnsi="arial" w:cs="arial"/>
          <w:color w:val="000000"/>
          <w:sz w:val="20"/>
          <w:lang w:val="en-US" w:eastAsia="en-US" w:bidi="ar-SA"/>
        </w:rPr>
        <w:t>, a decision of the Court of Appeal dated 1979-03-29:</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[11] The terms "contribution" and "indemnity" are often used interchangeably, but, technically, there is a difference between the two terms. The term "indemnity" describes a situation where a wrongdoer who has paid all of the plaintiff's damages is entitled to receive payment of this amount from another wrongdoer whose conduct has contributed to, or caused, the injury to the plaintiff. The term "contribution" describes a situation where the wrongdoer who has paid the plaintiff's damages, or more than his share of them, is entitled to receive a portion of this amount from the other wrongdoer ...</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49</w:t>
      </w:r>
      <w:r>
        <w:rPr>
          <w:rFonts w:ascii="arial" w:eastAsia="arial" w:hAnsi="arial" w:cs="arial"/>
          <w:color w:val="000000"/>
          <w:sz w:val="20"/>
          <w:lang w:val="en-US" w:eastAsia="en-US" w:bidi="ar-SA"/>
        </w:rPr>
        <w:t>  At para. 20, Craig J.A. further states: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 I think that the [right] of a defendant to seek contribution from another alleged wrongdoer whose conduct has contributed to the plaintiff's injuries does not depend on any duty which is owed to the defendants by the alleged wrongdoer. In these circumstances, the defendant has a right under s. 5 [referring to the predecessor of s. 4 of the </w:t>
      </w:r>
      <w:r>
        <w:rPr>
          <w:rFonts w:ascii="arial" w:eastAsia="arial" w:hAnsi="arial" w:cs="arial"/>
          <w:b/>
          <w:i/>
          <w:color w:val="000000"/>
          <w:sz w:val="20"/>
          <w:u w:val="single"/>
          <w:lang w:val="en-US" w:eastAsia="en-US" w:bidi="ar-SA"/>
        </w:rPr>
        <w:t>Negligence</w:t>
      </w:r>
      <w:r>
        <w:rPr>
          <w:rFonts w:ascii="arial" w:eastAsia="arial" w:hAnsi="arial" w:cs="arial"/>
          <w:i/>
          <w:color w:val="000000"/>
          <w:sz w:val="20"/>
          <w:lang w:val="en-US" w:eastAsia="en-US" w:bidi="ar-SA"/>
        </w:rPr>
        <w:t xml:space="preserve"> Act</w:t>
      </w:r>
      <w:r>
        <w:rPr>
          <w:rFonts w:ascii="arial" w:eastAsia="arial" w:hAnsi="arial" w:cs="arial"/>
          <w:color w:val="000000"/>
          <w:sz w:val="20"/>
          <w:lang w:val="en-US" w:eastAsia="en-US" w:bidi="ar-SA"/>
        </w:rPr>
        <w:t>] to claim contribution or indemnity from the other alleged wrongdoer.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50</w:t>
      </w:r>
      <w:r>
        <w:rPr>
          <w:rFonts w:ascii="arial" w:eastAsia="arial" w:hAnsi="arial" w:cs="arial"/>
          <w:color w:val="000000"/>
          <w:sz w:val="20"/>
          <w:lang w:val="en-US" w:eastAsia="en-US" w:bidi="ar-SA"/>
        </w:rPr>
        <w:t xml:space="preserve">  Finally, Rule 3-5(4)(a) of the </w:t>
      </w:r>
      <w:r>
        <w:rPr>
          <w:rFonts w:ascii="arial" w:eastAsia="arial" w:hAnsi="arial" w:cs="arial"/>
          <w:i/>
          <w:color w:val="000000"/>
          <w:sz w:val="20"/>
          <w:lang w:val="en-US" w:eastAsia="en-US" w:bidi="ar-SA"/>
        </w:rPr>
        <w:t>Rules</w:t>
      </w:r>
      <w:r>
        <w:rPr>
          <w:rFonts w:ascii="arial" w:eastAsia="arial" w:hAnsi="arial" w:cs="arial"/>
          <w:color w:val="000000"/>
          <w:sz w:val="20"/>
          <w:lang w:val="en-US" w:eastAsia="en-US" w:bidi="ar-SA"/>
        </w:rPr>
        <w:t xml:space="preserve"> makes it clear that unless a counterclaim is filed within 42 days after being served with a notice of civil claim in which the relief referred to is claimed, leave of the court must be obtained. The Court is to decide whether it is just and convenient and may consider the following factors to determine whether or not to exercise its discretion to grant leave:</w:t>
      </w:r>
      <w:r>
        <w:rPr>
          <w:rFonts w:ascii="arial" w:eastAsia="arial" w:hAnsi="arial" w:cs="arial"/>
          <w:sz w:val="20"/>
          <w:lang w:val="en-US" w:eastAsia="en-US" w:bidi="ar-SA"/>
        </w:rPr>
        <w:cr/>
      </w:r>
    </w:p>
    <w:p>
      <w:pPr>
        <w:numPr>
          <w:numId w:val="25"/>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prejudice to the parties;</w:t>
      </w:r>
    </w:p>
    <w:p>
      <w:pPr>
        <w:numPr>
          <w:numId w:val="26"/>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expiration of the limitation period;</w:t>
      </w:r>
    </w:p>
    <w:p>
      <w:pPr>
        <w:numPr>
          <w:numId w:val="27"/>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the merits of the proposed claim;</w:t>
      </w:r>
    </w:p>
    <w:p>
      <w:pPr>
        <w:numPr>
          <w:numId w:val="28"/>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any delay in the proceedings; and</w:t>
      </w:r>
    </w:p>
    <w:p>
      <w:pPr>
        <w:numPr>
          <w:numId w:val="32"/>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 timeliness of the application.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See </w:t>
      </w:r>
      <w:r>
        <w:rPr>
          <w:rFonts w:ascii="arial" w:eastAsia="arial" w:hAnsi="arial" w:cs="arial"/>
          <w:i/>
          <w:color w:val="000000"/>
          <w:sz w:val="20"/>
          <w:lang w:val="en-US" w:eastAsia="en-US" w:bidi="ar-SA"/>
        </w:rPr>
        <w:t>Clayton Systems 2001 Ltd. v. Quizno's Canada Corp.</w:t>
      </w:r>
      <w:r>
        <w:rPr>
          <w:rFonts w:ascii="arial" w:eastAsia="arial" w:hAnsi="arial" w:cs="arial"/>
          <w:color w:val="000000"/>
          <w:sz w:val="20"/>
          <w:lang w:val="en-US" w:eastAsia="en-US" w:bidi="ar-SA"/>
        </w:rPr>
        <w:t xml:space="preserve">, </w:t>
      </w:r>
      <w:hyperlink r:id="rId406" w:history="1">
        <w:r>
          <w:rPr>
            <w:rFonts w:ascii="arial" w:eastAsia="arial" w:hAnsi="arial" w:cs="arial"/>
            <w:i/>
            <w:color w:val="0077CC"/>
            <w:sz w:val="20"/>
            <w:u w:val="single"/>
            <w:shd w:val="clear" w:color="auto" w:fill="FFFFFF"/>
            <w:lang w:val="en-US" w:eastAsia="en-US" w:bidi="ar-SA"/>
          </w:rPr>
          <w:t>2003 BCSC 1573</w:t>
        </w:r>
      </w:hyperlink>
      <w:r>
        <w:rPr>
          <w:rFonts w:ascii="arial" w:eastAsia="arial" w:hAnsi="arial" w:cs="arial"/>
          <w:color w:val="000000"/>
          <w:sz w:val="20"/>
          <w:lang w:val="en-US" w:eastAsia="en-US" w:bidi="ar-SA"/>
        </w:rPr>
        <w:t>, paras. 9 and 14.</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51</w:t>
      </w:r>
      <w:r>
        <w:rPr>
          <w:rFonts w:ascii="arial" w:eastAsia="arial" w:hAnsi="arial" w:cs="arial"/>
          <w:color w:val="000000"/>
          <w:sz w:val="20"/>
          <w:lang w:val="en-US" w:eastAsia="en-US" w:bidi="ar-SA"/>
        </w:rPr>
        <w:t>  The relief being sought against the Pillar to Post defendants is set out in paragraphs 61 to 68 of the second amended statement of claim. It is apparent that the plaintiff is alleging that she hired the Pillar to Post defendants, that they had certain skill and expertise, they were hired to look for signs of structural distress, and that in breach of their contractual and tort duties they failed to observe, detect and report those signs, and failed to properly fulfil their duties to the plaintiff. The relief sought is for damages for breach of those contractual and tort duties.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52</w:t>
      </w:r>
      <w:r>
        <w:rPr>
          <w:rFonts w:ascii="arial" w:eastAsia="arial" w:hAnsi="arial" w:cs="arial"/>
          <w:color w:val="000000"/>
          <w:sz w:val="20"/>
          <w:lang w:val="en-US" w:eastAsia="en-US" w:bidi="ar-SA"/>
        </w:rPr>
        <w:t>  Similarly as against defendants, Wolfram Krieg and Norwich, the claim is against Wolfram Krieg for negligently breaching duties he owed to the plaintiff. Those are particularized in paragraph 59 of the second amended statement of claim. The relief sought is for damages as a result of Wolfram Krieg negligently breaching those duties and against Norwich, who is alleged to be vicariously liable for the torts of Wolfram Krieg as his employer.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53</w:t>
      </w:r>
      <w:r>
        <w:rPr>
          <w:rFonts w:ascii="arial" w:eastAsia="arial" w:hAnsi="arial" w:cs="arial"/>
          <w:color w:val="000000"/>
          <w:sz w:val="20"/>
          <w:lang w:val="en-US" w:eastAsia="en-US" w:bidi="ar-SA"/>
        </w:rPr>
        <w:t>  Neither party is entitled to contribution or indemnity from Interior Testing. Interior Testing's activities with respect to the property took place in 1989 and 1990, at least 15 years before the events giving rise to the relief that is being sought against the Pillar to Post defendants, Wolfram Krieg and Norwich.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54</w:t>
      </w:r>
      <w:r>
        <w:rPr>
          <w:rFonts w:ascii="arial" w:eastAsia="arial" w:hAnsi="arial" w:cs="arial"/>
          <w:color w:val="000000"/>
          <w:sz w:val="20"/>
          <w:lang w:val="en-US" w:eastAsia="en-US" w:bidi="ar-SA"/>
        </w:rPr>
        <w:t>  Similarly, neither the Pillar to Post defendants nor Wolfram Krieg and Norwich are entitled to any relief against Interior Testing. The essence of the Pillar to Post defendants' allegation against Interior Testing is set out in paragraph 2 on Part 3, Legal Basis, of its proposed thirty party notice wherein the following is proposed to be pleaded: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 the Claiming Parties state that the alleged damage suffered by the Plaintiff was caused or contributed to by the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and/or breach of duty, statutory or otherwise, of Interior Testing, the particulars of which are as follows: ...</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55</w:t>
      </w:r>
      <w:r>
        <w:rPr>
          <w:rFonts w:ascii="arial" w:eastAsia="arial" w:hAnsi="arial" w:cs="arial"/>
          <w:color w:val="000000"/>
          <w:sz w:val="20"/>
          <w:lang w:val="en-US" w:eastAsia="en-US" w:bidi="ar-SA"/>
        </w:rPr>
        <w:t>  There then follows six particularizations of the alleged breach of duty.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56</w:t>
      </w:r>
      <w:r>
        <w:rPr>
          <w:rFonts w:ascii="arial" w:eastAsia="arial" w:hAnsi="arial" w:cs="arial"/>
          <w:color w:val="000000"/>
          <w:sz w:val="20"/>
          <w:lang w:val="en-US" w:eastAsia="en-US" w:bidi="ar-SA"/>
        </w:rPr>
        <w:t>  The same legal basis is recited by Wolfram Krieg and Norwich in their notice of application, Part 3, paragraph 2. The wording is identical in both notices of application.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57</w:t>
      </w:r>
      <w:r>
        <w:rPr>
          <w:rFonts w:ascii="arial" w:eastAsia="arial" w:hAnsi="arial" w:cs="arial"/>
          <w:color w:val="000000"/>
          <w:sz w:val="20"/>
          <w:lang w:val="en-US" w:eastAsia="en-US" w:bidi="ar-SA"/>
        </w:rPr>
        <w:t>  Further, in their statement of facts, both sets of defendants state in paragraph 4 of Part 1 as follows: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Plaintiff's claim against the Claiming Parties, as it appears in the Seconded Amended Statement of Claim, is for general and special damages as a result of the Property settling since the Plaintiff purchased it in 2006. The Plaintiff alleges that the loss and damage related to the settling of the Property was caused or contributed to by the negligent and/or breach of contract of the Claiming Parties, particulars of which are set out in paragraphs 61 - 68 [with reference to the Pillar to Post defendants, or alternatively paragraphs 54 - 60 with reference to Wolfram Oscar Krieg and Norwich] of the Second Amended Statement of Claim.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58</w:t>
      </w:r>
      <w:r>
        <w:rPr>
          <w:rFonts w:ascii="arial" w:eastAsia="arial" w:hAnsi="arial" w:cs="arial"/>
          <w:color w:val="000000"/>
          <w:sz w:val="20"/>
          <w:lang w:val="en-US" w:eastAsia="en-US" w:bidi="ar-SA"/>
        </w:rPr>
        <w:t>  As is apparent, this mischaracterizes and materially misstates the plaintiff's claim against the claiming parties, which is not for loss and damage relating to the settling of the property, but rather for failure to discover and/or disclose the pre-existing settlement which worsened since the plaintiff acquired the property, but is alleged to have been pre-existing.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59</w:t>
      </w:r>
      <w:r>
        <w:rPr>
          <w:rFonts w:ascii="arial" w:eastAsia="arial" w:hAnsi="arial" w:cs="arial"/>
          <w:color w:val="000000"/>
          <w:sz w:val="20"/>
          <w:lang w:val="en-US" w:eastAsia="en-US" w:bidi="ar-SA"/>
        </w:rPr>
        <w:t>  The question or issue between the applicants and Interior Testing is not close to being the same question or issue that relates to or is connected with the relief claimed in this action or the subject matter of this action. It is not a question or issue which should properly be determined in this action.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60</w:t>
      </w:r>
      <w:r>
        <w:rPr>
          <w:rFonts w:ascii="arial" w:eastAsia="arial" w:hAnsi="arial" w:cs="arial"/>
          <w:color w:val="000000"/>
          <w:sz w:val="20"/>
          <w:lang w:val="en-US" w:eastAsia="en-US" w:bidi="ar-SA"/>
        </w:rPr>
        <w:t>  Obviously there is overlap in that a component of the damages claimed against the applicants might be determined in a similar manner as damages might be determined and claimed against Interior Testing by a party who had an ability to make a claim (either directly or through third party proceedings) against Interior Testing. This overlap does not assist these applicants.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61</w:t>
      </w:r>
      <w:r>
        <w:rPr>
          <w:rFonts w:ascii="arial" w:eastAsia="arial" w:hAnsi="arial" w:cs="arial"/>
          <w:color w:val="000000"/>
          <w:sz w:val="20"/>
          <w:lang w:val="en-US" w:eastAsia="en-US" w:bidi="ar-SA"/>
        </w:rPr>
        <w:t>  I appreciate that there has been no admission of liability by the Pillar to Posts defendants. What they are in effect saying is: "If we were retained by the plaintiff to detect problems with the Property and the Residence, and if we failed to detect those problems, then the person who actually caused the problems we failed to detect must indemnify us or contribute to the plaintiff's claims made against us for our failure to detect". That is the essence of their proposed third party proceedings.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62</w:t>
      </w:r>
      <w:r>
        <w:rPr>
          <w:rFonts w:ascii="arial" w:eastAsia="arial" w:hAnsi="arial" w:cs="arial"/>
          <w:color w:val="000000"/>
          <w:sz w:val="20"/>
          <w:lang w:val="en-US" w:eastAsia="en-US" w:bidi="ar-SA"/>
        </w:rPr>
        <w:t>  Similarly, Wolfram Krieg and Norwich are in effect saying: "If we negligently failed to disclose problems with the foundations, then we can look to the people who caused those problems which we failed to disclose and they must indemnify us or contribute to the plaintiff's claims made against us for our failure to disclose those problems to the plaintiff".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63</w:t>
      </w:r>
      <w:r>
        <w:rPr>
          <w:rFonts w:ascii="arial" w:eastAsia="arial" w:hAnsi="arial" w:cs="arial"/>
          <w:color w:val="000000"/>
          <w:sz w:val="20"/>
          <w:lang w:val="en-US" w:eastAsia="en-US" w:bidi="ar-SA"/>
        </w:rPr>
        <w:t>  Based on the pleadings before me, neither of these sets of defendants/applicants are entitled to contribution or indemnity from Interior Testing with respect to the claims made against those defendants and with respect to the relief sought against those defendants flowing from the claims made against them.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THE APPLICATION TO ADD EUGENE KNORR, KNORR CONSTRUCTION LTD., MATTHEW JAMES ZARR AND CHRISTINE AGNES ZARR BY MR. AND MRS. KRIEG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64</w:t>
      </w:r>
      <w:r>
        <w:rPr>
          <w:rFonts w:ascii="arial" w:eastAsia="arial" w:hAnsi="arial" w:cs="arial"/>
          <w:color w:val="000000"/>
          <w:sz w:val="20"/>
          <w:lang w:val="en-US" w:eastAsia="en-US" w:bidi="ar-SA"/>
        </w:rPr>
        <w:t>  The plaintiff alleges that Mr. and Mrs. Krieg owed duties to the plaintiff, pleaded in the second amended statement of claim as the "Krieg duties". These duties are set out in paragraph 51 and are alleged to include duties:</w:t>
      </w:r>
      <w:r>
        <w:rPr>
          <w:rFonts w:ascii="arial" w:eastAsia="arial" w:hAnsi="arial" w:cs="arial"/>
          <w:sz w:val="20"/>
          <w:lang w:val="en-US" w:eastAsia="en-US" w:bidi="ar-SA"/>
        </w:rPr>
        <w:cr/>
      </w:r>
    </w:p>
    <w:p>
      <w:pPr>
        <w:numPr>
          <w:numId w:val="33"/>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To make full and frank disclosure of any structural or structure related problems in the Buildings or the Property;</w:t>
      </w:r>
    </w:p>
    <w:p>
      <w:pPr>
        <w:numPr>
          <w:numId w:val="33"/>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Not to misrepresent their knowledge or information in their possession with respect to structural or structure related problems in the Buildings or the Property.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65</w:t>
      </w:r>
      <w:r>
        <w:rPr>
          <w:rFonts w:ascii="arial" w:eastAsia="arial" w:hAnsi="arial" w:cs="arial"/>
          <w:color w:val="000000"/>
          <w:sz w:val="20"/>
          <w:lang w:val="en-US" w:eastAsia="en-US" w:bidi="ar-SA"/>
        </w:rPr>
        <w:t>  It is alleged that Mr. and Mrs. Krieg made misrepresentations as set out in paragraph 50 of the second amended statement of claim as follows:</w:t>
      </w:r>
      <w:r>
        <w:rPr>
          <w:rFonts w:ascii="arial" w:eastAsia="arial" w:hAnsi="arial" w:cs="arial"/>
          <w:sz w:val="20"/>
          <w:lang w:val="en-US" w:eastAsia="en-US" w:bidi="ar-SA"/>
        </w:rPr>
        <w:cr/>
      </w:r>
    </w:p>
    <w:p>
      <w:pPr>
        <w:numPr>
          <w:numId w:val="3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By failing to inform the Plaintiff of the Krieg Building Settlement Knowledge [referring to the Kriegs' knowledge of distress, structural distress signs, and problems with the building foundations as set out in paragraph 39 of the second amended statement of claim];</w:t>
      </w:r>
    </w:p>
    <w:p>
      <w:pPr>
        <w:numPr>
          <w:numId w:val="3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By failing to inform the Plaintiff of the Krieg Remedial Efforts [as set out in paragraphs 39 c. and 40 of the second amended statement of claim, basically alleging certain efforts to remediate structural problems];</w:t>
      </w:r>
    </w:p>
    <w:p>
      <w:pPr>
        <w:numPr>
          <w:numId w:val="3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In making the Krieg Disclosure Representations [as set out in paragraph 41, and most particularly an allegation stating that the Kriegs were not aware of any structural problems with the Building of the Property];</w:t>
      </w:r>
    </w:p>
    <w:p>
      <w:pPr>
        <w:numPr>
          <w:numId w:val="3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In failing to inform the Plaintiff of the </w:t>
      </w:r>
      <w:r>
        <w:rPr>
          <w:rFonts w:ascii="arial" w:eastAsia="arial" w:hAnsi="arial" w:cs="arial"/>
          <w:color w:val="000000"/>
          <w:sz w:val="20"/>
          <w:u w:val="single"/>
          <w:lang w:val="en-US" w:eastAsia="en-US" w:bidi="ar-SA"/>
        </w:rPr>
        <w:t>Team Foundation Repair Contract the</w:t>
      </w:r>
      <w:r>
        <w:rPr>
          <w:rFonts w:ascii="arial" w:eastAsia="arial" w:hAnsi="arial" w:cs="arial"/>
          <w:color w:val="000000"/>
          <w:sz w:val="20"/>
          <w:lang w:val="en-US" w:eastAsia="en-US" w:bidi="ar-SA"/>
        </w:rPr>
        <w:t xml:space="preserve"> need for structural repairs and the approximate cost thereof;</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numPr>
          <w:numId w:val="3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In failing to amend the Vendor's Disclosure Statement.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66</w:t>
      </w:r>
      <w:r>
        <w:rPr>
          <w:rFonts w:ascii="arial" w:eastAsia="arial" w:hAnsi="arial" w:cs="arial"/>
          <w:color w:val="000000"/>
          <w:sz w:val="20"/>
          <w:lang w:val="en-US" w:eastAsia="en-US" w:bidi="ar-SA"/>
        </w:rPr>
        <w:t>  In paragraph 53, the plaintiff alleges: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Had the plaintiff known of the Krieg Building Settlement Knowledge and the Krieg Remedial Efforts, </w:t>
      </w:r>
      <w:r>
        <w:rPr>
          <w:rFonts w:ascii="arial" w:eastAsia="arial" w:hAnsi="arial" w:cs="arial"/>
          <w:color w:val="000000"/>
          <w:sz w:val="20"/>
          <w:u w:val="single"/>
          <w:lang w:val="en-US" w:eastAsia="en-US" w:bidi="ar-SA"/>
        </w:rPr>
        <w:t>the Team Foundation Repair Contract, the Structural Repair Cancellation and the Structural Repair Cost Knowledge</w:t>
      </w:r>
      <w:r>
        <w:rPr>
          <w:rFonts w:ascii="arial" w:eastAsia="arial" w:hAnsi="arial" w:cs="arial"/>
          <w:color w:val="000000"/>
          <w:sz w:val="20"/>
          <w:lang w:val="en-US" w:eastAsia="en-US" w:bidi="ar-SA"/>
        </w:rPr>
        <w:t xml:space="preserve"> [these are all terms defined in the second amended statement of claim], the Plaintiff would not have purchased the Property.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67</w:t>
      </w:r>
      <w:r>
        <w:rPr>
          <w:rFonts w:ascii="arial" w:eastAsia="arial" w:hAnsi="arial" w:cs="arial"/>
          <w:color w:val="000000"/>
          <w:sz w:val="20"/>
          <w:lang w:val="en-US" w:eastAsia="en-US" w:bidi="ar-SA"/>
        </w:rPr>
        <w:t xml:space="preserve">  In paragraph 77, in its prayer for relief against the Kriegs, the plaintiff is claiming, </w:t>
      </w:r>
      <w:r>
        <w:rPr>
          <w:rFonts w:ascii="arial" w:eastAsia="arial" w:hAnsi="arial" w:cs="arial"/>
          <w:i/>
          <w:color w:val="000000"/>
          <w:sz w:val="20"/>
          <w:lang w:val="en-US" w:eastAsia="en-US" w:bidi="ar-SA"/>
        </w:rPr>
        <w:t>inter alia</w:t>
      </w:r>
      <w:r>
        <w:rPr>
          <w:rFonts w:ascii="arial" w:eastAsia="arial" w:hAnsi="arial" w:cs="arial"/>
          <w:color w:val="000000"/>
          <w:sz w:val="20"/>
          <w:lang w:val="en-US" w:eastAsia="en-US" w:bidi="ar-SA"/>
        </w:rPr>
        <w:t>, rescission. That is not a claim which could be made against the proposed third parties.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68</w:t>
      </w:r>
      <w:r>
        <w:rPr>
          <w:rFonts w:ascii="arial" w:eastAsia="arial" w:hAnsi="arial" w:cs="arial"/>
          <w:color w:val="000000"/>
          <w:sz w:val="20"/>
          <w:lang w:val="en-US" w:eastAsia="en-US" w:bidi="ar-SA"/>
        </w:rPr>
        <w:t xml:space="preserve">  Again, after consideration of Rule 3-5(1) of the </w:t>
      </w:r>
      <w:r>
        <w:rPr>
          <w:rFonts w:ascii="arial" w:eastAsia="arial" w:hAnsi="arial" w:cs="arial"/>
          <w:i/>
          <w:color w:val="000000"/>
          <w:sz w:val="20"/>
          <w:lang w:val="en-US" w:eastAsia="en-US" w:bidi="ar-SA"/>
        </w:rPr>
        <w:t>Rules</w:t>
      </w:r>
      <w:r>
        <w:rPr>
          <w:rFonts w:ascii="arial" w:eastAsia="arial" w:hAnsi="arial" w:cs="arial"/>
          <w:color w:val="000000"/>
          <w:sz w:val="20"/>
          <w:lang w:val="en-US" w:eastAsia="en-US" w:bidi="ar-SA"/>
        </w:rPr>
        <w:t>, on the pleadings Mr. and Mrs. Krieg are not entitled to contribution or indemnity from the third parties proposed to be added by them in relation to any of the relief that is being sought against the Kriegs in this action. The relief proposed to be claimed against the third parties does not relate to and is not connected with the subject matter of this action. As noted in para. 60 above, in that a component of the damages claimed against Mr. and Mrs. Krieg might be determined in a similar manner as damages might be determined and claimed against the proposed third parties by a party who had an ability to make a claim (either directly or through third party proceedings) against those proposed third parties. Again, this overlap does not assist these applicants. The question or issue between Mr. and Mrs. Krieg and the third parties proposed to be added by them is not close to being the same question or issue that relates to or is connected with relief claimed in this action or the subject matter of this action. It is not a question or issue which should properly be determined in this action.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PREJUDICE AND OTHER DISCRETIONARY FACTORS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69</w:t>
      </w:r>
      <w:r>
        <w:rPr>
          <w:rFonts w:ascii="arial" w:eastAsia="arial" w:hAnsi="arial" w:cs="arial"/>
          <w:color w:val="000000"/>
          <w:sz w:val="20"/>
          <w:lang w:val="en-US" w:eastAsia="en-US" w:bidi="ar-SA"/>
        </w:rPr>
        <w:t>  As set out above in para. 50, even if there are grounds for filing third party proceedings under Rule 3-5(1), leave is required once the time limit set out in Rule 3-5(4)(b) has passed. The criteria for an exercise of discretion has been previously set out in para. 50 above.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70</w:t>
      </w:r>
      <w:r>
        <w:rPr>
          <w:rFonts w:ascii="arial" w:eastAsia="arial" w:hAnsi="arial" w:cs="arial"/>
          <w:color w:val="000000"/>
          <w:sz w:val="20"/>
          <w:lang w:val="en-US" w:eastAsia="en-US" w:bidi="ar-SA"/>
        </w:rPr>
        <w:t>  The first matter to be considered is prejudice to the parties.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71</w:t>
      </w:r>
      <w:r>
        <w:rPr>
          <w:rFonts w:ascii="arial" w:eastAsia="arial" w:hAnsi="arial" w:cs="arial"/>
          <w:color w:val="000000"/>
          <w:sz w:val="20"/>
          <w:lang w:val="en-US" w:eastAsia="en-US" w:bidi="ar-SA"/>
        </w:rPr>
        <w:t>  In the Pillar to Post defendants' notice of application in paragraph 5, the applicants argue: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The granting of leave to file a third party notice against Interior Testing will not prejudice the proposed third parties more than it will prejudice the PTP Defendants.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72</w:t>
      </w:r>
      <w:r>
        <w:rPr>
          <w:rFonts w:ascii="arial" w:eastAsia="arial" w:hAnsi="arial" w:cs="arial"/>
          <w:color w:val="000000"/>
          <w:sz w:val="20"/>
          <w:lang w:val="en-US" w:eastAsia="en-US" w:bidi="ar-SA"/>
        </w:rPr>
        <w:t>  They further argue:</w:t>
      </w:r>
      <w:r>
        <w:rPr>
          <w:rFonts w:ascii="arial" w:eastAsia="arial" w:hAnsi="arial" w:cs="arial"/>
          <w:sz w:val="20"/>
          <w:lang w:val="en-US" w:eastAsia="en-US" w:bidi="ar-SA"/>
        </w:rPr>
        <w:cr/>
      </w:r>
    </w:p>
    <w:p>
      <w:pPr>
        <w:numPr>
          <w:numId w:val="3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PTP Defendants would suffer prejudice if they do not receive leave to file the third party notice against Interior Testing. The PTP Defendants' ability to demonstrate the fault of Interior Testing and the appropriate share of their liability, as well as to claim contribution and indemnity pursuant to the </w:t>
      </w:r>
      <w:r>
        <w:rPr>
          <w:rFonts w:ascii="arial" w:eastAsia="arial" w:hAnsi="arial" w:cs="arial"/>
          <w:b/>
          <w:i/>
          <w:color w:val="000000"/>
          <w:sz w:val="20"/>
          <w:u w:val="single"/>
          <w:lang w:val="en-US" w:eastAsia="en-US" w:bidi="ar-SA"/>
        </w:rPr>
        <w:t>Negligence</w:t>
      </w:r>
      <w:r>
        <w:rPr>
          <w:rFonts w:ascii="arial" w:eastAsia="arial" w:hAnsi="arial" w:cs="arial"/>
          <w:color w:val="000000"/>
          <w:sz w:val="20"/>
          <w:u w:val="single"/>
          <w:lang w:val="en-US" w:eastAsia="en-US" w:bidi="ar-SA"/>
        </w:rPr>
        <w:t xml:space="preserve"> Act</w:t>
      </w:r>
      <w:r>
        <w:rPr>
          <w:rFonts w:ascii="arial" w:eastAsia="arial" w:hAnsi="arial" w:cs="arial"/>
          <w:color w:val="000000"/>
          <w:sz w:val="20"/>
          <w:lang w:val="en-US" w:eastAsia="en-US" w:bidi="ar-SA"/>
        </w:rPr>
        <w:t>, would be adversely affected if they were not permitted to do so in the context of the plaintiff's main action.</w:t>
      </w:r>
    </w:p>
    <w:p>
      <w:pPr>
        <w:numPr>
          <w:numId w:val="3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involvement of Interior Testing forms an integral part of the factual matrix of this case. It would put the PTP Defendants to significant inconvenience, and potentially render a significant injustice.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73</w:t>
      </w:r>
      <w:r>
        <w:rPr>
          <w:rFonts w:ascii="arial" w:eastAsia="arial" w:hAnsi="arial" w:cs="arial"/>
          <w:color w:val="000000"/>
          <w:sz w:val="20"/>
          <w:lang w:val="en-US" w:eastAsia="en-US" w:bidi="ar-SA"/>
        </w:rPr>
        <w:t>  As has been pointed out previously, the involvement of Interior Testing forms no part of the plaintiff's claim.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74</w:t>
      </w:r>
      <w:r>
        <w:rPr>
          <w:rFonts w:ascii="arial" w:eastAsia="arial" w:hAnsi="arial" w:cs="arial"/>
          <w:color w:val="000000"/>
          <w:sz w:val="20"/>
          <w:lang w:val="en-US" w:eastAsia="en-US" w:bidi="ar-SA"/>
        </w:rPr>
        <w:t>  The Pillar to Post defendants make no mention in their notice of application of potential prejudice to the plaintiff.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75</w:t>
      </w:r>
      <w:r>
        <w:rPr>
          <w:rFonts w:ascii="arial" w:eastAsia="arial" w:hAnsi="arial" w:cs="arial"/>
          <w:color w:val="000000"/>
          <w:sz w:val="20"/>
          <w:lang w:val="en-US" w:eastAsia="en-US" w:bidi="ar-SA"/>
        </w:rPr>
        <w:t>  In his oral submissions, counsel for the Pillar to Post defendants characterized the issue of Interior Testing's potential liability as a narrow issue, said that he could provide the whole file to Interior Testing's counsel, said that the parties can accommodate Interior Testing's request for discovery, and said that he did not see the addition of Interior Testing as a third party as an adjournment issue.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76</w:t>
      </w:r>
      <w:r>
        <w:rPr>
          <w:rFonts w:ascii="arial" w:eastAsia="arial" w:hAnsi="arial" w:cs="arial"/>
          <w:color w:val="000000"/>
          <w:sz w:val="20"/>
          <w:lang w:val="en-US" w:eastAsia="en-US" w:bidi="ar-SA"/>
        </w:rPr>
        <w:t>  Ms. Tham, counsel for Interior Testing, said that if Interior Testing is added, and if the trial proceeds, she could not prepare a proper defence. She will need adequate time. There are expert reports which may need to be responded to. Interior Testing will need to retain its own experts. Interior Testing was one of a number of parties. She will need to find other parties and perhaps institute fourth party proceedings. The events involving Interior Testing happened 22 years ago, two months is not sufficient time to prepare, and it would be prejudicial to Interior Testing to force it to trial. She concluded her submissions by saying that if the Court was inclined to add Interior Testing, then the trial would have to be adjourned.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77</w:t>
      </w:r>
      <w:r>
        <w:rPr>
          <w:rFonts w:ascii="arial" w:eastAsia="arial" w:hAnsi="arial" w:cs="arial"/>
          <w:color w:val="000000"/>
          <w:sz w:val="20"/>
          <w:lang w:val="en-US" w:eastAsia="en-US" w:bidi="ar-SA"/>
        </w:rPr>
        <w:t>  Anyone with experience in construction-related litigation will know that Ms. Tham's submissions accurately state the situation faced by her client. The submission by counsel for the Pillar to Post defendants that the trial would not have to be adjourned was obviously made recognizing that adjournment of the trial would be highly prejudicial to the plaintiff. Furthermore, the submission did not take into account the proposal of the addition of four other third parties as requested by Mr. and Mrs. Krieg in their notice of application. There is no doubt that if any of these third parties are added, the trial will have to be adjourned.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78</w:t>
      </w:r>
      <w:r>
        <w:rPr>
          <w:rFonts w:ascii="arial" w:eastAsia="arial" w:hAnsi="arial" w:cs="arial"/>
          <w:color w:val="000000"/>
          <w:sz w:val="20"/>
          <w:lang w:val="en-US" w:eastAsia="en-US" w:bidi="ar-SA"/>
        </w:rPr>
        <w:t>  The evidence with respect to prejudice to the plaintiff is significant.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79</w:t>
      </w:r>
      <w:r>
        <w:rPr>
          <w:rFonts w:ascii="arial" w:eastAsia="arial" w:hAnsi="arial" w:cs="arial"/>
          <w:color w:val="000000"/>
          <w:sz w:val="20"/>
          <w:lang w:val="en-US" w:eastAsia="en-US" w:bidi="ar-SA"/>
        </w:rPr>
        <w:t>  She deposes in her affidavit:</w:t>
      </w:r>
      <w:r>
        <w:rPr>
          <w:rFonts w:ascii="arial" w:eastAsia="arial" w:hAnsi="arial" w:cs="arial"/>
          <w:sz w:val="20"/>
          <w:lang w:val="en-US" w:eastAsia="en-US" w:bidi="ar-SA"/>
        </w:rPr>
        <w:cr/>
      </w:r>
    </w:p>
    <w:p>
      <w:pPr>
        <w:numPr>
          <w:numId w:val="3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It has been a lengthy and costly process for me. My physical health is deteriorating. My emotional health is adversely [affected]. I have not been able to build my craft studio in the home. As a consequence my craft and art business has almost collapsed. I have been forced to take an hourly job to maintain my income.</w:t>
      </w:r>
    </w:p>
    <w:p>
      <w:pPr>
        <w:numPr>
          <w:numId w:val="3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 have exhausted all of my readily available savings and credit in prosecuting the claims herein.</w:t>
      </w:r>
    </w:p>
    <w:p>
      <w:pPr>
        <w:numPr>
          <w:numId w:val="3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It has taken an inordinate amount of time to get this matter ready for trial.</w:t>
      </w:r>
    </w:p>
    <w:p>
      <w:pPr>
        <w:numPr>
          <w:numId w:val="3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 have known about the present trial date since 2009. In 2010 I was told that the trial date had been fixed and we would be proceeding.</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numPr>
          <w:numId w:val="39"/>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I am informed by Mr. Moffat that if these parties are added that the present trial date will be lost in order to give these parties time to obtain lawyers to defend the new claims. I am informed by Mr. Moffat this will likely add a further two to three years to this litigation.</w:t>
      </w:r>
    </w:p>
    <w:p>
      <w:pPr>
        <w:numPr>
          <w:numId w:val="40"/>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My emotional reserves are exhausted. My physical health is failing. If the trial date is adjourned I am afraid for my well being.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80</w:t>
      </w:r>
      <w:r>
        <w:rPr>
          <w:rFonts w:ascii="arial" w:eastAsia="arial" w:hAnsi="arial" w:cs="arial"/>
          <w:color w:val="000000"/>
          <w:sz w:val="20"/>
          <w:lang w:val="en-US" w:eastAsia="en-US" w:bidi="ar-SA"/>
        </w:rPr>
        <w:t xml:space="preserve">  Mr. Mauro deposes in his affidavit at paragraphs 7 and 8 of a number of reports delivered by the plaintiff. These include reports from an appraiser, a home inspector, a structural engineer, a geotechnical engineer, Team, and a restoration contractor. The cost of those reports taken together must be in the tens of thousands of dollars. They were provided, in accordance with the </w:t>
      </w:r>
      <w:r>
        <w:rPr>
          <w:rFonts w:ascii="arial" w:eastAsia="arial" w:hAnsi="arial" w:cs="arial"/>
          <w:i/>
          <w:color w:val="000000"/>
          <w:sz w:val="20"/>
          <w:lang w:val="en-US" w:eastAsia="en-US" w:bidi="ar-SA"/>
        </w:rPr>
        <w:t>Rules</w:t>
      </w:r>
      <w:r>
        <w:rPr>
          <w:rFonts w:ascii="arial" w:eastAsia="arial" w:hAnsi="arial" w:cs="arial"/>
          <w:color w:val="000000"/>
          <w:sz w:val="20"/>
          <w:lang w:val="en-US" w:eastAsia="en-US" w:bidi="ar-SA"/>
        </w:rPr>
        <w:t>, at least 84 days prior to the commencement of the trial. The plaintiff has an expectation that the trial will proceed as expected, and if she receives a favourable decision will be entitled in due course to be reimbursed for the cost of those reports as are found to be reasonable and necessary for her to have incurred in the prosecution of her case. The delay which must follow any addition of the proposed third parties will obviously significantly impact the financial strain which the plaintiff must already be experiencing as a consequence of this litigation.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81</w:t>
      </w:r>
      <w:r>
        <w:rPr>
          <w:rFonts w:ascii="arial" w:eastAsia="arial" w:hAnsi="arial" w:cs="arial"/>
          <w:color w:val="000000"/>
          <w:sz w:val="20"/>
          <w:lang w:val="en-US" w:eastAsia="en-US" w:bidi="ar-SA"/>
        </w:rPr>
        <w:t>  As noted, none of the applicants in any of their written notices of application make any comment with respect to the prejudice to the plaintiff.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82</w:t>
      </w:r>
      <w:r>
        <w:rPr>
          <w:rFonts w:ascii="arial" w:eastAsia="arial" w:hAnsi="arial" w:cs="arial"/>
          <w:color w:val="000000"/>
          <w:sz w:val="20"/>
          <w:lang w:val="en-US" w:eastAsia="en-US" w:bidi="ar-SA"/>
        </w:rPr>
        <w:t>  During oral submissions, I canvassed the question of severing the proposed third party proceedings from the trial which is presently set to proceed on the pleadings as they now exist. There was no appetite on the part of the applicants to have that result, although that result would minimize the impact of the proposal to add these third parties on the plaintiff, in that she at least could get her case over and done with in September of this year.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83</w:t>
      </w:r>
      <w:r>
        <w:rPr>
          <w:rFonts w:ascii="arial" w:eastAsia="arial" w:hAnsi="arial" w:cs="arial"/>
          <w:color w:val="000000"/>
          <w:sz w:val="20"/>
          <w:lang w:val="en-US" w:eastAsia="en-US" w:bidi="ar-SA"/>
        </w:rPr>
        <w:t>  The evidence the plaintiff has put forward of prejudice is uncontradicted.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84</w:t>
      </w:r>
      <w:r>
        <w:rPr>
          <w:rFonts w:ascii="arial" w:eastAsia="arial" w:hAnsi="arial" w:cs="arial"/>
          <w:color w:val="000000"/>
          <w:sz w:val="20"/>
          <w:lang w:val="en-US" w:eastAsia="en-US" w:bidi="ar-SA"/>
        </w:rPr>
        <w:t xml:space="preserve">  It is obvious that the addition of the proposed third parties would require the adjournment of the trial, and would substantially lengthen the trial. The focus of the action will change from a claim by the plaintiff where she is in effect saying "Had I known about the structural problems with the Residence, I would not have bought the Property" into an inquiry as to who initially caused the structural problems. The case will become much more complex, requiring evidence, including expert evidence of an entirely different sort than that contemplated by the plaintiff. If the third party proceedings were allowed, they will cause the plaintiff to be involved in litigation in a way which, as was stated by Madam Justice in </w:t>
      </w:r>
      <w:r>
        <w:rPr>
          <w:rFonts w:ascii="arial" w:eastAsia="arial" w:hAnsi="arial" w:cs="arial"/>
          <w:i/>
          <w:color w:val="000000"/>
          <w:sz w:val="20"/>
          <w:lang w:val="en-US" w:eastAsia="en-US" w:bidi="ar-SA"/>
        </w:rPr>
        <w:t>Stanway v. Wyeth Canada Inc.</w:t>
      </w:r>
      <w:r>
        <w:rPr>
          <w:rFonts w:ascii="arial" w:eastAsia="arial" w:hAnsi="arial" w:cs="arial"/>
          <w:color w:val="000000"/>
          <w:sz w:val="20"/>
          <w:lang w:val="en-US" w:eastAsia="en-US" w:bidi="ar-SA"/>
        </w:rPr>
        <w:t xml:space="preserve">, </w:t>
      </w:r>
      <w:hyperlink r:id="rId442" w:history="1">
        <w:r>
          <w:rPr>
            <w:rFonts w:ascii="arial" w:eastAsia="arial" w:hAnsi="arial" w:cs="arial"/>
            <w:i/>
            <w:color w:val="0077CC"/>
            <w:sz w:val="20"/>
            <w:u w:val="single"/>
            <w:shd w:val="clear" w:color="auto" w:fill="FFFFFF"/>
            <w:lang w:val="en-US" w:eastAsia="en-US" w:bidi="ar-SA"/>
          </w:rPr>
          <w:t>2011 BCSC 108</w:t>
        </w:r>
      </w:hyperlink>
      <w:r>
        <w:rPr>
          <w:rFonts w:ascii="arial" w:eastAsia="arial" w:hAnsi="arial" w:cs="arial"/>
          <w:color w:val="000000"/>
          <w:sz w:val="20"/>
          <w:lang w:val="en-US" w:eastAsia="en-US" w:bidi="ar-SA"/>
        </w:rPr>
        <w:t>, "fundamentally recast the plaintiff's claim".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85</w:t>
      </w:r>
      <w:r>
        <w:rPr>
          <w:rFonts w:ascii="arial" w:eastAsia="arial" w:hAnsi="arial" w:cs="arial"/>
          <w:color w:val="000000"/>
          <w:sz w:val="20"/>
          <w:lang w:val="en-US" w:eastAsia="en-US" w:bidi="ar-SA"/>
        </w:rPr>
        <w:t>  One of the grounds for refusal to grant leave to file third party notices is potential delay in the proceedings. As is obvious, these proceedings will be delayed. This delay ties directly into the prejudice deposed to by the plaintiff in her affidavit.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86</w:t>
      </w:r>
      <w:r>
        <w:rPr>
          <w:rFonts w:ascii="arial" w:eastAsia="arial" w:hAnsi="arial" w:cs="arial"/>
          <w:color w:val="000000"/>
          <w:sz w:val="20"/>
          <w:lang w:val="en-US" w:eastAsia="en-US" w:bidi="ar-SA"/>
        </w:rPr>
        <w:t>  The timeliness of these applications is also a factor the Court must consider. The defendant applicants, other than Mr. and Mrs. Krieg, received letters on June 19, 2007, which contained the following wording:</w:t>
      </w:r>
      <w:r>
        <w:rPr>
          <w:rFonts w:ascii="arial" w:eastAsia="arial" w:hAnsi="arial" w:cs="arial"/>
          <w:sz w:val="20"/>
          <w:lang w:val="en-US" w:eastAsia="en-US" w:bidi="ar-SA"/>
        </w:rPr>
        <w:cr/>
      </w:r>
    </w:p>
    <w:p>
      <w:pPr>
        <w:numPr>
          <w:numId w:val="41"/>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Since taking possession of her home, Ms. Gordon has discovered various signs of distress and structural problems. She has now been advised that those structural problems are serious and will require both short-term and long-term repair ...</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87</w:t>
      </w:r>
      <w:r>
        <w:rPr>
          <w:rFonts w:ascii="arial" w:eastAsia="arial" w:hAnsi="arial" w:cs="arial"/>
          <w:color w:val="000000"/>
          <w:sz w:val="20"/>
          <w:lang w:val="en-US" w:eastAsia="en-US" w:bidi="ar-SA"/>
        </w:rPr>
        <w:t>  The second affidavit of Pauline Mullen states:</w:t>
      </w:r>
      <w:r>
        <w:rPr>
          <w:rFonts w:ascii="arial" w:eastAsia="arial" w:hAnsi="arial" w:cs="arial"/>
          <w:sz w:val="20"/>
          <w:lang w:val="en-US" w:eastAsia="en-US" w:bidi="ar-SA"/>
        </w:rPr>
        <w:cr/>
      </w:r>
    </w:p>
    <w:p>
      <w:pPr>
        <w:numPr>
          <w:numId w:val="42"/>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Mr. Moffat advises me that based upon information available to the Pillar to Post defendants by the spring of 2007 they knew or ought to have known that there were signs of significant foundation and structural settlement of the building. The defendant Hostland is a professional engineer. The defendant Kilby is an experienced civil structural construction technician. Any of the Pillar to Post or other defendants could have and should have conducted investigation into the cause or causes of structural settlement if they intended to assert claims in that regard.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88</w:t>
      </w:r>
      <w:r>
        <w:rPr>
          <w:rFonts w:ascii="arial" w:eastAsia="arial" w:hAnsi="arial" w:cs="arial"/>
          <w:color w:val="000000"/>
          <w:sz w:val="20"/>
          <w:lang w:val="en-US" w:eastAsia="en-US" w:bidi="ar-SA"/>
        </w:rPr>
        <w:t>  Had I been asked, I would have struck out the words "and should have", as being argument, and I have read that paragraph as if those words were struck out. The balance of that paragraph is uncontradicted by evidence and appears consistent with the pleadings.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89</w:t>
      </w:r>
      <w:r>
        <w:rPr>
          <w:rFonts w:ascii="arial" w:eastAsia="arial" w:hAnsi="arial" w:cs="arial"/>
          <w:color w:val="000000"/>
          <w:sz w:val="20"/>
          <w:lang w:val="en-US" w:eastAsia="en-US" w:bidi="ar-SA"/>
        </w:rPr>
        <w:t>  The information referenced in the Thurber Engineering Ltd. geotechnical assessment dated April 1, 2011 was extracted from documentation readily available to any of the parties, had they wished to defend this litigation by embarking upon an inquiry to determine the cause of the structural problems, as opposed to defending the allegations made by the plaintiff which focus on the failure of the various defendants to inform the plaintiff of the structural problems. This information was historical, going back to the City of Kelowna building file, and would have been available to be reviewed and considered by the various defendants, had they thought matters contained in that file were relevant. They could have done this following receipt of the letters in June 2007, and certainly at some point after the original statement of claim was filed in November of 2008, over two and one-half years ago and several months before the parties agreed on the trial date.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90</w:t>
      </w:r>
      <w:r>
        <w:rPr>
          <w:rFonts w:ascii="arial" w:eastAsia="arial" w:hAnsi="arial" w:cs="arial"/>
          <w:color w:val="000000"/>
          <w:sz w:val="20"/>
          <w:lang w:val="en-US" w:eastAsia="en-US" w:bidi="ar-SA"/>
        </w:rPr>
        <w:t xml:space="preserve">  The factors set out by Allan J. in </w:t>
      </w:r>
      <w:r>
        <w:rPr>
          <w:rFonts w:ascii="arial" w:eastAsia="arial" w:hAnsi="arial" w:cs="arial"/>
          <w:i/>
          <w:color w:val="000000"/>
          <w:sz w:val="20"/>
          <w:lang w:val="en-US" w:eastAsia="en-US" w:bidi="ar-SA"/>
        </w:rPr>
        <w:t>Clayton Systems</w:t>
      </w:r>
      <w:r>
        <w:rPr>
          <w:rFonts w:ascii="arial" w:eastAsia="arial" w:hAnsi="arial" w:cs="arial"/>
          <w:color w:val="000000"/>
          <w:sz w:val="20"/>
          <w:lang w:val="en-US" w:eastAsia="en-US" w:bidi="ar-SA"/>
        </w:rPr>
        <w:t xml:space="preserve"> intertwine to some extent. I conclude that even if the various applicants would have been entitled to add third parties in accordance with Rule 3-5(1) of the </w:t>
      </w:r>
      <w:r>
        <w:rPr>
          <w:rFonts w:ascii="arial" w:eastAsia="arial" w:hAnsi="arial" w:cs="arial"/>
          <w:i/>
          <w:color w:val="000000"/>
          <w:sz w:val="20"/>
          <w:lang w:val="en-US" w:eastAsia="en-US" w:bidi="ar-SA"/>
        </w:rPr>
        <w:t>Rules</w:t>
      </w:r>
      <w:r>
        <w:rPr>
          <w:rFonts w:ascii="arial" w:eastAsia="arial" w:hAnsi="arial" w:cs="arial"/>
          <w:color w:val="000000"/>
          <w:sz w:val="20"/>
          <w:lang w:val="en-US" w:eastAsia="en-US" w:bidi="ar-SA"/>
        </w:rPr>
        <w:t>, the Court should exercise its discretion to refuse leave because of the significant prejudice to the plaintiff, the delay that would be caused to the proceedings, and the failure to bring these applications in a timely manner, which of course impact on delay and consequently cause extreme prejudice to the plaintiff.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91</w:t>
      </w:r>
      <w:r>
        <w:rPr>
          <w:rFonts w:ascii="arial" w:eastAsia="arial" w:hAnsi="arial" w:cs="arial"/>
          <w:color w:val="000000"/>
          <w:sz w:val="20"/>
          <w:lang w:val="en-US" w:eastAsia="en-US" w:bidi="ar-SA"/>
        </w:rPr>
        <w:t>  In the notices of application of the Pillar to Post defendants and Wolfram Krieg and Norwich, Part 3, paragraph 4, is the following submission:</w:t>
      </w:r>
      <w:r>
        <w:rPr>
          <w:rFonts w:ascii="arial" w:eastAsia="arial" w:hAnsi="arial" w:cs="arial"/>
          <w:sz w:val="20"/>
          <w:lang w:val="en-US" w:eastAsia="en-US" w:bidi="ar-SA"/>
        </w:rPr>
        <w:cr/>
      </w:r>
    </w:p>
    <w:p>
      <w:pPr>
        <w:numPr>
          <w:numId w:val="43"/>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The "bottom line" is whether it is just and convenient in all the circumstances of the case at hand to grant leave to file a third party notice, that is, what does the better administration of justice demand given the facts ascertainable at the time of the application.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92</w:t>
      </w:r>
      <w:r>
        <w:rPr>
          <w:rFonts w:ascii="arial" w:eastAsia="arial" w:hAnsi="arial" w:cs="arial"/>
          <w:color w:val="000000"/>
          <w:sz w:val="20"/>
          <w:lang w:val="en-US" w:eastAsia="en-US" w:bidi="ar-SA"/>
        </w:rPr>
        <w:t xml:space="preserve">  Reference is made to </w:t>
      </w:r>
      <w:r>
        <w:rPr>
          <w:rFonts w:ascii="arial" w:eastAsia="arial" w:hAnsi="arial" w:cs="arial"/>
          <w:i/>
          <w:color w:val="000000"/>
          <w:sz w:val="20"/>
          <w:lang w:val="en-US" w:eastAsia="en-US" w:bidi="ar-SA"/>
        </w:rPr>
        <w:t>Symes v. Knooihuizen</w:t>
      </w:r>
      <w:r>
        <w:rPr>
          <w:rFonts w:ascii="arial" w:eastAsia="arial" w:hAnsi="arial" w:cs="arial"/>
          <w:color w:val="000000"/>
          <w:sz w:val="20"/>
          <w:lang w:val="en-US" w:eastAsia="en-US" w:bidi="ar-SA"/>
        </w:rPr>
        <w:t xml:space="preserve">, </w:t>
      </w:r>
      <w:hyperlink r:id="rId408" w:history="1">
        <w:r>
          <w:rPr>
            <w:rFonts w:ascii="arial" w:eastAsia="arial" w:hAnsi="arial" w:cs="arial"/>
            <w:i/>
            <w:color w:val="0077CC"/>
            <w:sz w:val="20"/>
            <w:u w:val="single"/>
            <w:shd w:val="clear" w:color="auto" w:fill="FFFFFF"/>
            <w:lang w:val="en-US" w:eastAsia="en-US" w:bidi="ar-SA"/>
          </w:rPr>
          <w:t>[1998] B.C.J. No. 611</w:t>
        </w:r>
      </w:hyperlink>
      <w:r>
        <w:rPr>
          <w:rFonts w:ascii="arial" w:eastAsia="arial" w:hAnsi="arial" w:cs="arial"/>
          <w:color w:val="000000"/>
          <w:sz w:val="20"/>
          <w:lang w:val="en-US" w:eastAsia="en-US" w:bidi="ar-SA"/>
        </w:rPr>
        <w:t>, where Master Bishop writes: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[39] The bottom line in exercising that discretion is really whether the proposed course of action, here issuing a Third Party Notice, is just and convenient in all of the circumstances of the case at hand. Put another way, the issue is, what does the better administration of justice demand, given the facts ascertainable at the time.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93</w:t>
      </w:r>
      <w:r>
        <w:rPr>
          <w:rFonts w:ascii="arial" w:eastAsia="arial" w:hAnsi="arial" w:cs="arial"/>
          <w:color w:val="000000"/>
          <w:sz w:val="20"/>
          <w:lang w:val="en-US" w:eastAsia="en-US" w:bidi="ar-SA"/>
        </w:rPr>
        <w:t>  In this case, the matter is set to go to trial in two months. The case has been litigated on the basis of the plaintiff alleging failure to disclose to her the previously known facts about problems with the foundations to the Residence. The defendants up to this time have defended on that basis. Now, when the plaintiff, as she puts it, has exhausted her emotional reserves, these applicants seek to embark on a whole new course of inquiry. They could have sought that course of inquiry long ago, but chose not to do so. It is just and convenient that their applications are dismissed.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94</w:t>
      </w:r>
      <w:r>
        <w:rPr>
          <w:rFonts w:ascii="arial" w:eastAsia="arial" w:hAnsi="arial" w:cs="arial"/>
          <w:color w:val="000000"/>
          <w:sz w:val="20"/>
          <w:lang w:val="en-US" w:eastAsia="en-US" w:bidi="ar-SA"/>
        </w:rPr>
        <w:t>  The plaintiff is entitled to its costs of these applications in any event of the cause.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MASTER R. McDIARMID</w:t>
      </w:r>
      <w:r>
        <w:rPr>
          <w:rFonts w:ascii="arial" w:eastAsia="arial" w:hAnsi="arial" w:cs="arial"/>
          <w:sz w:val="20"/>
          <w:lang w:val="en-US" w:eastAsia="en-US" w:bidi="ar-SA"/>
        </w:rPr>
        <w:cr/>
      </w:r>
    </w:p>
    <w:p>
      <w:pPr>
        <w:rPr>
          <w:rFonts w:ascii="arial" w:eastAsia="arial" w:hAnsi="arial" w:cs="arial"/>
          <w:sz w:val="20"/>
          <w:lang w:val="en-US" w:eastAsia="en-US" w:bidi="ar-SA"/>
        </w:rPr>
      </w:pPr>
    </w:p>
    <w:p>
      <w:pPr>
        <w:ind w:left="200"/>
        <w:rPr>
          <w:rFonts w:ascii="arial" w:eastAsia="arial" w:hAnsi="arial" w:cs="arial"/>
          <w:sz w:val="20"/>
          <w:lang w:val="en-US" w:eastAsia="en-US" w:bidi="ar-SA"/>
        </w:rPr>
        <w:sectPr>
          <w:type w:val="continuous"/>
          <w:pgMar w:top="840" w:right="1000" w:bottom="840" w:left="1000" w:header="400" w:footer="400"/>
          <w:pgNumType w:fmt="decimal"/>
          <w:cols w:space="720"/>
        </w:sectPr>
      </w:pPr>
      <w:r>
        <w:rPr>
          <w:rFonts w:ascii="arial" w:eastAsia="arial" w:hAnsi="arial" w:cs="arial"/>
          <w:sz w:val="20"/>
          <w:lang w:val="en-US" w:eastAsia="en-US" w:bidi="ar-SA"/>
        </w:rPr>
        <w:br/>
      </w:r>
      <w:r>
        <w:pict>
          <v:line id="_x0000_s1121" style="position:absolute;z-index:251874304" from="0,10pt" to="512pt,10pt" strokecolor="black" strokeweight="1pt">
            <v:stroke linestyle="single"/>
          </v:line>
        </w:pict>
      </w:r>
      <w:r>
        <w:rPr>
          <w:b/>
          <w:color w:val="767676"/>
          <w:sz w:val="16"/>
          <w:lang w:val="en-US" w:eastAsia="en-US" w:bidi="ar-SA"/>
        </w:rPr>
        <w:t>End of Document</w:t>
      </w:r>
    </w:p>
    <w:p>
      <w:pPr>
        <w:rPr>
          <w:rFonts w:ascii="arial" w:eastAsia="arial" w:hAnsi="arial" w:cs="arial"/>
          <w:sz w:val="20"/>
          <w:lang w:val="en-US" w:eastAsia="en-US" w:bidi="ar-SA"/>
        </w:rPr>
        <w:sectPr>
          <w:headerReference w:type="even" r:id="rId443"/>
          <w:headerReference w:type="default" r:id="rId444"/>
          <w:footerReference w:type="even" r:id="rId445"/>
          <w:footerReference w:type="default" r:id="rId446"/>
          <w:headerReference w:type="first" r:id="rId447"/>
          <w:footerReference w:type="first" r:id="rId448"/>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eastAsia="arial" w:hAnsi="Arial" w:cs="Arial"/>
          <w:b/>
          <w:bCs/>
          <w:kern w:val="32"/>
          <w:sz w:val="32"/>
          <w:szCs w:val="32"/>
          <w:lang w:val="en-US" w:eastAsia="en-US" w:bidi="ar-SA"/>
        </w:rPr>
      </w:pPr>
      <w:hyperlink r:id="rId449" w:history="1">
        <w:r>
          <w:rPr>
            <w:rFonts w:ascii="arial" w:eastAsia="arial" w:hAnsi="arial" w:cs="arial"/>
            <w:b/>
            <w:bCs/>
            <w:i/>
            <w:color w:val="0077CC"/>
            <w:kern w:val="32"/>
            <w:sz w:val="28"/>
            <w:szCs w:val="32"/>
            <w:u w:val="single"/>
            <w:shd w:val="clear" w:color="auto" w:fill="FFFFFF"/>
            <w:lang w:val="en-US" w:eastAsia="en-US" w:bidi="ar-SA"/>
          </w:rPr>
          <w:t>Grey v. College of the Rockies, [2005] B.C.J. No. 863</w:t>
        </w:r>
      </w:hyperlink>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Judgments</w:t>
      </w:r>
    </w:p>
    <w:p>
      <w:pPr>
        <w:rPr>
          <w:rFonts w:ascii="arial" w:eastAsia="arial" w:hAnsi="arial" w:cs="arial"/>
          <w:sz w:val="20"/>
          <w:lang w:val="en-US" w:eastAsia="en-US" w:bidi="ar-SA"/>
        </w:rPr>
      </w:pP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Cranbrook, British Columbia</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Master Keighley</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Heard: April 4, 2005.</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Judgment: April 15, 2005.</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Cranbrook Registry No. 13841</w:t>
      </w:r>
    </w:p>
    <w:p>
      <w:pPr>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r>
        <w:rPr>
          <w:rFonts w:ascii="arial" w:eastAsia="arial" w:hAnsi="arial" w:cs="arial"/>
          <w:b/>
          <w:color w:val="000000"/>
          <w:sz w:val="20"/>
          <w:lang w:val="en-US" w:eastAsia="en-US" w:bidi="ar-SA"/>
        </w:rPr>
        <w:t>[2005] B.C.J. No. 863</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2005 BCSC 575</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139 A.C.W.S. (3d) 250</w:t>
      </w:r>
    </w:p>
    <w:p>
      <w:pPr>
        <w:spacing w:before="120" w:line="260" w:lineRule="atLeast"/>
        <w:rPr>
          <w:rFonts w:ascii="arial" w:eastAsia="arial" w:hAnsi="arial" w:cs="arial"/>
          <w:sz w:val="20"/>
          <w:lang w:val="en-US" w:eastAsia="en-US" w:bidi="ar-SA"/>
        </w:rPr>
      </w:pPr>
      <w:r>
        <w:rPr>
          <w:rFonts w:ascii="arial" w:eastAsia="arial" w:hAnsi="arial" w:cs="arial"/>
          <w:color w:val="000000"/>
          <w:sz w:val="20"/>
          <w:lang w:val="en-US" w:eastAsia="en-US" w:bidi="ar-SA"/>
        </w:rPr>
        <w:t>Between James Grey, plaintiff, and College of the Rockies, defendant</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(36 paras.)</w:t>
      </w:r>
    </w:p>
    <w:p>
      <w:pPr>
        <w:keepNext/>
        <w:spacing w:before="12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Case Summary</w:t>
      </w:r>
    </w:p>
    <w:p>
      <w:pPr>
        <w:spacing w:line="60" w:lineRule="exact"/>
        <w:rPr>
          <w:rFonts w:ascii="arial" w:eastAsia="arial" w:hAnsi="arial" w:cs="arial"/>
          <w:sz w:val="20"/>
          <w:lang w:val="en-US" w:eastAsia="en-US" w:bidi="ar-SA"/>
        </w:rPr>
      </w:pPr>
      <w:r>
        <w:pict>
          <v:line id="_x0000_s1122" style="position:absolute;z-index:251678720"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bookmarkStart w:id="123" w:name="Keywords_18"/>
      <w:bookmarkEnd w:id="123"/>
      <w:r>
        <w:rPr>
          <w:rFonts w:ascii="arial" w:eastAsia="arial" w:hAnsi="arial" w:cs="arial"/>
          <w:b/>
          <w:color w:val="000000"/>
          <w:sz w:val="20"/>
          <w:lang w:val="en-US" w:eastAsia="en-US" w:bidi="ar-SA"/>
        </w:rPr>
        <w:t>Civil procedure — Parties — Adding or substituting — Pleadings — Amendment of — Statement of claim — Adding new cause of action — Discovery — Production and inspection of documents — Relevancy contested — Trials — Severance of issues or parties.</w:t>
      </w:r>
    </w:p>
    <w:p>
      <w:pPr>
        <w:rPr>
          <w:rFonts w:ascii="arial" w:eastAsia="arial" w:hAnsi="arial" w:cs="arial"/>
          <w:sz w:val="20"/>
          <w:lang w:val="en-US" w:eastAsia="en-US" w:bidi="ar-SA"/>
        </w:rPr>
      </w:pPr>
    </w:p>
    <w:tbl>
      <w:tblPr>
        <w:tblStyle w:val="TableNormal"/>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
      <w:tblGrid>
        <w:gridCol w:w="10225"/>
      </w:tblGrid>
      <w:tr>
        <w:tblPrEx>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Ex>
        <w:tc>
          <w:tcPr/>
          <w:p>
            <w:pPr>
              <w:rPr>
                <w:rFonts w:ascii="arial" w:eastAsia="arial" w:hAnsi="arial" w:cs="arial"/>
                <w:sz w:val="20"/>
                <w:lang w:val="en-US" w:eastAsia="en-US" w:bidi="ar-SA"/>
              </w:rPr>
            </w:pPr>
            <w:bookmarkStart w:id="124" w:name="Case Summary_17"/>
            <w:bookmarkEnd w:id="124"/>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Application by the plaintiff, Grey, to amend his statement of claim to include claims alleging spoliation of evidence, to add New and Barnes as defendants, to extend the time for filing expert reports, to sever the issues of liability and quantum, and for disclosure by the defendant College of contact information for students and Barnes, a former staff member. Grey was claiming damages for injuries he allegedly received while using exercise equipment in 2001 in a gym facility operated by the College. Grey claimed that he was using a calf block that moved and caused him to fall to the floor together with the weights he had been lifting. The trial was scheduled for six days in May 2005. Grey alleged Barnes was the supervisor of the gym during his accident. Barnes deposed he was in Alberta at the time of the accident. The College submitted the disclosure requested by Grey would require disclosure of contact information relating to 188 students. </w:t>
            </w:r>
            <w:r>
              <w:rPr>
                <w:rFonts w:ascii="arial" w:eastAsia="arial" w:hAnsi="arial" w:cs="arial"/>
                <w:sz w:val="20"/>
                <w:lang w:val="en-US" w:eastAsia="en-US" w:bidi="ar-SA"/>
              </w:rPr>
              <w:cr/>
            </w:r>
          </w:p>
          <w:p>
            <w:pPr>
              <w:spacing w:before="120" w:line="260" w:lineRule="atLeast"/>
              <w:ind w:left="240"/>
              <w:jc w:val="both"/>
              <w:rPr>
                <w:rFonts w:ascii="arial" w:eastAsia="arial" w:hAnsi="arial" w:cs="arial"/>
                <w:sz w:val="20"/>
                <w:lang w:val="en-US" w:eastAsia="en-US" w:bidi="ar-SA"/>
              </w:rPr>
            </w:pPr>
            <w:bookmarkStart w:id="125" w:name="Holdings of Court_13"/>
            <w:bookmarkEnd w:id="125"/>
            <w:r>
              <w:rPr>
                <w:rFonts w:ascii="arial" w:eastAsia="arial" w:hAnsi="arial" w:cs="arial"/>
                <w:color w:val="000000"/>
                <w:sz w:val="20"/>
                <w:lang w:val="en-US" w:eastAsia="en-US" w:bidi="ar-SA"/>
              </w:rPr>
              <w:t>HELD: Application dismissed.</w:t>
            </w:r>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There was no tort of spoliation. Grey was not entitled to amend his statement of claim. There was no cause of action between Grey and New and Barnes relating to the subject matter of the action. There was nothing to suggest that any acts of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of New or Barnes would not be covered by the vicarious liability of their employer, the College. The application to extend the time for filing expert reports was adjourned to trial. There was no relevancy of the information sought from the students. Grey had not established how severing the trial would save time and expense. It was unlikely a resolution of liability would end the litigation. </w:t>
            </w:r>
            <w:r>
              <w:rPr>
                <w:rFonts w:ascii="arial" w:eastAsia="arial" w:hAnsi="arial" w:cs="arial"/>
                <w:sz w:val="20"/>
                <w:lang w:val="en-US" w:eastAsia="en-US" w:bidi="ar-SA"/>
              </w:rPr>
              <w:cr/>
            </w:r>
          </w:p>
          <w:p>
            <w:pPr>
              <w:rPr>
                <w:rFonts w:ascii="arial" w:eastAsia="arial" w:hAnsi="arial" w:cs="arial"/>
                <w:sz w:val="20"/>
                <w:lang w:val="en-US" w:eastAsia="en-US" w:bidi="ar-SA"/>
              </w:rPr>
            </w:pPr>
          </w:p>
        </w:tc>
      </w:tr>
    </w:tbl>
    <w:p>
      <w:pPr>
        <w:jc w:val="both"/>
        <w:rPr>
          <w:rFonts w:ascii="arial" w:eastAsia="arial" w:hAnsi="arial" w:cs="arial"/>
          <w:sz w:val="20"/>
          <w:lang w:val="en-US" w:eastAsia="en-US" w:bidi="ar-SA"/>
        </w:rPr>
      </w:pPr>
      <w:bookmarkStart w:id="126" w:name="Legislation Cited_13"/>
      <w:bookmarkEnd w:id="126"/>
      <w:r>
        <w:rPr>
          <w:rFonts w:ascii="arial" w:eastAsia="arial" w:hAnsi="arial" w:cs="arial"/>
          <w:sz w:val="20"/>
          <w:lang w:val="en-US" w:eastAsia="en-US" w:bidi="ar-SA"/>
        </w:rPr>
        <w:br/>
      </w:r>
    </w:p>
    <w:p>
      <w:pPr>
        <w:keepNext/>
        <w:spacing w:before="24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Statutes, Regulations and Rules Cited:</w:t>
      </w:r>
    </w:p>
    <w:p>
      <w:pPr>
        <w:spacing w:line="60" w:lineRule="exact"/>
        <w:rPr>
          <w:rFonts w:ascii="arial" w:eastAsia="arial" w:hAnsi="arial" w:cs="arial"/>
          <w:sz w:val="20"/>
          <w:lang w:val="en-US" w:eastAsia="en-US" w:bidi="ar-SA"/>
        </w:rPr>
      </w:pPr>
      <w:r>
        <w:pict>
          <v:line id="_x0000_s1123" style="position:absolute;z-index:251729920"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 Rules, Rules 1(5), 15(5)(a), 15(5)(a)(ii), 15(5)(a)(iii), 39(29), 40A.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Criminal Code.</w:t>
      </w:r>
      <w:r>
        <w:rPr>
          <w:rFonts w:ascii="arial" w:eastAsia="arial" w:hAnsi="arial" w:cs="arial"/>
          <w:sz w:val="20"/>
          <w:lang w:val="en-US" w:eastAsia="en-US" w:bidi="ar-SA"/>
        </w:rPr>
        <w:cr/>
      </w:r>
    </w:p>
    <w:p>
      <w:pPr>
        <w:keepNext/>
        <w:spacing w:before="240" w:line="340" w:lineRule="atLeast"/>
        <w:rPr>
          <w:rFonts w:ascii="arial" w:eastAsia="arial" w:hAnsi="arial" w:cs="arial"/>
          <w:sz w:val="20"/>
          <w:lang w:val="en-US" w:eastAsia="en-US" w:bidi="ar-SA"/>
        </w:rPr>
      </w:pPr>
      <w:bookmarkStart w:id="127" w:name="Counsel_18"/>
      <w:bookmarkEnd w:id="127"/>
      <w:r>
        <w:rPr>
          <w:rFonts w:ascii="arial" w:eastAsia="arial" w:hAnsi="arial" w:cs="arial"/>
          <w:b/>
          <w:color w:val="000000"/>
          <w:sz w:val="28"/>
          <w:lang w:val="en-US" w:eastAsia="en-US" w:bidi="ar-SA"/>
        </w:rPr>
        <w:t>Counsel</w:t>
      </w:r>
    </w:p>
    <w:p>
      <w:pPr>
        <w:spacing w:line="60" w:lineRule="exact"/>
        <w:rPr>
          <w:rFonts w:ascii="arial" w:eastAsia="arial" w:hAnsi="arial" w:cs="arial"/>
          <w:sz w:val="20"/>
          <w:lang w:val="en-US" w:eastAsia="en-US" w:bidi="ar-SA"/>
        </w:rPr>
      </w:pPr>
      <w:r>
        <w:pict>
          <v:line id="_x0000_s1124" style="position:absolute;z-index:251781120"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James Grey: Appearing on his own behalf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Counsel for the Defendant: D.J. Bell</w:t>
      </w:r>
      <w:r>
        <w:rPr>
          <w:rFonts w:ascii="arial" w:eastAsia="arial" w:hAnsi="arial" w:cs="arial"/>
          <w:sz w:val="20"/>
          <w:lang w:val="en-US" w:eastAsia="en-US" w:bidi="ar-SA"/>
        </w:rPr>
        <w:cr/>
      </w:r>
    </w:p>
    <w:p>
      <w:pPr>
        <w:spacing w:after="240"/>
        <w:rPr>
          <w:rFonts w:ascii="arial" w:eastAsia="arial" w:hAnsi="arial" w:cs="arial"/>
          <w:sz w:val="20"/>
          <w:lang w:val="en-US" w:eastAsia="en-US" w:bidi="ar-SA"/>
        </w:rPr>
      </w:pPr>
      <w:bookmarkStart w:id="128" w:name="Judgment_19"/>
      <w:bookmarkEnd w:id="128"/>
      <w:r>
        <w:pict>
          <v:line id="_x0000_s1125" style="position:absolute;z-index:251830272" from="0,12pt" to="512pt,12pt" strokecolor="#009ddb" strokeweight="1.5pt">
            <v:stroke linestyle="single"/>
          </v:line>
        </w:pict>
      </w:r>
    </w:p>
    <w:p>
      <w:pPr>
        <w:rPr>
          <w:rFonts w:ascii="arial" w:eastAsia="arial" w:hAnsi="arial" w:cs="arial"/>
          <w:sz w:val="20"/>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3154"/>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rFonts w:ascii="arial" w:eastAsia="arial" w:hAnsi="arial" w:cs="arial"/>
                <w:sz w:val="20"/>
                <w:lang w:val="en-US" w:eastAsia="en-US" w:bidi="ar-SA"/>
              </w:rPr>
            </w:pPr>
            <w:bookmarkStart w:id="129" w:name="MASTER KEIGHLEY"/>
            <w:bookmarkEnd w:id="129"/>
            <w:r>
              <w:rPr>
                <w:rFonts w:ascii="arial" w:eastAsia="arial" w:hAnsi="arial" w:cs="arial"/>
                <w:b/>
                <w:color w:val="000000"/>
                <w:sz w:val="30"/>
                <w:lang w:val="en-US" w:eastAsia="en-US" w:bidi="ar-SA"/>
              </w:rPr>
              <w:t>MASTER KEIGHLEY</w:t>
            </w:r>
          </w:p>
        </w:tc>
      </w:tr>
    </w:tbl>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xml:space="preserve">   In this action the plaintiff seeks damages as compensation for injuries allegedly received on November 5, 2001, while using exercise equipment in a gym facility operated by the defendant. The plaintiff alleges that, at the time of the accident, he was performing an exercise known as a "calf raise" with the aid of a platform known as a "calf block" which, allegedly as a result of the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of the defendant, moved and caused him to fall to the floor together with the weights he had been lifting. The plaintiff alleges serious injury.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The trial is scheduled for six days, commencing May 10, 2005.</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The plaintiff brings five motions before the Court.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THE MOTION TO STRIKE AND AMEND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By motion dated February 15, 2005, the plaintiff seeks to strike out paragraphs 11 through 18 inclusive of the Affidavit #2 of Fairy Marshall and the Affidavit #2 of Mary Pauls in its entirety. The plaintiff also seeks leave to amend his Statement of Claim to include claims alleging spoliation of evidence and additional particulars of injuries received.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THE MOTION TO ADD DEFENDANTS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By motion dated January 25, 2005, the plaintiff seeks to add Michael Christopher New and David Barnes as defendants and seeks to amend the style of cause accordingly.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THE MOTION TO EXTEND THE TIME FOR FILING EXPERT REPORTS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By motion dated March 22, 2005, the plaintiff seeks to abridge the requirements of Rule 40A and seeks an order allowing him to serve expert reports on the defendant two weeks prior to trial.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THE MOTION TO SEVER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By motion dated March 22, 2005, the plaintiff seeks an order severing the issues of liability and quantum and, by implication, an order that the trial presently scheduled for May 10, 2005 proceed with respect to the issue of liability only. The plaintiff also seeks an order that, should the defendant be found liable, that it be required to pay money into court to fund prosecution of the quantum element of the claim.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THE MOTION FOR DISCLOSURE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By motion dated January 24, 2005, the plaintiff seeks orders requiring the defendant to provide him with contact information for all students registered in the Human Kinetics Program from September 2000 through April 30, 2002, all students registered in the Fitness and Exercise Leadership Certificate program and all students on the school's volleyball teams for the same period. The plaintiff also seeks contact information for David Barnes, a former staff member, Keith Wills, a former coach and staff member and copies of statements provided to the defendant by two witnesses to the mishap and David Barnes. In addition, the plaintiff also seeks documents relating to the defendant's insurance coverage relating to the weight room, including pictures and inspections. The plaintiff also seeks documents relating to the defendant's insurance coverage relating to the weight room, including pictures and inspections performed for insurance purposes and a copy of the weight room sign-in book for the period November 5, 2001 to April 30, 2002. Finally, the plaintiff also seeks an order requiring the defendant to cross-reference names in the sign in book with contact information for the parties named.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DISCUSSION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I will deal firstly with the motion to strike and amend referred to in paragraph 4 of these reasons. Essentially, the plaintiff seeks to strike the referred-to portions of the defendant's materials on the basis that the respective deponents have failed to set out what he says is the totality of the evidence with respect to the contentious portions. Both deponents set out the basis for their respective beliefs that the plaintiff, by reason of their knowledge of him and his actions, may harass students should he be provided with detailed contact information.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xml:space="preserve">  During submissions, I expressed to the plaintiff and Mr. Bell my concern that, as a master, I lacked jurisdiction to rule on this issue. I am reinforced in that concern by the remarks of Esson C.J.S.C., as he then was, in the case of Evans Forest Products Ltd. v. British Columbia (Chief Forester), </w:t>
      </w:r>
      <w:hyperlink r:id="rId450" w:history="1">
        <w:r>
          <w:rPr>
            <w:rFonts w:ascii="arial" w:eastAsia="arial" w:hAnsi="arial" w:cs="arial"/>
            <w:i/>
            <w:color w:val="0077CC"/>
            <w:sz w:val="20"/>
            <w:u w:val="single"/>
            <w:shd w:val="clear" w:color="auto" w:fill="FFFFFF"/>
            <w:lang w:val="en-US" w:eastAsia="en-US" w:bidi="ar-SA"/>
          </w:rPr>
          <w:t>[1995] B.C.J. No. 729</w:t>
        </w:r>
      </w:hyperlink>
      <w:r>
        <w:rPr>
          <w:rFonts w:ascii="arial" w:eastAsia="arial" w:hAnsi="arial" w:cs="arial"/>
          <w:color w:val="000000"/>
          <w:sz w:val="20"/>
          <w:lang w:val="en-US" w:eastAsia="en-US" w:bidi="ar-SA"/>
        </w:rPr>
        <w:t xml:space="preserve"> (S.C.) in which he ruled that the authority to strike irrelevant matter from affidavits derives from the inherent power of the court to prevent abuse of its process. Accordingly, this aspect of the plaintiff's motion dated February 15, 2005, is adjourned generally.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xml:space="preserve">  In this same motion, the plaintiff seeks orders allowing the amendment of the Statement of Claim to include allegations that the defendants have committed the "tort of spoliation" (i.e. destruction of documents) and further that the defendant and its insurance company have acted in bad faith. The destruction of documents, if proven, carries a procedural as opposed to a substantive, remedy, that is, a presumption that the missing document would, if produced, militate against the party destroying or suppressing it: Endean v. Canadian Red Cross Society, </w:t>
      </w:r>
      <w:hyperlink r:id="rId451" w:history="1">
        <w:r>
          <w:rPr>
            <w:rFonts w:ascii="arial" w:eastAsia="arial" w:hAnsi="arial" w:cs="arial"/>
            <w:i/>
            <w:color w:val="0077CC"/>
            <w:sz w:val="20"/>
            <w:u w:val="single"/>
            <w:shd w:val="clear" w:color="auto" w:fill="FFFFFF"/>
            <w:lang w:val="en-US" w:eastAsia="en-US" w:bidi="ar-SA"/>
          </w:rPr>
          <w:t>[1998] B.C.J. No. 724</w:t>
        </w:r>
      </w:hyperlink>
      <w:r>
        <w:rPr>
          <w:rFonts w:ascii="arial" w:eastAsia="arial" w:hAnsi="arial" w:cs="arial"/>
          <w:color w:val="000000"/>
          <w:sz w:val="20"/>
          <w:lang w:val="en-US" w:eastAsia="en-US" w:bidi="ar-SA"/>
        </w:rPr>
        <w:t xml:space="preserve"> (C.A.). Accordingly, there exists no "tort" of spoliation and the plaintiff's application to amend his Statement of Claim to include this item is dismissed. Similarly, as the plaintiff is not an insured, no duty of absolute fidelity exists as between the plaintiff and the defendant. Accordingly the plaintiff's application to amend his Statement of Claim to include such an allegation is dismissed.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The plaintiff also seeks leave to add Michael Christopher New and David Barnes as defendants some three years and more following the date of the alleged accident. The plaintiff alleges in his materials that Mr. New "misled the Court" at his discovery with respect to the name of a staff member on duty at the time of the mishap and also says that New and Barnes have conspired with the defendant to say that the plaintiff was using a different calf block at the time of the accident than the one the plaintiff says was in use. No particular basis is put forward for the addition of Barnes as a party, except for the plaintiff's allegation that the gym was, at the time of the accident, under his supervision. Barnes has filed an affidavit in which he deposes that he was in Alberta at the time of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Precisely which type of calf block was in use at the time of the mishap is a matter which will be determined at trial after consideration of all available, relevant, evidence. Mr. Bell advised the Court that New will be a witness at trial but that his client does not intend to call Barnes, who may, of course be subpoenaed by the plaintiff if his attendance is required. That both New and Barnes were in the employ of the defendant at the time of the accident appears not to be in dispute.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Rule 15(5)(a) of the Rules of Court reads as follows: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At any stage of a proceeding, the court on application by any person may</w:t>
      </w:r>
    </w:p>
    <w:p>
      <w:pPr>
        <w:numPr>
          <w:numId w:val="9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order that a party, who is not or who has ceased to be a proper or necessary party, cease to be a party,</w:t>
      </w:r>
    </w:p>
    <w:p>
      <w:pPr>
        <w:numPr>
          <w:numId w:val="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order that a person, who ought to have been joined as a party or whose participation in the proceeding is necessary to ensure that all matters in the proceeding may be effectually adjudicated upon, be added or substituted as a party, and</w:t>
      </w:r>
    </w:p>
    <w:p>
      <w:pPr>
        <w:numPr>
          <w:numId w:val="3"/>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order that a person be added as a party where there may exist between the person and any party to the proceeding, a question or issue related to or connected</w:t>
      </w:r>
    </w:p>
    <w:p>
      <w:pPr>
        <w:numPr>
          <w:numId w:val="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with any relief claimed in the proceeding, or</w:t>
      </w:r>
    </w:p>
    <w:p>
      <w:pPr>
        <w:numPr>
          <w:numId w:val="5"/>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with the subject matter of the proceeding,</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which, in the opinion of the court it would be just and convenient to determine as between the person and that party.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w:t>
      </w:r>
      <w:r>
        <w:rPr>
          <w:rFonts w:ascii="arial" w:eastAsia="arial" w:hAnsi="arial" w:cs="arial"/>
          <w:color w:val="000000"/>
          <w:sz w:val="20"/>
          <w:lang w:val="en-US" w:eastAsia="en-US" w:bidi="ar-SA"/>
        </w:rPr>
        <w:t xml:space="preserve">  Under subrule (ii), the plaintiff must establish either that the persons sought to be added "ought to have been joined as a party" or that their "participation in the process is necessary" in order to permit the issues between the existing parties to be effectually adjudicated. In this case the issue between the plaintiff and defendant is whether the defendant, as occupier, is liable to the plaintiff for failure to take reasonable care in providing a safe recreational environment. That is an issue which can be effectually adjudicated between the original parties. Turning to the application of subrule (iii), I cannot see that there exists between the plaintiff and either of the proposed new defendants any cause of action related to the subject matter of the action or relief claimed. There is nothing in the material before me to suggest any acts of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or other tortious conduct on the parts of New or Barnes which would not be covered by the vicarious liability of their employer, the defendant. Accordingly, the plaintiff's application to add New and Barnes as defendants and amend the Statement of Claim to reflect claims against them is denied. Having arrived at this conclusion on the basis indicated, I have not had to consider a possible limitation issue.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w:t>
      </w:r>
      <w:r>
        <w:rPr>
          <w:rFonts w:ascii="arial" w:eastAsia="arial" w:hAnsi="arial" w:cs="arial"/>
          <w:color w:val="000000"/>
          <w:sz w:val="20"/>
          <w:lang w:val="en-US" w:eastAsia="en-US" w:bidi="ar-SA"/>
        </w:rPr>
        <w:t>  The form of amendment proposed by the plaintiff also includes allegations of conspiracy and breaches of the Criminal Code, as well as claims regarding alleged physical and psychological injury and anxiety. The proposed amendment also includes claims for punitive and aggravated 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w:t>
      </w:r>
      <w:r>
        <w:rPr>
          <w:rFonts w:ascii="arial" w:eastAsia="arial" w:hAnsi="arial" w:cs="arial"/>
          <w:color w:val="000000"/>
          <w:sz w:val="20"/>
          <w:lang w:val="en-US" w:eastAsia="en-US" w:bidi="ar-SA"/>
        </w:rPr>
        <w:t>  The trial of this action is scheduled to begin on May 10, 2005. The plaintiff has not been discovered on the subject matter of these proposed amendments. Additional expert evidence will be required to establish the claims concerning additional physical and psychological injuries. Six days have been set aside for trial and may prove insufficient if the amendments are allowed. In these circumstances, the prejudice suffered by the defendant, at this late stage, outweighs the potential prejudice, which might be suffered by the plaintiff in not having these additional claims adjudicated. I note that the trial of this matter was originally scheduled to proceed in November 2004, but was adjourned on application by the plaintiff heard the first morning of trial. The plaintiff has had some five months to seek leave to amend his pleadings and now seeks these amendments at the eleventh hour, to the prejudice of the defendant. The plaintiff's application to amend his Statement of Claim to include these additional claims is denied.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w:t>
      </w:r>
      <w:r>
        <w:rPr>
          <w:rFonts w:ascii="arial" w:eastAsia="arial" w:hAnsi="arial" w:cs="arial"/>
          <w:color w:val="000000"/>
          <w:sz w:val="20"/>
          <w:lang w:val="en-US" w:eastAsia="en-US" w:bidi="ar-SA"/>
        </w:rPr>
        <w:t>  The plaintiff seeks leave to abridge the requirements of Rule 40A with respect to the delivery of expert reports. He refers not to a specific report or reports but it appears that he has requested and received only one report of this nature to date: a written medical report dated January 27, 2005, from Dr. C.K. Buckley. This report has not been delivered to the defendant in compliance with the Rule. The plaintiff does not indicate whether or not he intends to seek to call Dr. Buckley to give evidence at trial. In these circumstances, the plaintiff's application for exemption from the requirements of Rule 40A is adjourned to trial. I decline to make any general order with respect to exemption for reports which do not yet exist. I note that the defendant, as early as September 8, 2004, advised the plaintiff of the requirements of Rule 40A and placed the plaintiff on notice that it would require strict compliance with the Rule.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w:t>
      </w:r>
      <w:r>
        <w:rPr>
          <w:rFonts w:ascii="arial" w:eastAsia="arial" w:hAnsi="arial" w:cs="arial"/>
          <w:color w:val="000000"/>
          <w:sz w:val="20"/>
          <w:lang w:val="en-US" w:eastAsia="en-US" w:bidi="ar-SA"/>
        </w:rPr>
        <w:t>  The plaintiff seeks disclosure of a large quantity of documentation, consisting largely of names and contact information for former students of the college. The plaintiff alleges that these students, in certain categories, may have been in the weight room from time to time and may have seen the type of calf block in use (the parties disagree on the design in use at the material time).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w:t>
      </w:r>
      <w:r>
        <w:rPr>
          <w:rFonts w:ascii="arial" w:eastAsia="arial" w:hAnsi="arial" w:cs="arial"/>
          <w:color w:val="000000"/>
          <w:sz w:val="20"/>
          <w:lang w:val="en-US" w:eastAsia="en-US" w:bidi="ar-SA"/>
        </w:rPr>
        <w:t>  A representative of the defendant deposed that the plaintiffs' request for information relating to students in the Human Kinetics Program and Fitness and Exercise leadership certificate program would require disclosure of contact information relating to 153 students in these programs and an additional 35 students in the volleyball programs. This representative deposes that only one class of students spent time in the weight room and did not perform calf raises. The representative indicates that while the volleyball team members were required to follow a workout regime, there was no requirement that such training take place on campus.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w:t>
      </w:r>
      <w:r>
        <w:rPr>
          <w:rFonts w:ascii="arial" w:eastAsia="arial" w:hAnsi="arial" w:cs="arial"/>
          <w:color w:val="000000"/>
          <w:sz w:val="20"/>
          <w:lang w:val="en-US" w:eastAsia="en-US" w:bidi="ar-SA"/>
        </w:rPr>
        <w:t>  With respect to this aspect of the plaintiff's application, I must consider whether the plaintiff's interest in possibly unearthing evidence to support his claim outweighs the privacy interests of 187 students who may have no evidence to contribute. I am also asked to consider allegations by the defendant's representatives that the plaintiff has a history of threatening and intimidating behaviour to those who disagree with him, but, in the result, it is unnecessary for me to do so. A review of the plaintiff's materials does not suggest any reasonable basis upon which I might conclude that any of the 187 students with respect to whom information is sought may have any evidence to give on the issue of the type of equipment in use over three years ago. I am unable to determine the relevancy of the information and documentation sought and must dismiss this aspect of the plaintiff's application. I have reached the same conclusion with respect to the plaintiff's application for production of the weight room sign-in book.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w:t>
      </w:r>
      <w:r>
        <w:rPr>
          <w:rFonts w:ascii="arial" w:eastAsia="arial" w:hAnsi="arial" w:cs="arial"/>
          <w:color w:val="000000"/>
          <w:sz w:val="20"/>
          <w:lang w:val="en-US" w:eastAsia="en-US" w:bidi="ar-SA"/>
        </w:rPr>
        <w:t>  The plaintiff's application for contact information relating to David Barnes and Keith Wills is dismissed. The defendant has provided contact information with respect to Mr. Barnes and has no current information relating to Mr. Wills.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w:t>
      </w:r>
      <w:r>
        <w:rPr>
          <w:rFonts w:ascii="arial" w:eastAsia="arial" w:hAnsi="arial" w:cs="arial"/>
          <w:color w:val="000000"/>
          <w:sz w:val="20"/>
          <w:lang w:val="en-US" w:eastAsia="en-US" w:bidi="ar-SA"/>
        </w:rPr>
        <w:t>  The plaintiff seeks production of witness statements given to the defendant by Barnes, a former employee and Kara McFarlane and Dan Poirier, witnesses to the incident. The defendant takes the position that these statements were taken only after notice of a potential claim had been received by the defendant and in contemplation of this litigation. As such, they are covered by litigation privilege and need not be disclosed.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w:t>
      </w:r>
      <w:r>
        <w:rPr>
          <w:rFonts w:ascii="arial" w:eastAsia="arial" w:hAnsi="arial" w:cs="arial"/>
          <w:color w:val="000000"/>
          <w:sz w:val="20"/>
          <w:lang w:val="en-US" w:eastAsia="en-US" w:bidi="ar-SA"/>
        </w:rPr>
        <w:t>  The plaintiff also seeks production of documents relating to the defendant's insurance coverage concerning the weight room and equipment, including pictures and inspections performed for insurance purposes. A representative of the defendant has deposed that she has reviewed the inspection reports and the only reference to a weight room is that one exists in the college facility. She states that no photographs are attached to the inspection reports. Documentation relating to insurance coverage generally is not relevant to this litigation and it appears that there is nothing in the inspection reports which might assist the plaintiff in the prosecution of his claim. The plaintiff's application for production of materials relating to the defendant's insurance coverage is dismissed.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w:t>
      </w:r>
      <w:r>
        <w:rPr>
          <w:rFonts w:ascii="arial" w:eastAsia="arial" w:hAnsi="arial" w:cs="arial"/>
          <w:color w:val="000000"/>
          <w:sz w:val="20"/>
          <w:lang w:val="en-US" w:eastAsia="en-US" w:bidi="ar-SA"/>
        </w:rPr>
        <w:t>  Finally, the plaintiff seeks to sever the issues of liability and quantum. He also seeks an order that, should the defendant be found liable, it be required to pay into court funds to assist him in the prosecution of the quantum aspect of the claim. The plaintiff says that he will require at least $5,000 for a medical legal assessment of his injuries and a further $5,000 for legal fees to prosecute his claim.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w:t>
      </w:r>
      <w:r>
        <w:rPr>
          <w:rFonts w:ascii="arial" w:eastAsia="arial" w:hAnsi="arial" w:cs="arial"/>
          <w:color w:val="000000"/>
          <w:sz w:val="20"/>
          <w:lang w:val="en-US" w:eastAsia="en-US" w:bidi="ar-SA"/>
        </w:rPr>
        <w:t xml:space="preserve">  Rule 39(29) of the Rules of Court provides that one or more questions of fact or law may be tried and determined before the others, but does not provide any guidance as to how that discretion is to be exercised. As Martinson J., indicated in the case of Nguyen v. Bains, </w:t>
      </w:r>
      <w:hyperlink r:id="rId452" w:history="1">
        <w:r>
          <w:rPr>
            <w:rFonts w:ascii="arial" w:eastAsia="arial" w:hAnsi="arial" w:cs="arial"/>
            <w:i/>
            <w:color w:val="0077CC"/>
            <w:sz w:val="20"/>
            <w:u w:val="single"/>
            <w:shd w:val="clear" w:color="auto" w:fill="FFFFFF"/>
            <w:lang w:val="en-US" w:eastAsia="en-US" w:bidi="ar-SA"/>
          </w:rPr>
          <w:t>[2001] B.C.J. No. 1571</w:t>
        </w:r>
      </w:hyperlink>
      <w:r>
        <w:rPr>
          <w:rFonts w:ascii="arial" w:eastAsia="arial" w:hAnsi="arial" w:cs="arial"/>
          <w:color w:val="000000"/>
          <w:sz w:val="20"/>
          <w:lang w:val="en-US" w:eastAsia="en-US" w:bidi="ar-SA"/>
        </w:rPr>
        <w:t>, some guidance is provided by Rule 1(5) which states that the object of the Rules is "to secure the just, speedy and inexpensive determination of every proceeding on its merits". Her Ladyship went on to note the following general principles established by case law:</w:t>
      </w:r>
      <w:r>
        <w:rPr>
          <w:rFonts w:ascii="arial" w:eastAsia="arial" w:hAnsi="arial" w:cs="arial"/>
          <w:sz w:val="20"/>
          <w:lang w:val="en-US" w:eastAsia="en-US" w:bidi="ar-SA"/>
        </w:rPr>
        <w:cr/>
      </w:r>
    </w:p>
    <w:p>
      <w:pPr>
        <w:numPr>
          <w:numId w:val="6"/>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A judge's discretion to sever an issue is probably not restricted to extraordinary or exceptional cases. However, it should not be exercised in favour of severance unless there is a real likelihood of a significant saving in time and expense;</w:t>
      </w:r>
    </w:p>
    <w:p>
      <w:pPr>
        <w:numPr>
          <w:numId w:val="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Severance may be appropriate if the issue to be tried first could be determinative in that its resolution could put an end to the action for one or more parties;</w:t>
      </w:r>
    </w:p>
    <w:p>
      <w:pPr>
        <w:numPr>
          <w:numId w:val="8"/>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Severance is most appropriate when the trial is by judge alone;</w:t>
      </w:r>
    </w:p>
    <w:p>
      <w:pPr>
        <w:numPr>
          <w:numId w:val="9"/>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Severance should generally not be ordered when the issue to be tried is interwoven with other issues in the trial. This concern may be addressed by having the same judge hear both parts of the trial and ordering that the evidence in the first part applies to the second part;</w:t>
      </w:r>
    </w:p>
    <w:p>
      <w:pPr>
        <w:numPr>
          <w:numId w:val="10"/>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A party's financial circumstances are one factor to consider in the exercise of the discretion; and</w:t>
      </w:r>
    </w:p>
    <w:p>
      <w:pPr>
        <w:numPr>
          <w:numId w:val="11"/>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Any pre-trial severance ruling will be subject to the ultimate discretion of the trial judge.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w:t>
      </w:r>
      <w:r>
        <w:rPr>
          <w:rFonts w:ascii="arial" w:eastAsia="arial" w:hAnsi="arial" w:cs="arial"/>
          <w:color w:val="000000"/>
          <w:sz w:val="20"/>
          <w:lang w:val="en-US" w:eastAsia="en-US" w:bidi="ar-SA"/>
        </w:rPr>
        <w:t>  On the first of these points, Her Ladyship noted that the court must have before it more than a mere assertion that severance will result in a savings of time and expense. There must, she said, be case specific information that there will likely be a significant saving in time and expense. The court must have before it evidence as to what specific evidence, issues or legal arguments would be avoided by severance and why, as well as details as to how much time and money would likely be saved. There is no such evidence before 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w:t>
      </w:r>
      <w:r>
        <w:rPr>
          <w:rFonts w:ascii="arial" w:eastAsia="arial" w:hAnsi="arial" w:cs="arial"/>
          <w:color w:val="000000"/>
          <w:sz w:val="20"/>
          <w:lang w:val="en-US" w:eastAsia="en-US" w:bidi="ar-SA"/>
        </w:rPr>
        <w:t>  Her Ladyship went on to say that even if such evidence is provided, a number of practical considerations should be taken into account in considering the likelihood of savings, such as, problems in scheduling a second hearing within a reasonable time, unforeseen events such as the unavailability of a lawyer or judge by reason of illness or otherwise, expenses related to duplicated effort in "getting up to speed" for the second portion of the trial and the possibility that evidence will have to be re-heard if there is a substantial delay between the two portions of the trial.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w:t>
      </w:r>
      <w:r>
        <w:rPr>
          <w:rFonts w:ascii="arial" w:eastAsia="arial" w:hAnsi="arial" w:cs="arial"/>
          <w:color w:val="000000"/>
          <w:sz w:val="20"/>
          <w:lang w:val="en-US" w:eastAsia="en-US" w:bidi="ar-SA"/>
        </w:rPr>
        <w:t>  It appears unlikely that a resolution of the issue of liability in favour of the plaintiff will end the litigation: a trial on the issue of quantum will still be necessary.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w:t>
      </w:r>
      <w:r>
        <w:rPr>
          <w:rFonts w:ascii="arial" w:eastAsia="arial" w:hAnsi="arial" w:cs="arial"/>
          <w:color w:val="000000"/>
          <w:sz w:val="20"/>
          <w:lang w:val="en-US" w:eastAsia="en-US" w:bidi="ar-SA"/>
        </w:rPr>
        <w:t>  In this case, the defendant, while denying liability, alleges in the alternative that the plaintiff contributed to his own injuries. This gives rise to issues of general credibility with respect to issues of causation and their remains a serious dispute between the parties as to the type of calf block in use at the time of the alleged loss. The plaintiff's credibility will also be in issue on the issue of quantum and the trier of fact should have the benefit of hearing his testimony with respect to both aspects of the case. Additionally, the precise manner in which the accident occurred may have a significant impact on the issue of 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w:t>
      </w:r>
      <w:r>
        <w:rPr>
          <w:rFonts w:ascii="arial" w:eastAsia="arial" w:hAnsi="arial" w:cs="arial"/>
          <w:color w:val="000000"/>
          <w:sz w:val="20"/>
          <w:lang w:val="en-US" w:eastAsia="en-US" w:bidi="ar-SA"/>
        </w:rPr>
        <w:t>  The plaintiff seeks an order that, if severance is granted and he succeeds on the issue of liability, then the defendant be required to pay money into court in an unspecified amount to assist him in funding the balance of his claim. I have no jurisdiction to make such an order. It follows then, that should I order severance in any event, the plaintiff will be in no better financial position and the trial of the issue of quantum will be delayed for no good reason.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w:t>
      </w:r>
      <w:r>
        <w:rPr>
          <w:rFonts w:ascii="arial" w:eastAsia="arial" w:hAnsi="arial" w:cs="arial"/>
          <w:color w:val="000000"/>
          <w:sz w:val="20"/>
          <w:lang w:val="en-US" w:eastAsia="en-US" w:bidi="ar-SA"/>
        </w:rPr>
        <w:t>  I note, as well, that when this matter was rescheduled for trial following the November 2004, adjournment, it was originally scheduled for five days and a further day was thereafter added at the request of the plaintiff. Mr. Bell advised me that the liability portion is likely to require three days and the damages portion two to three days. The plaintiff indicates that more time might be required, but only if he is able to introduce expert evidence that he has not yet sought, never mind obtained.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w:t>
      </w:r>
      <w:r>
        <w:rPr>
          <w:rFonts w:ascii="arial" w:eastAsia="arial" w:hAnsi="arial" w:cs="arial"/>
          <w:color w:val="000000"/>
          <w:sz w:val="20"/>
          <w:lang w:val="en-US" w:eastAsia="en-US" w:bidi="ar-SA"/>
        </w:rPr>
        <w:t>  I have determined that severance is not appropriate in the circumstances of this case.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34</w:t>
      </w:r>
      <w:r>
        <w:rPr>
          <w:rFonts w:ascii="arial" w:eastAsia="arial" w:hAnsi="arial" w:cs="arial"/>
          <w:color w:val="000000"/>
          <w:sz w:val="20"/>
          <w:lang w:val="en-US" w:eastAsia="en-US" w:bidi="ar-SA"/>
        </w:rPr>
        <w:t>  The defendant will have the costs of all five motions at Scale 3 in any event of the cause.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35</w:t>
      </w:r>
      <w:r>
        <w:rPr>
          <w:rFonts w:ascii="arial" w:eastAsia="arial" w:hAnsi="arial" w:cs="arial"/>
          <w:color w:val="000000"/>
          <w:sz w:val="20"/>
          <w:lang w:val="en-US" w:eastAsia="en-US" w:bidi="ar-SA"/>
        </w:rPr>
        <w:t>  Before concluding, I must refer to two further orders sought by the plaintiff, albeit during his submissions and unsupported by motion or materials. The orders sought, outlined in his written submissions, are:</w:t>
      </w:r>
      <w:r>
        <w:rPr>
          <w:rFonts w:ascii="arial" w:eastAsia="arial" w:hAnsi="arial" w:cs="arial"/>
          <w:sz w:val="20"/>
          <w:lang w:val="en-US" w:eastAsia="en-US" w:bidi="ar-SA"/>
        </w:rPr>
        <w:cr/>
      </w:r>
    </w:p>
    <w:p>
      <w:pPr>
        <w:numPr>
          <w:numId w:val="12"/>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An order that the Court will provide the Plaintiff, James Grey, with the necessary resources to discover/and or interview 4 witnesses, and order that these resources will cover all fees payable to a Court Reporter, one required by the Rules to be present at Examination for discovery and/or court ordered depositions of which there may be.</w:t>
      </w:r>
    </w:p>
    <w:p>
      <w:pPr>
        <w:numPr>
          <w:numId w:val="13"/>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That the Court order the hiring of an Assessor, or Independent Expert Witness, to advise the Court on the proper use of the Smith Machine, and associated equipment. The Plaintiff is unable to resource the financial aspect of this Rule that only expert witnesses only can give opinion evidence to the Bench (budget of $2000.00). Include in the order that the Plaintiff has authority to name the Expert to be hired, and veto authority over the hiring of any expert.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36</w:t>
      </w:r>
      <w:r>
        <w:rPr>
          <w:rFonts w:ascii="arial" w:eastAsia="arial" w:hAnsi="arial" w:cs="arial"/>
          <w:color w:val="000000"/>
          <w:sz w:val="20"/>
          <w:lang w:val="en-US" w:eastAsia="en-US" w:bidi="ar-SA"/>
        </w:rPr>
        <w:t>  As Mr. Bell had no notice of these applications, he declined to make submissions. For the same reason, I need not consider the merits and make no order.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MASTER KEIGHLEY</w:t>
      </w:r>
      <w:r>
        <w:rPr>
          <w:rFonts w:ascii="arial" w:eastAsia="arial" w:hAnsi="arial" w:cs="arial"/>
          <w:sz w:val="20"/>
          <w:lang w:val="en-US" w:eastAsia="en-US" w:bidi="ar-SA"/>
        </w:rPr>
        <w:cr/>
      </w:r>
    </w:p>
    <w:p>
      <w:pPr>
        <w:rPr>
          <w:rFonts w:ascii="arial" w:eastAsia="arial" w:hAnsi="arial" w:cs="arial"/>
          <w:sz w:val="20"/>
          <w:lang w:val="en-US" w:eastAsia="en-US" w:bidi="ar-SA"/>
        </w:rPr>
      </w:pPr>
    </w:p>
    <w:p>
      <w:pPr>
        <w:ind w:left="200"/>
        <w:rPr>
          <w:rFonts w:ascii="arial" w:eastAsia="arial" w:hAnsi="arial" w:cs="arial"/>
          <w:sz w:val="20"/>
          <w:lang w:val="en-US" w:eastAsia="en-US" w:bidi="ar-SA"/>
        </w:rPr>
        <w:sectPr>
          <w:type w:val="continuous"/>
          <w:pgMar w:top="840" w:right="1000" w:bottom="840" w:left="1000" w:header="400" w:footer="400"/>
          <w:pgNumType w:fmt="decimal"/>
          <w:cols w:space="720"/>
        </w:sectPr>
      </w:pPr>
      <w:r>
        <w:rPr>
          <w:rFonts w:ascii="arial" w:eastAsia="arial" w:hAnsi="arial" w:cs="arial"/>
          <w:sz w:val="20"/>
          <w:lang w:val="en-US" w:eastAsia="en-US" w:bidi="ar-SA"/>
        </w:rPr>
        <w:br/>
      </w:r>
      <w:r>
        <w:pict>
          <v:line id="_x0000_s1126" style="position:absolute;z-index:251875328" from="0,10pt" to="512pt,10pt" strokecolor="black" strokeweight="1pt">
            <v:stroke linestyle="single"/>
          </v:line>
        </w:pict>
      </w:r>
      <w:r>
        <w:rPr>
          <w:b/>
          <w:color w:val="767676"/>
          <w:sz w:val="16"/>
          <w:lang w:val="en-US" w:eastAsia="en-US" w:bidi="ar-SA"/>
        </w:rPr>
        <w:t>End of Document</w:t>
      </w:r>
    </w:p>
    <w:p>
      <w:pPr>
        <w:rPr>
          <w:rFonts w:ascii="arial" w:eastAsia="arial" w:hAnsi="arial" w:cs="arial"/>
          <w:sz w:val="20"/>
          <w:lang w:val="en-US" w:eastAsia="en-US" w:bidi="ar-SA"/>
        </w:rPr>
        <w:sectPr>
          <w:headerReference w:type="even" r:id="rId453"/>
          <w:headerReference w:type="default" r:id="rId454"/>
          <w:footerReference w:type="even" r:id="rId455"/>
          <w:footerReference w:type="default" r:id="rId456"/>
          <w:headerReference w:type="first" r:id="rId457"/>
          <w:footerReference w:type="first" r:id="rId458"/>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eastAsia="arial" w:hAnsi="Arial" w:cs="Arial"/>
          <w:b/>
          <w:bCs/>
          <w:kern w:val="32"/>
          <w:sz w:val="32"/>
          <w:szCs w:val="32"/>
          <w:lang w:val="en-US" w:eastAsia="en-US" w:bidi="ar-SA"/>
        </w:rPr>
      </w:pPr>
      <w:hyperlink r:id="rId459" w:history="1">
        <w:r>
          <w:rPr>
            <w:rFonts w:ascii="arial" w:eastAsia="arial" w:hAnsi="arial" w:cs="arial"/>
            <w:b/>
            <w:bCs/>
            <w:i/>
            <w:color w:val="0077CC"/>
            <w:kern w:val="32"/>
            <w:sz w:val="28"/>
            <w:szCs w:val="32"/>
            <w:u w:val="single"/>
            <w:shd w:val="clear" w:color="auto" w:fill="FFFFFF"/>
            <w:lang w:val="en-US" w:eastAsia="en-US" w:bidi="ar-SA"/>
          </w:rPr>
          <w:t>Hadcock v. Georgia Pacific Securities Corp., [2005] B.C.J. No. 858</w:t>
        </w:r>
      </w:hyperlink>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Judgments</w:t>
      </w:r>
    </w:p>
    <w:p>
      <w:pPr>
        <w:rPr>
          <w:rFonts w:ascii="arial" w:eastAsia="arial" w:hAnsi="arial" w:cs="arial"/>
          <w:sz w:val="20"/>
          <w:lang w:val="en-US" w:eastAsia="en-US" w:bidi="ar-SA"/>
        </w:rPr>
      </w:pP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Vancouver, British Columbia</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Loo J.</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Oral judgment: March 24, 2005.</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Released: April 19, 2005.</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Vancouver Registry No. S030650</w:t>
      </w:r>
    </w:p>
    <w:p>
      <w:pPr>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r>
        <w:rPr>
          <w:rFonts w:ascii="arial" w:eastAsia="arial" w:hAnsi="arial" w:cs="arial"/>
          <w:b/>
          <w:color w:val="000000"/>
          <w:sz w:val="20"/>
          <w:lang w:val="en-US" w:eastAsia="en-US" w:bidi="ar-SA"/>
        </w:rPr>
        <w:t>[2005] B.C.J. No. 858</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2005 BCSC 585</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139 A.C.W.S. (3d) 400</w:t>
      </w:r>
    </w:p>
    <w:p>
      <w:pPr>
        <w:spacing w:before="120" w:line="260" w:lineRule="atLeast"/>
        <w:rPr>
          <w:rFonts w:ascii="arial" w:eastAsia="arial" w:hAnsi="arial" w:cs="arial"/>
          <w:sz w:val="20"/>
          <w:lang w:val="en-US" w:eastAsia="en-US" w:bidi="ar-SA"/>
        </w:rPr>
      </w:pPr>
      <w:r>
        <w:rPr>
          <w:rFonts w:ascii="arial" w:eastAsia="arial" w:hAnsi="arial" w:cs="arial"/>
          <w:color w:val="000000"/>
          <w:sz w:val="20"/>
          <w:lang w:val="en-US" w:eastAsia="en-US" w:bidi="ar-SA"/>
        </w:rPr>
        <w:t>Between William James Hadcock and Marc Gregory Belcourt, plaintiffs, and Georgia Pacific Securities Corporation and Rajan Rai, defendants</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(47 paras.)</w:t>
      </w:r>
    </w:p>
    <w:p>
      <w:pPr>
        <w:keepNext/>
        <w:spacing w:before="12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Case Summary</w:t>
      </w:r>
    </w:p>
    <w:p>
      <w:pPr>
        <w:spacing w:line="60" w:lineRule="exact"/>
        <w:rPr>
          <w:rFonts w:ascii="arial" w:eastAsia="arial" w:hAnsi="arial" w:cs="arial"/>
          <w:sz w:val="20"/>
          <w:lang w:val="en-US" w:eastAsia="en-US" w:bidi="ar-SA"/>
        </w:rPr>
      </w:pPr>
      <w:r>
        <w:pict>
          <v:line id="_x0000_s1127" style="position:absolute;z-index:251679744"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bookmarkStart w:id="130" w:name="Keywords_19"/>
      <w:bookmarkEnd w:id="130"/>
      <w:r>
        <w:rPr>
          <w:rFonts w:ascii="arial" w:eastAsia="arial" w:hAnsi="arial" w:cs="arial"/>
          <w:b/>
          <w:color w:val="000000"/>
          <w:sz w:val="20"/>
          <w:lang w:val="en-US" w:eastAsia="en-US" w:bidi="ar-SA"/>
        </w:rPr>
        <w:t>Damages — Limits on compensatory damages — Duty to mitigate — Professional responsibility — Professional duties — Contractual duties — Duties of care — Professions — Other — Stock brokers.</w:t>
      </w:r>
    </w:p>
    <w:p>
      <w:pPr>
        <w:rPr>
          <w:rFonts w:ascii="arial" w:eastAsia="arial" w:hAnsi="arial" w:cs="arial"/>
          <w:sz w:val="20"/>
          <w:lang w:val="en-US" w:eastAsia="en-US" w:bidi="ar-SA"/>
        </w:rPr>
      </w:pPr>
    </w:p>
    <w:tbl>
      <w:tblPr>
        <w:tblStyle w:val="TableNormal"/>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
      <w:tblGrid>
        <w:gridCol w:w="10225"/>
      </w:tblGrid>
      <w:tr>
        <w:tblPrEx>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Ex>
        <w:tc>
          <w:tcPr/>
          <w:p>
            <w:pPr>
              <w:rPr>
                <w:rFonts w:ascii="arial" w:eastAsia="arial" w:hAnsi="arial" w:cs="arial"/>
                <w:sz w:val="20"/>
                <w:lang w:val="en-US" w:eastAsia="en-US" w:bidi="ar-SA"/>
              </w:rPr>
            </w:pPr>
            <w:bookmarkStart w:id="131" w:name="Case Summary_18"/>
            <w:bookmarkEnd w:id="131"/>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Action by Hadcock and Belcourt for damages for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and breach of contract. The defendant Rai was a stockbroker employed by the defendant Georgia Pacific Securities Corporation. The plaintiffs individually met with Rai about selling shares that were subject to a trading restriction. They sought to have the restriction removed to be able to sell the shares as soon as possible. Hadcock and Belcourt each completed a new client application form, but neither of them recalled being given a questionnaire or any other document to sign. A questionnaire had to be completed before the restriction could be removed. By the time that the plaintiffs were able to sell, the share price had fallen. </w:t>
            </w:r>
            <w:r>
              <w:rPr>
                <w:rFonts w:ascii="arial" w:eastAsia="arial" w:hAnsi="arial" w:cs="arial"/>
                <w:sz w:val="20"/>
                <w:lang w:val="en-US" w:eastAsia="en-US" w:bidi="ar-SA"/>
              </w:rPr>
              <w:cr/>
            </w:r>
          </w:p>
          <w:p>
            <w:pPr>
              <w:spacing w:before="120" w:line="260" w:lineRule="atLeast"/>
              <w:ind w:left="240"/>
              <w:jc w:val="both"/>
              <w:rPr>
                <w:rFonts w:ascii="arial" w:eastAsia="arial" w:hAnsi="arial" w:cs="arial"/>
                <w:sz w:val="20"/>
                <w:lang w:val="en-US" w:eastAsia="en-US" w:bidi="ar-SA"/>
              </w:rPr>
            </w:pPr>
            <w:bookmarkStart w:id="132" w:name="Holdings of Court_14"/>
            <w:bookmarkEnd w:id="132"/>
            <w:r>
              <w:rPr>
                <w:rFonts w:ascii="arial" w:eastAsia="arial" w:hAnsi="arial" w:cs="arial"/>
                <w:color w:val="000000"/>
                <w:sz w:val="20"/>
                <w:lang w:val="en-US" w:eastAsia="en-US" w:bidi="ar-SA"/>
              </w:rPr>
              <w:t>HELD: Action allowed.</w:t>
            </w:r>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The plaintiffs retained the defendants to remove the restriction and sell the shares. Rai did not provide either of the plaintiffs with the necessary questionnaire. He breached his duty to the plaintiffs to take reasonable steps to remove the restriction. Georgia Pacific was liable for breach of contract, and vicariously liable for Rai's acts or omissions. There was no evidence that the plaintiffs failed to mitigate their losses in light of their knowledge of market conditions. </w:t>
            </w:r>
            <w:r>
              <w:rPr>
                <w:rFonts w:ascii="arial" w:eastAsia="arial" w:hAnsi="arial" w:cs="arial"/>
                <w:sz w:val="20"/>
                <w:lang w:val="en-US" w:eastAsia="en-US" w:bidi="ar-SA"/>
              </w:rPr>
              <w:cr/>
            </w:r>
          </w:p>
          <w:p>
            <w:pPr>
              <w:rPr>
                <w:rFonts w:ascii="arial" w:eastAsia="arial" w:hAnsi="arial" w:cs="arial"/>
                <w:sz w:val="20"/>
                <w:lang w:val="en-US" w:eastAsia="en-US" w:bidi="ar-SA"/>
              </w:rPr>
            </w:pPr>
          </w:p>
        </w:tc>
      </w:tr>
    </w:tbl>
    <w:p>
      <w:pPr>
        <w:jc w:val="both"/>
        <w:rPr>
          <w:rFonts w:ascii="arial" w:eastAsia="arial" w:hAnsi="arial" w:cs="arial"/>
          <w:sz w:val="20"/>
          <w:lang w:val="en-US" w:eastAsia="en-US" w:bidi="ar-SA"/>
        </w:rPr>
      </w:pPr>
      <w:bookmarkStart w:id="133" w:name="Counsel_19"/>
      <w:bookmarkEnd w:id="133"/>
      <w:r>
        <w:rPr>
          <w:rFonts w:ascii="arial" w:eastAsia="arial" w:hAnsi="arial" w:cs="arial"/>
          <w:sz w:val="20"/>
          <w:lang w:val="en-US" w:eastAsia="en-US" w:bidi="ar-SA"/>
        </w:rPr>
        <w:br/>
      </w:r>
    </w:p>
    <w:p>
      <w:pPr>
        <w:keepNext/>
        <w:spacing w:before="24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Counsel</w:t>
      </w:r>
    </w:p>
    <w:p>
      <w:pPr>
        <w:spacing w:line="60" w:lineRule="exact"/>
        <w:rPr>
          <w:rFonts w:ascii="arial" w:eastAsia="arial" w:hAnsi="arial" w:cs="arial"/>
          <w:sz w:val="20"/>
          <w:lang w:val="en-US" w:eastAsia="en-US" w:bidi="ar-SA"/>
        </w:rPr>
      </w:pPr>
      <w:r>
        <w:pict>
          <v:line id="_x0000_s1128" style="position:absolute;z-index:251730944"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Counsel for Plaintiffs: A.R. Davis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Counsel for Defendants: J.B. Rotstein</w:t>
      </w:r>
      <w:r>
        <w:rPr>
          <w:rFonts w:ascii="arial" w:eastAsia="arial" w:hAnsi="arial" w:cs="arial"/>
          <w:sz w:val="20"/>
          <w:lang w:val="en-US" w:eastAsia="en-US" w:bidi="ar-SA"/>
        </w:rPr>
        <w:cr/>
      </w:r>
    </w:p>
    <w:p>
      <w:pPr>
        <w:spacing w:after="240"/>
        <w:rPr>
          <w:rFonts w:ascii="arial" w:eastAsia="arial" w:hAnsi="arial" w:cs="arial"/>
          <w:sz w:val="20"/>
          <w:lang w:val="en-US" w:eastAsia="en-US" w:bidi="ar-SA"/>
        </w:rPr>
      </w:pPr>
      <w:bookmarkStart w:id="134" w:name="Judgment_20"/>
      <w:bookmarkEnd w:id="134"/>
      <w:r>
        <w:pict>
          <v:line id="_x0000_s1129" style="position:absolute;z-index:251782144" from="0,12pt" to="512pt,12pt" strokecolor="#009ddb" strokeweight="1.5pt">
            <v:stroke linestyle="single"/>
          </v:line>
        </w:pict>
      </w:r>
    </w:p>
    <w:p>
      <w:pPr>
        <w:spacing w:before="120" w:line="240" w:lineRule="atLeast"/>
        <w:ind w:firstLine="240"/>
        <w:rPr>
          <w:rFonts w:ascii="arial" w:eastAsia="arial" w:hAnsi="arial" w:cs="arial"/>
          <w:sz w:val="20"/>
          <w:lang w:val="en-US" w:eastAsia="en-US" w:bidi="ar-SA"/>
        </w:rPr>
      </w:pPr>
      <w:r>
        <w:rPr>
          <w:rFonts w:ascii="arial" w:eastAsia="arial" w:hAnsi="arial" w:cs="arial"/>
          <w:color w:val="000000"/>
          <w:sz w:val="18"/>
          <w:lang w:val="en-US" w:eastAsia="en-US" w:bidi="ar-SA"/>
        </w:rPr>
        <w:t xml:space="preserve">[Editor's note: Supplementary reasons for judgment were released May 18, 2005. See </w:t>
      </w:r>
      <w:hyperlink r:id="rId460" w:history="1">
        <w:r>
          <w:rPr>
            <w:rFonts w:ascii="arial" w:eastAsia="arial" w:hAnsi="arial" w:cs="arial"/>
            <w:i/>
            <w:color w:val="0077CC"/>
            <w:sz w:val="18"/>
            <w:u w:val="single"/>
            <w:shd w:val="clear" w:color="auto" w:fill="FFFFFF"/>
            <w:lang w:val="en-US" w:eastAsia="en-US" w:bidi="ar-SA"/>
          </w:rPr>
          <w:t>[2005] B.C.J. No. 1127</w:t>
        </w:r>
      </w:hyperlink>
      <w:r>
        <w:rPr>
          <w:rFonts w:ascii="arial" w:eastAsia="arial" w:hAnsi="arial" w:cs="arial"/>
          <w:color w:val="000000"/>
          <w:sz w:val="18"/>
          <w:lang w:val="en-US" w:eastAsia="en-US" w:bidi="ar-SA"/>
        </w:rPr>
        <w:t>.]</w:t>
      </w:r>
      <w:r>
        <w:rPr>
          <w:rFonts w:ascii="arial" w:eastAsia="arial" w:hAnsi="arial" w:cs="arial"/>
          <w:sz w:val="20"/>
          <w:lang w:val="en-US" w:eastAsia="en-US" w:bidi="ar-SA"/>
        </w:rPr>
        <w:cr/>
      </w:r>
    </w:p>
    <w:p>
      <w:pPr>
        <w:rPr>
          <w:rFonts w:ascii="arial" w:eastAsia="arial" w:hAnsi="arial" w:cs="arial"/>
          <w:sz w:val="20"/>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2337"/>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rFonts w:ascii="arial" w:eastAsia="arial" w:hAnsi="arial" w:cs="arial"/>
                <w:sz w:val="20"/>
                <w:lang w:val="en-US" w:eastAsia="en-US" w:bidi="ar-SA"/>
              </w:rPr>
            </w:pPr>
            <w:bookmarkStart w:id="135" w:name="LOO J. (orally)"/>
            <w:bookmarkEnd w:id="135"/>
            <w:r>
              <w:rPr>
                <w:rFonts w:ascii="arial" w:eastAsia="arial" w:hAnsi="arial" w:cs="arial"/>
                <w:b/>
                <w:color w:val="000000"/>
                <w:sz w:val="30"/>
                <w:lang w:val="en-US" w:eastAsia="en-US" w:bidi="ar-SA"/>
              </w:rPr>
              <w:t>LOO J. (orally)</w:t>
            </w:r>
          </w:p>
        </w:tc>
      </w:tr>
    </w:tbl>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xml:space="preserve">   The plaintiffs claim against a stockbroker and brokerage firm for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and breach of contract for failing to take adequate steps and depriving the plaintiffs of the opportunity to sell their shares in a timely manner. Instead, the plaintiffs were caught by the "dot.com" meltdown and suffered a loss in the value of their shares. The defendants allege that any loss was caused by the plaintiffs in failing to return the required questionnaire.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In late 1998, the plaintiffs William Hadcock and Marc Belcourt, along with Len Voth and Clement Lau founded Cool Entertainment Inc. Mr. Lau was the president, while the others were directors. The company was in the business of providing entertainment products over the Internet. In 1999 the company went public. Through a reverse takeover the directors and Mr. Lau each received 1,449,003 shares in the new company. The share certificates had a restrictive legend that prohibited the sale, transfer or assignment of the shares which traded over the National Association of Securities Dealers Over the Counter Bulletin Board Market. To comply with Rule 144 of the U.S. Securities and Exchange Commission ("SEC"), the shares could not be freely traded until the legend was removed.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In March 2000, the plaintiffs were able to sell 360,000 of their shares once the legend was removed. They were however neophyte investors. They did not have a stockbroker, and did not know one.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Mr. Lau was also looking for a broker to help him sell his shares. He was introduced to the defendant Rajan Rai a stockbroker employed by the defendant Georgia Pacific Securities Corporation. Mr. Lau went to Mr. Rai's office on about March 5, 2000 and told him about his shares and that he wanted the Rule 144 share restriction removed so that he could sell them.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On March 7, 2002 Mr. Lau returned to Mr. Rai's office with his share certificate. Mr. Rai and his assistant Quinn had Mr. Lau complete a five page Georgia Pacific standard form of letter questionnaire dated March 7, 2000 and addressed to Mr. Lau at his home address. Mr. Rai or Quinn read out the questions to Mr. Lau and wrote down his answers. The questions appear to relate to the SEC Form 144 requirements. Mr. Lau signed the last page.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In order to remove the legend, a number of steps were needed, including:</w:t>
      </w:r>
      <w:r>
        <w:rPr>
          <w:rFonts w:ascii="arial" w:eastAsia="arial" w:hAnsi="arial" w:cs="arial"/>
          <w:sz w:val="20"/>
          <w:lang w:val="en-US" w:eastAsia="en-US" w:bidi="ar-SA"/>
        </w:rPr>
        <w:cr/>
      </w:r>
    </w:p>
    <w:p>
      <w:pPr>
        <w:numPr>
          <w:numId w:val="9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 Notice of Proposed Sale of Securities on Form 144 filed with the SEC;</w:t>
      </w:r>
    </w:p>
    <w:p>
      <w:pPr>
        <w:numPr>
          <w:numId w:val="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 Seller's Rule 144 letter;</w:t>
      </w:r>
    </w:p>
    <w:p>
      <w:pPr>
        <w:numPr>
          <w:numId w:val="3"/>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a Broker's Rule 144 letter sent to the attorneys for the company;</w:t>
      </w:r>
    </w:p>
    <w:p>
      <w:pPr>
        <w:numPr>
          <w:numId w:val="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company's attorney's opinion letter on various documents; and, finally,</w:t>
      </w:r>
    </w:p>
    <w:p>
      <w:pPr>
        <w:numPr>
          <w:numId w:val="5"/>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an exchange of the share certificate for a new certificate by the company's transfer agent.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Mr. Lau and Mr. Rai became friends of sorts quite quickly, and Mr. Lau told the plaintiffs that he had found a broker who could help them with their shares.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On March 15, 2000 Mr. Lau drove Mr. Belcourt to Mr. Rai's office. Mr. Belcourt brought along his share certificate and Mr. Rai had him fill out a new client application form. Mr. Belcourt asked Mr. Rai how long it would take the shares to become free trading. Mr. Rai told him he did not know, but he would let him know when they were ready. Mr. Belcourt told Mr. Rai that he wanted his shares sold as soon as possible.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Other than the new client application form, Mr. Belcourt does not recall Mr. Rai giving him a questionnaire or any other document. Neither does Mr. Lau.</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On March 20, 2000 Mr. Lau drove Mr. Hadcock to meet Mr. Rai. Mr. Hadcock brought his share certificate and completed a new client application form. Mr. Hadcock had been watching the stock price. At that time, the shares were trading at around 75 cents.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Other than the new client application form, Mr. Hadcock does not recall Mr. Rai giving him a questionnaire or any other document. Neither does Mr. Lau.</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Mr. Rai has no recollection of what occurred or what was discussed at his meetings with the plaintiffs. He could only comment on what his usual practise was, speculate on what he must have done, or what must have happened, but even then his answers were vague, difficult to comprehend, or a guess.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Mr. Rai said that Georgia Pacific's questionnaires were separate from but inside the account application form, but that many people do not notice them. He then said that either he or Quinn would put them in with the new client application forms. He then said they would give it to the client or, "one way or another, we'd get it done." For the reasons that follow, I find that in this case it was never done.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The plaintiffs were anxious to begin selling their shares.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w:t>
      </w:r>
      <w:r>
        <w:rPr>
          <w:rFonts w:ascii="arial" w:eastAsia="arial" w:hAnsi="arial" w:cs="arial"/>
          <w:color w:val="000000"/>
          <w:sz w:val="20"/>
          <w:lang w:val="en-US" w:eastAsia="en-US" w:bidi="ar-SA"/>
        </w:rPr>
        <w:t>  By around the end of March Mr. Lau was calling Mr. Rai five or six times a day. Not only did he make the calls on his own initiative, he was making calls for Mr. Hadcock and Mr. Belcourt. Mr. Hadcock wanted a regular update on the status of his shares, and would ask Mr. Lau to call Mr. Rai for him. Mr. Lau did. Mr. Belcourt also wanted to know about the progress with his shares and asked Mr. Lau to call Mr. Rai for him. Mr. Lau did.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w:t>
      </w:r>
      <w:r>
        <w:rPr>
          <w:rFonts w:ascii="arial" w:eastAsia="arial" w:hAnsi="arial" w:cs="arial"/>
          <w:color w:val="000000"/>
          <w:sz w:val="20"/>
          <w:lang w:val="en-US" w:eastAsia="en-US" w:bidi="ar-SA"/>
        </w:rPr>
        <w:t>  Mr. Rai always gave Mr. Lau a similar answer: the shares were either in the backroom (or "the cage") or at the transfer agent and they were working on it. This was not true.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w:t>
      </w:r>
      <w:r>
        <w:rPr>
          <w:rFonts w:ascii="arial" w:eastAsia="arial" w:hAnsi="arial" w:cs="arial"/>
          <w:color w:val="000000"/>
          <w:sz w:val="20"/>
          <w:lang w:val="en-US" w:eastAsia="en-US" w:bidi="ar-SA"/>
        </w:rPr>
        <w:t>  An internal memorandum dated March 17, 2000 from Georgia Pacific's securities department to Mr. Rai attaches a 144 Questionnaire and states that Mr. Belcourt's share certificate had been received but that the Questionnaire had to be completed before the securities would be deposited into Mr. Belcourt's account. Mr. Rai testified that the memorandum must have meant that he had already given the Questionnaire to Mr. Belcourt because he, that is, Mr. Rai, "took no action."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w:t>
      </w:r>
      <w:r>
        <w:rPr>
          <w:rFonts w:ascii="arial" w:eastAsia="arial" w:hAnsi="arial" w:cs="arial"/>
          <w:color w:val="000000"/>
          <w:sz w:val="20"/>
          <w:lang w:val="en-US" w:eastAsia="en-US" w:bidi="ar-SA"/>
        </w:rPr>
        <w:t>  Georgia Pacific required their the 144 Questionnaire to be completed before any steps were taken to remove the restrictive legend.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w:t>
      </w:r>
      <w:r>
        <w:rPr>
          <w:rFonts w:ascii="arial" w:eastAsia="arial" w:hAnsi="arial" w:cs="arial"/>
          <w:color w:val="000000"/>
          <w:sz w:val="20"/>
          <w:lang w:val="en-US" w:eastAsia="en-US" w:bidi="ar-SA"/>
        </w:rPr>
        <w:t>  I prefer the evidence of Mr. Hadcock and Mr. Belcourt over the evidence of Mr. Rai. I find that he never gave or caused either of them to be given or sent the necessary questionnaire. It is reasonable to assume that the questionnaire, as in the case of Mr. Lau, would be dated and addressed to each of the plaintiffs.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w:t>
      </w:r>
      <w:r>
        <w:rPr>
          <w:rFonts w:ascii="arial" w:eastAsia="arial" w:hAnsi="arial" w:cs="arial"/>
          <w:color w:val="000000"/>
          <w:sz w:val="20"/>
          <w:lang w:val="en-US" w:eastAsia="en-US" w:bidi="ar-SA"/>
        </w:rPr>
        <w:t>  Mr. Rai never indicated to Mr. Lau in their numerous telephone calls that either Mr. Hadcock or Mr. Belcourt had failed to do anything that was required of either of them. He never indicated in any way that either of them needed to complete a questionnaire, or had failed to deliver the share certificate in the case of Mr. Hadcock, or that Mr. Hadcock did not have an account with Georgia Pacific.</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w:t>
      </w:r>
      <w:r>
        <w:rPr>
          <w:rFonts w:ascii="arial" w:eastAsia="arial" w:hAnsi="arial" w:cs="arial"/>
          <w:color w:val="000000"/>
          <w:sz w:val="20"/>
          <w:lang w:val="en-US" w:eastAsia="en-US" w:bidi="ar-SA"/>
        </w:rPr>
        <w:t>  After waiting for a month and nothing happening, the plaintiffs decided to "pull the plug." Mr. Voth had gone to Mr. Blair at RBC Dominion Securities Inc. and already had the restrictions removed on his shares. The plaintiffs decided to change brokers.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w:t>
      </w:r>
      <w:r>
        <w:rPr>
          <w:rFonts w:ascii="arial" w:eastAsia="arial" w:hAnsi="arial" w:cs="arial"/>
          <w:color w:val="000000"/>
          <w:sz w:val="20"/>
          <w:lang w:val="en-US" w:eastAsia="en-US" w:bidi="ar-SA"/>
        </w:rPr>
        <w:t>  On April 19, 2000 Mr. Hadcock telephoned Mr. Rai and told him that he and Mr. Belcourt were coming in to pick up their share certificates. Mr. Rai told him they could not come in until the following day.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w:t>
      </w:r>
      <w:r>
        <w:rPr>
          <w:rFonts w:ascii="arial" w:eastAsia="arial" w:hAnsi="arial" w:cs="arial"/>
          <w:color w:val="000000"/>
          <w:sz w:val="20"/>
          <w:lang w:val="en-US" w:eastAsia="en-US" w:bidi="ar-SA"/>
        </w:rPr>
        <w:t>  On April 20, the plaintiffs went to the offices of Georgia Pacific and retrieved their share certificates. By then, the shares were trading around 30 cents.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w:t>
      </w:r>
      <w:r>
        <w:rPr>
          <w:rFonts w:ascii="arial" w:eastAsia="arial" w:hAnsi="arial" w:cs="arial"/>
          <w:color w:val="000000"/>
          <w:sz w:val="20"/>
          <w:lang w:val="en-US" w:eastAsia="en-US" w:bidi="ar-SA"/>
        </w:rPr>
        <w:t>  Records of Georgia Pacific show that Mr. Hadcock's account was not opened until April 19, the same day that he called and said that he was coming in to retrieve his share certificate. The Statement of Defence alleges that Mr. Hadcock did not bring his share certificate to Georgia Pacific until April 19. I accept Mr. Hadcock's evidence that he brought his certificate with him when he met Mr. Rai on March 20.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w:t>
      </w:r>
      <w:r>
        <w:rPr>
          <w:rFonts w:ascii="arial" w:eastAsia="arial" w:hAnsi="arial" w:cs="arial"/>
          <w:color w:val="000000"/>
          <w:sz w:val="20"/>
          <w:lang w:val="en-US" w:eastAsia="en-US" w:bidi="ar-SA"/>
        </w:rPr>
        <w:t>  Mr. Rai said that when a client brought in a stock certificate his assistant would take it up two floors to the cage or backroom where the accounting records are kept, and the stock certificates taken, delivered and picked up. He had no explanation for why Mr. Hadcock's account was not opened until April 19.</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w:t>
      </w:r>
      <w:r>
        <w:rPr>
          <w:rFonts w:ascii="arial" w:eastAsia="arial" w:hAnsi="arial" w:cs="arial"/>
          <w:color w:val="000000"/>
          <w:sz w:val="20"/>
          <w:lang w:val="en-US" w:eastAsia="en-US" w:bidi="ar-SA"/>
        </w:rPr>
        <w:t>  Mr. Rai minimized his responsibilities as a stockbroker. He said that he did not know how to remove the share restrictions. He said that was the responsibility of the backroom. He was "just a salesman" who was "out getting business" while an assistant did most of his trades and even answered his telephone.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w:t>
      </w:r>
      <w:r>
        <w:rPr>
          <w:rFonts w:ascii="arial" w:eastAsia="arial" w:hAnsi="arial" w:cs="arial"/>
          <w:color w:val="000000"/>
          <w:sz w:val="20"/>
          <w:lang w:val="en-US" w:eastAsia="en-US" w:bidi="ar-SA"/>
        </w:rPr>
        <w:t>  On examination for discovery, Mr. Rai admitted that he told the plaintiffs that he personally knew how to get the shares "derestricted and sold." At trial, he testified that nothing could be done for the plaintiffs until they took the first step of returning the questionnaire. However, I have found he never gave or arranged to give the plaintiffs the required questionnaire. As a result, the defendants failed to take any steps towards carrying out the plaintiffs' instructions to remove the legend from their certificates so that their shares could be sold.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w:t>
      </w:r>
      <w:r>
        <w:rPr>
          <w:rFonts w:ascii="arial" w:eastAsia="arial" w:hAnsi="arial" w:cs="arial"/>
          <w:color w:val="000000"/>
          <w:sz w:val="20"/>
          <w:lang w:val="en-US" w:eastAsia="en-US" w:bidi="ar-SA"/>
        </w:rPr>
        <w:t>  What Mr. Rai acknowledged knowing was that March 2000 was in his words, "the 11th hour and 57th minute" before the dot.com bubble burst.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w:t>
      </w:r>
      <w:r>
        <w:rPr>
          <w:rFonts w:ascii="arial" w:eastAsia="arial" w:hAnsi="arial" w:cs="arial"/>
          <w:color w:val="000000"/>
          <w:sz w:val="20"/>
          <w:lang w:val="en-US" w:eastAsia="en-US" w:bidi="ar-SA"/>
        </w:rPr>
        <w:t>  The plaintiffs maintain that they engaged and retained the defendants and relied on their expertise to remove the restrictions from their block of 360,000 shares so that they could be sold. They contend that the defendants were negligent or in breach of contract when they failed to proceed in a reasonable manner, and the plaintiffs thereby lost the opportunity to sell their shares in a timely manner.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w:t>
      </w:r>
      <w:r>
        <w:rPr>
          <w:rFonts w:ascii="arial" w:eastAsia="arial" w:hAnsi="arial" w:cs="arial"/>
          <w:color w:val="000000"/>
          <w:sz w:val="20"/>
          <w:lang w:val="en-US" w:eastAsia="en-US" w:bidi="ar-SA"/>
        </w:rPr>
        <w:t xml:space="preserve">  The plaintiffs rely on the following cases: Higgins v. Edington </w:t>
      </w:r>
      <w:hyperlink r:id="rId461" w:history="1">
        <w:r>
          <w:rPr>
            <w:rFonts w:ascii="arial" w:eastAsia="arial" w:hAnsi="arial" w:cs="arial"/>
            <w:i/>
            <w:color w:val="0077CC"/>
            <w:sz w:val="20"/>
            <w:u w:val="single"/>
            <w:shd w:val="clear" w:color="auto" w:fill="FFFFFF"/>
            <w:lang w:val="en-US" w:eastAsia="en-US" w:bidi="ar-SA"/>
          </w:rPr>
          <w:t>(1988), 31 B.C.L.R. (2d) 203</w:t>
        </w:r>
      </w:hyperlink>
      <w:r>
        <w:rPr>
          <w:rFonts w:ascii="arial" w:eastAsia="arial" w:hAnsi="arial" w:cs="arial"/>
          <w:color w:val="000000"/>
          <w:sz w:val="20"/>
          <w:lang w:val="en-US" w:eastAsia="en-US" w:bidi="ar-SA"/>
        </w:rPr>
        <w:t xml:space="preserve"> (C.A.); Laskin v. Bache &amp; Co. Inc., </w:t>
      </w:r>
      <w:hyperlink r:id="rId462" w:history="1">
        <w:r>
          <w:rPr>
            <w:rFonts w:ascii="arial" w:eastAsia="arial" w:hAnsi="arial" w:cs="arial"/>
            <w:i/>
            <w:color w:val="0077CC"/>
            <w:sz w:val="20"/>
            <w:u w:val="single"/>
            <w:shd w:val="clear" w:color="auto" w:fill="FFFFFF"/>
            <w:lang w:val="en-US" w:eastAsia="en-US" w:bidi="ar-SA"/>
          </w:rPr>
          <w:t>[1972] 1 O.R. 465</w:t>
        </w:r>
      </w:hyperlink>
      <w:r>
        <w:rPr>
          <w:rFonts w:ascii="arial" w:eastAsia="arial" w:hAnsi="arial" w:cs="arial"/>
          <w:color w:val="000000"/>
          <w:sz w:val="20"/>
          <w:lang w:val="en-US" w:eastAsia="en-US" w:bidi="ar-SA"/>
        </w:rPr>
        <w:t xml:space="preserve"> (Ont. C.A.); Stites v. Richardson Securities of Canada </w:t>
      </w:r>
      <w:hyperlink r:id="rId463" w:history="1">
        <w:r>
          <w:rPr>
            <w:rFonts w:ascii="arial" w:eastAsia="arial" w:hAnsi="arial" w:cs="arial"/>
            <w:i/>
            <w:color w:val="0077CC"/>
            <w:sz w:val="20"/>
            <w:u w:val="single"/>
            <w:shd w:val="clear" w:color="auto" w:fill="FFFFFF"/>
            <w:lang w:val="en-US" w:eastAsia="en-US" w:bidi="ar-SA"/>
          </w:rPr>
          <w:t>(1988), 88 N.B.R. (2d) 155</w:t>
        </w:r>
      </w:hyperlink>
      <w:r>
        <w:rPr>
          <w:rFonts w:ascii="arial" w:eastAsia="arial" w:hAnsi="arial" w:cs="arial"/>
          <w:color w:val="000000"/>
          <w:sz w:val="20"/>
          <w:lang w:val="en-US" w:eastAsia="en-US" w:bidi="ar-SA"/>
        </w:rPr>
        <w:t xml:space="preserve"> (N.B.Q.B.); and the following passage from Charles H. Meyer, The Law of Stockbrokers and Stock Exchanges, (New York: Baker, Voorhis &amp; Co., 1931):</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 broker who accepts employment for the purchase or sale of securities on behalf of a customer is bound to execute the customer's order. If he fails to do so he is liable for the damages which the customer sustains.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w:t>
      </w:r>
      <w:r>
        <w:rPr>
          <w:rFonts w:ascii="arial" w:eastAsia="arial" w:hAnsi="arial" w:cs="arial"/>
          <w:color w:val="000000"/>
          <w:sz w:val="20"/>
          <w:lang w:val="en-US" w:eastAsia="en-US" w:bidi="ar-SA"/>
        </w:rPr>
        <w:t>  I find that the plaintiffs retained the defendants to remove the legend from the share certificates and then sell the shares for them. I find that Mr. Rai owed a duty to the plaintiffs to take reasonable steps to get their shares free trading and he breached that duty. Georgia Pacific similarly breached the term of its contract with each of the plaintiffs. Instead, the defendants took no steps to get the process even off the ground. I find Mr. Rai acted negligently towards the plaintiffs, and the defendant Georgia Pacific liable in breach of contract, and vicariously liable for Mr. Rai's acts or omissions.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w:t>
      </w:r>
      <w:r>
        <w:rPr>
          <w:rFonts w:ascii="arial" w:eastAsia="arial" w:hAnsi="arial" w:cs="arial"/>
          <w:color w:val="000000"/>
          <w:sz w:val="20"/>
          <w:lang w:val="en-US" w:eastAsia="en-US" w:bidi="ar-SA"/>
        </w:rPr>
        <w:t>  Mr. Hadcock opened his account with RBC on April 20. His shares became available to sell on June 5. Between June 15 to October 12, 2000 he sold his 360,000 shares on various days, generally in blocks of 10,000, at prices that range from 21 cents to as low as eight cents. He made $57,612 (U.S.).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w:t>
      </w:r>
      <w:r>
        <w:rPr>
          <w:rFonts w:ascii="arial" w:eastAsia="arial" w:hAnsi="arial" w:cs="arial"/>
          <w:color w:val="000000"/>
          <w:sz w:val="20"/>
          <w:lang w:val="en-US" w:eastAsia="en-US" w:bidi="ar-SA"/>
        </w:rPr>
        <w:t>  Mr. Belcourt opened his account with RBC on the same day, and received his free trading shares on May 31, 2000. He sold 360,000 shares on various days and in various blocks between May 31 to August 9, and made $57,602.27 (U.S.).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34</w:t>
      </w:r>
      <w:r>
        <w:rPr>
          <w:rFonts w:ascii="arial" w:eastAsia="arial" w:hAnsi="arial" w:cs="arial"/>
          <w:color w:val="000000"/>
          <w:sz w:val="20"/>
          <w:lang w:val="en-US" w:eastAsia="en-US" w:bidi="ar-SA"/>
        </w:rPr>
        <w:t>  The plaintiffs claim that as a result of the defendants' failure to take adequate steps, they lost the opportunity to sell when the share prices were higher in May and June 2000. According to Mr. Rai's evidence on examination for discovery, the legend could be removed and a new certificate issued in approximately three weeks; other evidence indicates it could take five weeks. The plaintiffs therefore ought to have had the opportunity to start selling their shares towards the end of April, or beginning of May.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35</w:t>
      </w:r>
      <w:r>
        <w:rPr>
          <w:rFonts w:ascii="arial" w:eastAsia="arial" w:hAnsi="arial" w:cs="arial"/>
          <w:color w:val="000000"/>
          <w:sz w:val="20"/>
          <w:lang w:val="en-US" w:eastAsia="en-US" w:bidi="ar-SA"/>
        </w:rPr>
        <w:t xml:space="preserve">  The defendants contend that the plaintiffs ought to have mitigated their losses by selling their shares all at once as soon as they were able to. They rely on HongKong Bank of Canada v. Richardson Greenshields of Canada Ltd. </w:t>
      </w:r>
      <w:hyperlink r:id="rId464" w:history="1">
        <w:r>
          <w:rPr>
            <w:rFonts w:ascii="arial" w:eastAsia="arial" w:hAnsi="arial" w:cs="arial"/>
            <w:i/>
            <w:color w:val="0077CC"/>
            <w:sz w:val="20"/>
            <w:u w:val="single"/>
            <w:shd w:val="clear" w:color="auto" w:fill="FFFFFF"/>
            <w:lang w:val="en-US" w:eastAsia="en-US" w:bidi="ar-SA"/>
          </w:rPr>
          <w:t>(1990), 48 B.C.L.R. (2d) 139</w:t>
        </w:r>
      </w:hyperlink>
      <w:r>
        <w:rPr>
          <w:rFonts w:ascii="arial" w:eastAsia="arial" w:hAnsi="arial" w:cs="arial"/>
          <w:color w:val="000000"/>
          <w:sz w:val="20"/>
          <w:lang w:val="en-US" w:eastAsia="en-US" w:bidi="ar-SA"/>
        </w:rPr>
        <w:t xml:space="preserve"> (C.A.). However, in that case, and in Secord v. Global Securities Corp. </w:t>
      </w:r>
      <w:hyperlink r:id="rId465" w:history="1">
        <w:r>
          <w:rPr>
            <w:rFonts w:ascii="arial" w:eastAsia="arial" w:hAnsi="arial" w:cs="arial"/>
            <w:i/>
            <w:color w:val="0077CC"/>
            <w:sz w:val="20"/>
            <w:u w:val="single"/>
            <w:shd w:val="clear" w:color="auto" w:fill="FFFFFF"/>
            <w:lang w:val="en-US" w:eastAsia="en-US" w:bidi="ar-SA"/>
          </w:rPr>
          <w:t>(2003), 11 B.C.L.R. (4th) 62</w:t>
        </w:r>
      </w:hyperlink>
      <w:r>
        <w:rPr>
          <w:rFonts w:ascii="arial" w:eastAsia="arial" w:hAnsi="arial" w:cs="arial"/>
          <w:color w:val="000000"/>
          <w:sz w:val="20"/>
          <w:lang w:val="en-US" w:eastAsia="en-US" w:bidi="ar-SA"/>
        </w:rPr>
        <w:t>, the Court of Appeal held that what a plaintiff is expected to do to mitigate his or her damages relating to the sale of shares depends on the circumstances of the particular case, including the market conditions and the plaintiff's knowledge and familiarity with the market.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36</w:t>
      </w:r>
      <w:r>
        <w:rPr>
          <w:rFonts w:ascii="arial" w:eastAsia="arial" w:hAnsi="arial" w:cs="arial"/>
          <w:color w:val="000000"/>
          <w:sz w:val="20"/>
          <w:lang w:val="en-US" w:eastAsia="en-US" w:bidi="ar-SA"/>
        </w:rPr>
        <w:t>  More importantly, in this case, if the plaintiffs sold their shares all at once, as Mr. Lau said, and Mr. Goos opined, the share price would have likely declined markedly. The plaintiffs were aware that if they sold all of their shares on one day it might have an adverse affect on the value of their shares. I do not find on the evidence that the plaintiffs failed to mitigate their losses.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37</w:t>
      </w:r>
      <w:r>
        <w:rPr>
          <w:rFonts w:ascii="arial" w:eastAsia="arial" w:hAnsi="arial" w:cs="arial"/>
          <w:color w:val="000000"/>
          <w:sz w:val="20"/>
          <w:lang w:val="en-US" w:eastAsia="en-US" w:bidi="ar-SA"/>
        </w:rPr>
        <w:t>  The plaintiffs argue that based on Mr. Lau's evidence the selling price ranged between 30 to 50 cents in May 2000, and 15 to 20 cents in June. The plaintiffs would have therefore recovered an average of 43 cents in May and 17.5 cents in June. The defendants argue that according to RBC's statements for Mr. Belcourt, his first sale was for 10,000 shares on May 31 at 21 cents a share. However, I note that for June 2000 according to RBC's statements, Mr. Belcourt sold his shares at prices between 19 and 22 cents, or an average of 20.5 cents. Based on Mr. Rai's estimate as to how long it would take to remove the legend, I find there is a reasonable likelihood that the plaintiffs could have started selling their shares towards the end of April when the shares were selling as high as 34 cents.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38</w:t>
      </w:r>
      <w:r>
        <w:rPr>
          <w:rFonts w:ascii="arial" w:eastAsia="arial" w:hAnsi="arial" w:cs="arial"/>
          <w:color w:val="000000"/>
          <w:sz w:val="20"/>
          <w:lang w:val="en-US" w:eastAsia="en-US" w:bidi="ar-SA"/>
        </w:rPr>
        <w:t>  However, determining how much the plaintiffs would have sold, and at what price and when, is not easy to determine. They might have sold at the daily high, or the daily low, or somewhere in between. The shares and the number of shares they sold may have also had an impact on the price of their shares.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39</w:t>
      </w:r>
      <w:r>
        <w:rPr>
          <w:rFonts w:ascii="arial" w:eastAsia="arial" w:hAnsi="arial" w:cs="arial"/>
          <w:color w:val="000000"/>
          <w:sz w:val="20"/>
          <w:lang w:val="en-US" w:eastAsia="en-US" w:bidi="ar-SA"/>
        </w:rPr>
        <w:t>  Doing the best I can, I calculate that each of the plaintiffs could have sold 180,000 shares in May at an average price of 43 cents, and the remaining 183,000 shares in June at an average selling price of 20.5 cents, for a total of $114,000 for each plaintiff. From that must be deducted the net sums realized from the plaintiffs' sale of their first 360,000 shares. The figures that the plaintiffs provided in evidence on their net proceeds was in U.S. currency. There needs to be a calculation of the difference between those figures and $114,000. If counsel cannot agree, there should be a reference to the Registrar.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40</w:t>
      </w:r>
      <w:r>
        <w:rPr>
          <w:rFonts w:ascii="arial" w:eastAsia="arial" w:hAnsi="arial" w:cs="arial"/>
          <w:color w:val="000000"/>
          <w:sz w:val="20"/>
          <w:lang w:val="en-US" w:eastAsia="en-US" w:bidi="ar-SA"/>
        </w:rPr>
        <w:t>  The plaintiffs are entitled to their costs of this action.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41</w:t>
      </w:r>
      <w:r>
        <w:rPr>
          <w:rFonts w:ascii="arial" w:eastAsia="arial" w:hAnsi="arial" w:cs="arial"/>
          <w:color w:val="000000"/>
          <w:sz w:val="20"/>
          <w:lang w:val="en-US" w:eastAsia="en-US" w:bidi="ar-SA"/>
        </w:rPr>
        <w:t>  MR. DAVIS: My Lady, one clarification. Are you finding that they could have sold $114,000 American? I think we're --</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42</w:t>
      </w:r>
      <w:r>
        <w:rPr>
          <w:rFonts w:ascii="arial" w:eastAsia="arial" w:hAnsi="arial" w:cs="arial"/>
          <w:color w:val="000000"/>
          <w:sz w:val="20"/>
          <w:lang w:val="en-US" w:eastAsia="en-US" w:bidi="ar-SA"/>
        </w:rPr>
        <w:t>  THE COURT: The difficulty I had was when I was looking through all of the documents that were provided to me showing -- including the RBC documents, I could not determine whether the prices at which they were selling was Canadian or U.S., and there was no indication that it was U.S., so I took it as Canadian.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43</w:t>
      </w:r>
      <w:r>
        <w:rPr>
          <w:rFonts w:ascii="arial" w:eastAsia="arial" w:hAnsi="arial" w:cs="arial"/>
          <w:color w:val="000000"/>
          <w:sz w:val="20"/>
          <w:lang w:val="en-US" w:eastAsia="en-US" w:bidi="ar-SA"/>
        </w:rPr>
        <w:t>  MR. ROTSTEIN: I believe they're all U.S. I don't know what my friend has to say on that.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44</w:t>
      </w:r>
      <w:r>
        <w:rPr>
          <w:rFonts w:ascii="arial" w:eastAsia="arial" w:hAnsi="arial" w:cs="arial"/>
          <w:color w:val="000000"/>
          <w:sz w:val="20"/>
          <w:lang w:val="en-US" w:eastAsia="en-US" w:bidi="ar-SA"/>
        </w:rPr>
        <w:t>  THE COURT: Perhaps counsel can work that out, and if you cannot --</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45</w:t>
      </w:r>
      <w:r>
        <w:rPr>
          <w:rFonts w:ascii="arial" w:eastAsia="arial" w:hAnsi="arial" w:cs="arial"/>
          <w:color w:val="000000"/>
          <w:sz w:val="20"/>
          <w:lang w:val="en-US" w:eastAsia="en-US" w:bidi="ar-SA"/>
        </w:rPr>
        <w:t>  MR. DAVIS: I think we --</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46</w:t>
      </w:r>
      <w:r>
        <w:rPr>
          <w:rFonts w:ascii="arial" w:eastAsia="arial" w:hAnsi="arial" w:cs="arial"/>
          <w:color w:val="000000"/>
          <w:sz w:val="20"/>
          <w:lang w:val="en-US" w:eastAsia="en-US" w:bidi="ar-SA"/>
        </w:rPr>
        <w:t>  THE COURT: -- you can either apply or refer the matter to the registrar.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47</w:t>
      </w:r>
      <w:r>
        <w:rPr>
          <w:rFonts w:ascii="arial" w:eastAsia="arial" w:hAnsi="arial" w:cs="arial"/>
          <w:color w:val="000000"/>
          <w:sz w:val="20"/>
          <w:lang w:val="en-US" w:eastAsia="en-US" w:bidi="ar-SA"/>
        </w:rPr>
        <w:t>  MR. DAVIS: All right.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LOO J.</w:t>
      </w:r>
      <w:r>
        <w:rPr>
          <w:rFonts w:ascii="arial" w:eastAsia="arial" w:hAnsi="arial" w:cs="arial"/>
          <w:sz w:val="20"/>
          <w:lang w:val="en-US" w:eastAsia="en-US" w:bidi="ar-SA"/>
        </w:rPr>
        <w:cr/>
      </w:r>
    </w:p>
    <w:p>
      <w:pPr>
        <w:rPr>
          <w:rFonts w:ascii="arial" w:eastAsia="arial" w:hAnsi="arial" w:cs="arial"/>
          <w:sz w:val="20"/>
          <w:lang w:val="en-US" w:eastAsia="en-US" w:bidi="ar-SA"/>
        </w:rPr>
      </w:pPr>
    </w:p>
    <w:p>
      <w:pPr>
        <w:ind w:left="200"/>
        <w:rPr>
          <w:rFonts w:ascii="arial" w:eastAsia="arial" w:hAnsi="arial" w:cs="arial"/>
          <w:sz w:val="20"/>
          <w:lang w:val="en-US" w:eastAsia="en-US" w:bidi="ar-SA"/>
        </w:rPr>
        <w:sectPr>
          <w:type w:val="continuous"/>
          <w:pgMar w:top="840" w:right="1000" w:bottom="840" w:left="1000" w:header="400" w:footer="400"/>
          <w:pgNumType w:fmt="decimal"/>
          <w:cols w:space="720"/>
        </w:sectPr>
      </w:pPr>
      <w:r>
        <w:rPr>
          <w:rFonts w:ascii="arial" w:eastAsia="arial" w:hAnsi="arial" w:cs="arial"/>
          <w:sz w:val="20"/>
          <w:lang w:val="en-US" w:eastAsia="en-US" w:bidi="ar-SA"/>
        </w:rPr>
        <w:br/>
      </w:r>
      <w:r>
        <w:pict>
          <v:line id="_x0000_s1130" style="position:absolute;z-index:251831296" from="0,10pt" to="512pt,10pt" strokecolor="black" strokeweight="1pt">
            <v:stroke linestyle="single"/>
          </v:line>
        </w:pict>
      </w:r>
      <w:r>
        <w:rPr>
          <w:b/>
          <w:color w:val="767676"/>
          <w:sz w:val="16"/>
          <w:lang w:val="en-US" w:eastAsia="en-US" w:bidi="ar-SA"/>
        </w:rPr>
        <w:t>End of Document</w:t>
      </w:r>
    </w:p>
    <w:p>
      <w:pPr>
        <w:rPr>
          <w:rFonts w:ascii="arial" w:eastAsia="arial" w:hAnsi="arial" w:cs="arial"/>
          <w:sz w:val="20"/>
          <w:lang w:val="en-US" w:eastAsia="en-US" w:bidi="ar-SA"/>
        </w:rPr>
        <w:sectPr>
          <w:headerReference w:type="even" r:id="rId466"/>
          <w:headerReference w:type="default" r:id="rId467"/>
          <w:footerReference w:type="even" r:id="rId468"/>
          <w:footerReference w:type="default" r:id="rId469"/>
          <w:headerReference w:type="first" r:id="rId470"/>
          <w:footerReference w:type="first" r:id="rId471"/>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eastAsia="arial" w:hAnsi="Arial" w:cs="Arial"/>
          <w:b/>
          <w:bCs/>
          <w:kern w:val="32"/>
          <w:sz w:val="32"/>
          <w:szCs w:val="32"/>
          <w:lang w:val="en-US" w:eastAsia="en-US" w:bidi="ar-SA"/>
        </w:rPr>
      </w:pPr>
      <w:hyperlink r:id="rId472" w:history="1">
        <w:r>
          <w:rPr>
            <w:rFonts w:ascii="arial" w:eastAsia="arial" w:hAnsi="arial" w:cs="arial"/>
            <w:b/>
            <w:bCs/>
            <w:i/>
            <w:color w:val="0077CC"/>
            <w:kern w:val="32"/>
            <w:sz w:val="28"/>
            <w:szCs w:val="32"/>
            <w:u w:val="single"/>
            <w:shd w:val="clear" w:color="auto" w:fill="FFFFFF"/>
            <w:lang w:val="en-US" w:eastAsia="en-US" w:bidi="ar-SA"/>
          </w:rPr>
          <w:t>Hill v. Canada (Royal Canadian Mounted Police), [2001] B.C.J. No. 1695</w:t>
        </w:r>
      </w:hyperlink>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Judgments</w:t>
      </w:r>
    </w:p>
    <w:p>
      <w:pPr>
        <w:rPr>
          <w:rFonts w:ascii="arial" w:eastAsia="arial" w:hAnsi="arial" w:cs="arial"/>
          <w:sz w:val="20"/>
          <w:lang w:val="en-US" w:eastAsia="en-US" w:bidi="ar-SA"/>
        </w:rPr>
      </w:pP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Vancouver, British Columbia</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Macaulay J.</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Heard: May 22 - 24, 2001.</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Judgment: August 17, 2001.</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Vancouver Registry No. B994918</w:t>
      </w:r>
    </w:p>
    <w:p>
      <w:pPr>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r>
        <w:rPr>
          <w:rFonts w:ascii="arial" w:eastAsia="arial" w:hAnsi="arial" w:cs="arial"/>
          <w:b/>
          <w:color w:val="000000"/>
          <w:sz w:val="20"/>
          <w:lang w:val="en-US" w:eastAsia="en-US" w:bidi="ar-SA"/>
        </w:rPr>
        <w:t>[2001] B.C.J. No. 1695</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hyperlink r:id="rId473" w:history="1">
        <w:r>
          <w:rPr>
            <w:rFonts w:ascii="arial" w:eastAsia="arial" w:hAnsi="arial" w:cs="arial"/>
            <w:i/>
            <w:color w:val="0077CC"/>
            <w:sz w:val="20"/>
            <w:u w:val="single"/>
            <w:shd w:val="clear" w:color="auto" w:fill="FFFFFF"/>
            <w:lang w:val="en-US" w:eastAsia="en-US" w:bidi="ar-SA"/>
          </w:rPr>
          <w:t>2001 BCSC 1191</w:t>
        </w:r>
      </w:hyperlink>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hyperlink r:id="rId473" w:history="1">
        <w:r>
          <w:rPr>
            <w:rFonts w:ascii="arial" w:eastAsia="arial" w:hAnsi="arial" w:cs="arial"/>
            <w:i/>
            <w:color w:val="0077CC"/>
            <w:sz w:val="20"/>
            <w:u w:val="single"/>
            <w:shd w:val="clear" w:color="auto" w:fill="FFFFFF"/>
            <w:lang w:val="en-US" w:eastAsia="en-US" w:bidi="ar-SA"/>
          </w:rPr>
          <w:t>203 D.L.R. (4th) 749</w:t>
        </w:r>
      </w:hyperlink>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hyperlink r:id="rId473" w:history="1">
        <w:r>
          <w:rPr>
            <w:rFonts w:ascii="arial" w:eastAsia="arial" w:hAnsi="arial" w:cs="arial"/>
            <w:i/>
            <w:color w:val="0077CC"/>
            <w:sz w:val="20"/>
            <w:u w:val="single"/>
            <w:shd w:val="clear" w:color="auto" w:fill="FFFFFF"/>
            <w:lang w:val="en-US" w:eastAsia="en-US" w:bidi="ar-SA"/>
          </w:rPr>
          <w:t>35 M.V.R. (4th) 128</w:t>
        </w:r>
      </w:hyperlink>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hyperlink r:id="rId473" w:history="1">
        <w:r>
          <w:rPr>
            <w:rFonts w:ascii="arial" w:eastAsia="arial" w:hAnsi="arial" w:cs="arial"/>
            <w:i/>
            <w:color w:val="0077CC"/>
            <w:sz w:val="20"/>
            <w:u w:val="single"/>
            <w:shd w:val="clear" w:color="auto" w:fill="FFFFFF"/>
            <w:lang w:val="en-US" w:eastAsia="en-US" w:bidi="ar-SA"/>
          </w:rPr>
          <w:t>107 A.C.W.S. (3d) 533</w:t>
        </w:r>
      </w:hyperlink>
    </w:p>
    <w:p>
      <w:pPr>
        <w:spacing w:before="120" w:line="260" w:lineRule="atLeast"/>
        <w:rPr>
          <w:rFonts w:ascii="arial" w:eastAsia="arial" w:hAnsi="arial" w:cs="arial"/>
          <w:sz w:val="20"/>
          <w:lang w:val="en-US" w:eastAsia="en-US" w:bidi="ar-SA"/>
        </w:rPr>
      </w:pPr>
      <w:r>
        <w:rPr>
          <w:rFonts w:ascii="arial" w:eastAsia="arial" w:hAnsi="arial" w:cs="arial"/>
          <w:color w:val="000000"/>
          <w:sz w:val="20"/>
          <w:lang w:val="en-US" w:eastAsia="en-US" w:bidi="ar-SA"/>
        </w:rPr>
        <w:t>Between Troy Allan Hill, plaintiff, and Stephen Blair Hurst, Attorney General of Canada, and Her Majesty the Queen in Right of the Province of British Columbia, defendants</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(77 paras.)</w:t>
      </w:r>
    </w:p>
    <w:p>
      <w:pPr>
        <w:keepNext/>
        <w:spacing w:before="12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Case Summary</w:t>
      </w:r>
    </w:p>
    <w:p>
      <w:pPr>
        <w:spacing w:line="60" w:lineRule="exact"/>
        <w:rPr>
          <w:rFonts w:ascii="arial" w:eastAsia="arial" w:hAnsi="arial" w:cs="arial"/>
          <w:sz w:val="20"/>
          <w:lang w:val="en-US" w:eastAsia="en-US" w:bidi="ar-SA"/>
        </w:rPr>
      </w:pPr>
      <w:r>
        <w:pict>
          <v:line id="_x0000_s1131" style="position:absolute;z-index:251680768"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bookmarkStart w:id="136" w:name="Keywords_20"/>
      <w:bookmarkEnd w:id="136"/>
      <w:r>
        <w:rPr>
          <w:rFonts w:ascii="arial" w:eastAsia="arial" w:hAnsi="arial" w:cs="arial"/>
          <w:b/>
          <w:color w:val="000000"/>
          <w:sz w:val="20"/>
          <w:lang w:val="en-US" w:eastAsia="en-US" w:bidi="ar-SA"/>
        </w:rPr>
        <w:t xml:space="preserve">Police — Actions against police — </w:t>
      </w:r>
      <w:r>
        <w:rPr>
          <w:rFonts w:ascii="arial" w:eastAsia="arial" w:hAnsi="arial" w:cs="arial"/>
          <w:b/>
          <w:i/>
          <w:color w:val="000000"/>
          <w:sz w:val="20"/>
          <w:u w:val="single"/>
          <w:lang w:val="en-US" w:eastAsia="en-US" w:bidi="ar-SA"/>
        </w:rPr>
        <w:t>Negligence</w:t>
      </w:r>
      <w:r>
        <w:rPr>
          <w:rFonts w:ascii="arial" w:eastAsia="arial" w:hAnsi="arial" w:cs="arial"/>
          <w:b/>
          <w:color w:val="000000"/>
          <w:sz w:val="20"/>
          <w:lang w:val="en-US" w:eastAsia="en-US" w:bidi="ar-SA"/>
        </w:rPr>
        <w:t xml:space="preserve"> — Vehicle or foot pursuit — Defences — Statutory immunity — Crown — Actions by and against Crown in right of a province — Practice — Actions against attorney general — </w:t>
      </w:r>
      <w:r>
        <w:rPr>
          <w:rFonts w:ascii="arial" w:eastAsia="arial" w:hAnsi="arial" w:cs="arial"/>
          <w:b/>
          <w:i/>
          <w:color w:val="000000"/>
          <w:sz w:val="20"/>
          <w:u w:val="single"/>
          <w:lang w:val="en-US" w:eastAsia="en-US" w:bidi="ar-SA"/>
        </w:rPr>
        <w:t>Negligence</w:t>
      </w:r>
      <w:r>
        <w:rPr>
          <w:rFonts w:ascii="arial" w:eastAsia="arial" w:hAnsi="arial" w:cs="arial"/>
          <w:b/>
          <w:color w:val="000000"/>
          <w:sz w:val="20"/>
          <w:lang w:val="en-US" w:eastAsia="en-US" w:bidi="ar-SA"/>
        </w:rPr>
        <w:t>.</w:t>
      </w:r>
    </w:p>
    <w:p>
      <w:pPr>
        <w:rPr>
          <w:rFonts w:ascii="arial" w:eastAsia="arial" w:hAnsi="arial" w:cs="arial"/>
          <w:sz w:val="20"/>
          <w:lang w:val="en-US" w:eastAsia="en-US" w:bidi="ar-SA"/>
        </w:rPr>
      </w:pPr>
    </w:p>
    <w:tbl>
      <w:tblPr>
        <w:tblStyle w:val="TableNormal"/>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
      <w:tblGrid>
        <w:gridCol w:w="10225"/>
      </w:tblGrid>
      <w:tr>
        <w:tblPrEx>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Ex>
        <w:tc>
          <w:tcPr/>
          <w:p>
            <w:pPr>
              <w:rPr>
                <w:rFonts w:ascii="arial" w:eastAsia="arial" w:hAnsi="arial" w:cs="arial"/>
                <w:sz w:val="20"/>
                <w:lang w:val="en-US" w:eastAsia="en-US" w:bidi="ar-SA"/>
              </w:rPr>
            </w:pPr>
            <w:bookmarkStart w:id="137" w:name="Case Summary_19"/>
            <w:bookmarkEnd w:id="137"/>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Action by Hill against Hurst, an officer with the Royal Canadian Mounted Police, and against the Attorney General of Canada and the Queen in the right of British Columbia. While responding to an emergency with the lights and siren of his cruiser activated, Hurst ran a red light at more than 30 kilometres per hour. He narrowly avoided a collision with one car, then collided with Hill as he drove through the intersection on a green light. Liability was the main issue, and Hill sought to add the British Columbia Attorney General as a defendant, if necessary, while arguing that naming the province as jointly and severally liable was sufficient to ground liability for all of the provincial government. The parties agreed that section 14 of the Police Act deemed Hurst to be a provincial constable at the relevant time. </w:t>
            </w:r>
            <w:r>
              <w:rPr>
                <w:rFonts w:ascii="arial" w:eastAsia="arial" w:hAnsi="arial" w:cs="arial"/>
                <w:sz w:val="20"/>
                <w:lang w:val="en-US" w:eastAsia="en-US" w:bidi="ar-SA"/>
              </w:rPr>
              <w:cr/>
            </w:r>
          </w:p>
          <w:p>
            <w:pPr>
              <w:spacing w:before="120" w:line="260" w:lineRule="atLeast"/>
              <w:ind w:left="240"/>
              <w:jc w:val="both"/>
              <w:rPr>
                <w:rFonts w:ascii="arial" w:eastAsia="arial" w:hAnsi="arial" w:cs="arial"/>
                <w:sz w:val="20"/>
                <w:lang w:val="en-US" w:eastAsia="en-US" w:bidi="ar-SA"/>
              </w:rPr>
            </w:pPr>
            <w:bookmarkStart w:id="138" w:name="Holdings of Court_15"/>
            <w:bookmarkEnd w:id="138"/>
            <w:r>
              <w:rPr>
                <w:rFonts w:ascii="arial" w:eastAsia="arial" w:hAnsi="arial" w:cs="arial"/>
                <w:color w:val="000000"/>
                <w:sz w:val="20"/>
                <w:lang w:val="en-US" w:eastAsia="en-US" w:bidi="ar-SA"/>
              </w:rPr>
              <w:t>HELD: Action allowed in part; the provincial Attorney General was added as party; the province and the Attorney General were jointly and severally liable for 70 per cent of Hill's damages.</w:t>
            </w:r>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Hurst failed to meet his obligations under section 122(4) of the Motor Vehicle Act and to follow his training regarding high-speed emergency response. However, he was protected from liability by section 21(2) of the Police Act, which section he pleaded. If he was not personally liable, the attorney general of Canada was not vicariously liable, given the federal Crown Liability and Proceedings Act. If the provincial Crown wanted to deny liability generally, including liability in the attorney general, it should have pleaded that in its statement of defence. Section 11 of the Police Act suggested that ministers were nominal defendants for the government itself. </w:t>
            </w:r>
            <w:r>
              <w:rPr>
                <w:rFonts w:ascii="arial" w:eastAsia="arial" w:hAnsi="arial" w:cs="arial"/>
                <w:sz w:val="20"/>
                <w:lang w:val="en-US" w:eastAsia="en-US" w:bidi="ar-SA"/>
              </w:rPr>
              <w:cr/>
            </w:r>
          </w:p>
          <w:p>
            <w:pPr>
              <w:rPr>
                <w:rFonts w:ascii="arial" w:eastAsia="arial" w:hAnsi="arial" w:cs="arial"/>
                <w:sz w:val="20"/>
                <w:lang w:val="en-US" w:eastAsia="en-US" w:bidi="ar-SA"/>
              </w:rPr>
            </w:pPr>
          </w:p>
        </w:tc>
      </w:tr>
    </w:tbl>
    <w:p>
      <w:pPr>
        <w:jc w:val="both"/>
        <w:rPr>
          <w:rFonts w:ascii="arial" w:eastAsia="arial" w:hAnsi="arial" w:cs="arial"/>
          <w:sz w:val="20"/>
          <w:lang w:val="en-US" w:eastAsia="en-US" w:bidi="ar-SA"/>
        </w:rPr>
      </w:pPr>
      <w:bookmarkStart w:id="139" w:name="Legislation Cited_14"/>
      <w:bookmarkEnd w:id="139"/>
      <w:r>
        <w:rPr>
          <w:rFonts w:ascii="arial" w:eastAsia="arial" w:hAnsi="arial" w:cs="arial"/>
          <w:sz w:val="20"/>
          <w:lang w:val="en-US" w:eastAsia="en-US" w:bidi="ar-SA"/>
        </w:rPr>
        <w:br/>
      </w:r>
    </w:p>
    <w:p>
      <w:pPr>
        <w:keepNext/>
        <w:spacing w:before="24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Statutes, Regulations and Rules Cited:</w:t>
      </w:r>
    </w:p>
    <w:p>
      <w:pPr>
        <w:spacing w:line="60" w:lineRule="exact"/>
        <w:rPr>
          <w:rFonts w:ascii="arial" w:eastAsia="arial" w:hAnsi="arial" w:cs="arial"/>
          <w:sz w:val="20"/>
          <w:lang w:val="en-US" w:eastAsia="en-US" w:bidi="ar-SA"/>
        </w:rPr>
      </w:pPr>
      <w:r>
        <w:pict>
          <v:line id="_x0000_s1132" style="position:absolute;z-index:251731968"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British Columbia Rules of Court, Rule 19(15).</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Crown Liability and Proceedings Act, R.S.C. 1985, c. C-50, ss. 3, 4, 10, 11.</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Crown Proceeding Act, </w:t>
      </w:r>
      <w:hyperlink r:id="rId474" w:history="1">
        <w:r>
          <w:rPr>
            <w:rFonts w:ascii="arial" w:eastAsia="arial" w:hAnsi="arial" w:cs="arial"/>
            <w:i/>
            <w:color w:val="0077CC"/>
            <w:sz w:val="20"/>
            <w:u w:val="single"/>
            <w:shd w:val="clear" w:color="auto" w:fill="FFFFFF"/>
            <w:lang w:val="en-US" w:eastAsia="en-US" w:bidi="ar-SA"/>
          </w:rPr>
          <w:t>R.S.B.C. 1996, c. 89, ss. 1</w:t>
        </w:r>
      </w:hyperlink>
      <w:r>
        <w:rPr>
          <w:rFonts w:ascii="arial" w:eastAsia="arial" w:hAnsi="arial" w:cs="arial"/>
          <w:color w:val="000000"/>
          <w:sz w:val="20"/>
          <w:lang w:val="en-US" w:eastAsia="en-US" w:bidi="ar-SA"/>
        </w:rPr>
        <w:t>, 2, 3.</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Motor Vehicle Act, </w:t>
      </w:r>
      <w:hyperlink r:id="rId475" w:history="1">
        <w:r>
          <w:rPr>
            <w:rFonts w:ascii="arial" w:eastAsia="arial" w:hAnsi="arial" w:cs="arial"/>
            <w:i/>
            <w:color w:val="0077CC"/>
            <w:sz w:val="20"/>
            <w:u w:val="single"/>
            <w:shd w:val="clear" w:color="auto" w:fill="FFFFFF"/>
            <w:lang w:val="en-US" w:eastAsia="en-US" w:bidi="ar-SA"/>
          </w:rPr>
          <w:t>R.S.B.C. 1996, c. 318, s. 122</w:t>
        </w:r>
      </w:hyperlink>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Police Act, </w:t>
      </w:r>
      <w:hyperlink r:id="rId476" w:history="1">
        <w:r>
          <w:rPr>
            <w:rFonts w:ascii="arial" w:eastAsia="arial" w:hAnsi="arial" w:cs="arial"/>
            <w:i/>
            <w:color w:val="0077CC"/>
            <w:sz w:val="20"/>
            <w:u w:val="single"/>
            <w:shd w:val="clear" w:color="auto" w:fill="FFFFFF"/>
            <w:lang w:val="en-US" w:eastAsia="en-US" w:bidi="ar-SA"/>
          </w:rPr>
          <w:t>R.S.B.C. 1996, c. 367, ss 11</w:t>
        </w:r>
      </w:hyperlink>
      <w:r>
        <w:rPr>
          <w:rFonts w:ascii="arial" w:eastAsia="arial" w:hAnsi="arial" w:cs="arial"/>
          <w:color w:val="000000"/>
          <w:sz w:val="20"/>
          <w:lang w:val="en-US" w:eastAsia="en-US" w:bidi="ar-SA"/>
        </w:rPr>
        <w:t>, 14, 21(2).</w:t>
      </w:r>
      <w:r>
        <w:rPr>
          <w:rFonts w:ascii="arial" w:eastAsia="arial" w:hAnsi="arial" w:cs="arial"/>
          <w:sz w:val="20"/>
          <w:lang w:val="en-US" w:eastAsia="en-US" w:bidi="ar-SA"/>
        </w:rPr>
        <w:cr/>
      </w:r>
    </w:p>
    <w:p>
      <w:pPr>
        <w:keepNext/>
        <w:spacing w:before="240" w:line="340" w:lineRule="atLeast"/>
        <w:rPr>
          <w:rFonts w:ascii="arial" w:eastAsia="arial" w:hAnsi="arial" w:cs="arial"/>
          <w:sz w:val="20"/>
          <w:lang w:val="en-US" w:eastAsia="en-US" w:bidi="ar-SA"/>
        </w:rPr>
      </w:pPr>
      <w:bookmarkStart w:id="140" w:name="Counsel_20"/>
      <w:bookmarkEnd w:id="140"/>
      <w:r>
        <w:rPr>
          <w:rFonts w:ascii="arial" w:eastAsia="arial" w:hAnsi="arial" w:cs="arial"/>
          <w:b/>
          <w:color w:val="000000"/>
          <w:sz w:val="28"/>
          <w:lang w:val="en-US" w:eastAsia="en-US" w:bidi="ar-SA"/>
        </w:rPr>
        <w:t>Counsel</w:t>
      </w:r>
    </w:p>
    <w:p>
      <w:pPr>
        <w:spacing w:line="60" w:lineRule="exact"/>
        <w:rPr>
          <w:rFonts w:ascii="arial" w:eastAsia="arial" w:hAnsi="arial" w:cs="arial"/>
          <w:sz w:val="20"/>
          <w:lang w:val="en-US" w:eastAsia="en-US" w:bidi="ar-SA"/>
        </w:rPr>
      </w:pPr>
      <w:r>
        <w:pict>
          <v:line id="_x0000_s1133" style="position:absolute;z-index:251783168"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R.E. McLarty, for the plaintiff. L.D. Lachance, for the defendants.</w:t>
      </w:r>
      <w:r>
        <w:rPr>
          <w:rFonts w:ascii="arial" w:eastAsia="arial" w:hAnsi="arial" w:cs="arial"/>
          <w:sz w:val="20"/>
          <w:lang w:val="en-US" w:eastAsia="en-US" w:bidi="ar-SA"/>
        </w:rPr>
        <w:cr/>
      </w:r>
    </w:p>
    <w:p>
      <w:pPr>
        <w:spacing w:after="240"/>
        <w:rPr>
          <w:rFonts w:ascii="arial" w:eastAsia="arial" w:hAnsi="arial" w:cs="arial"/>
          <w:sz w:val="20"/>
          <w:lang w:val="en-US" w:eastAsia="en-US" w:bidi="ar-SA"/>
        </w:rPr>
      </w:pPr>
      <w:bookmarkStart w:id="141" w:name="Judgment_21"/>
      <w:bookmarkEnd w:id="141"/>
      <w:r>
        <w:pict>
          <v:line id="_x0000_s1134" style="position:absolute;z-index:251832320" from="0,12pt" to="512pt,12pt" strokecolor="#009ddb" strokeweight="1.5pt">
            <v:stroke linestyle="single"/>
          </v:line>
        </w:pict>
      </w:r>
    </w:p>
    <w:p>
      <w:pPr>
        <w:spacing w:before="120" w:line="240" w:lineRule="atLeast"/>
        <w:ind w:firstLine="240"/>
        <w:rPr>
          <w:rFonts w:ascii="arial" w:eastAsia="arial" w:hAnsi="arial" w:cs="arial"/>
          <w:sz w:val="20"/>
          <w:lang w:val="en-US" w:eastAsia="en-US" w:bidi="ar-SA"/>
        </w:rPr>
      </w:pPr>
      <w:r>
        <w:rPr>
          <w:rFonts w:ascii="arial" w:eastAsia="arial" w:hAnsi="arial" w:cs="arial"/>
          <w:color w:val="000000"/>
          <w:sz w:val="18"/>
          <w:lang w:val="en-US" w:eastAsia="en-US" w:bidi="ar-SA"/>
        </w:rPr>
        <w:t>[Quicklaw note: A Corrigendum was released August 28, 2001. The correction has been made to the text and the Corrigendum is appended to this document.]</w:t>
      </w:r>
      <w:r>
        <w:rPr>
          <w:rFonts w:ascii="arial" w:eastAsia="arial" w:hAnsi="arial" w:cs="arial"/>
          <w:sz w:val="20"/>
          <w:lang w:val="en-US" w:eastAsia="en-US" w:bidi="ar-SA"/>
        </w:rPr>
        <w:cr/>
      </w:r>
    </w:p>
    <w:p>
      <w:pPr>
        <w:rPr>
          <w:rFonts w:ascii="arial" w:eastAsia="arial" w:hAnsi="arial" w:cs="arial"/>
          <w:sz w:val="20"/>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2320"/>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rFonts w:ascii="arial" w:eastAsia="arial" w:hAnsi="arial" w:cs="arial"/>
                <w:sz w:val="20"/>
                <w:lang w:val="en-US" w:eastAsia="en-US" w:bidi="ar-SA"/>
              </w:rPr>
            </w:pPr>
            <w:bookmarkStart w:id="142" w:name="MACAULAY J."/>
            <w:bookmarkEnd w:id="142"/>
            <w:r>
              <w:rPr>
                <w:rFonts w:ascii="arial" w:eastAsia="arial" w:hAnsi="arial" w:cs="arial"/>
                <w:b/>
                <w:color w:val="000000"/>
                <w:sz w:val="30"/>
                <w:lang w:val="en-US" w:eastAsia="en-US" w:bidi="ar-SA"/>
              </w:rPr>
              <w:t>MACAULAY J.</w:t>
            </w:r>
          </w:p>
        </w:tc>
      </w:tr>
    </w:tbl>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xml:space="preserve">   On the evening of November 27 1997, the plaintiff, Hill, stopped his vehicle at a red light for northbound traffic on 152nd Street in Surrey at the intersection of Highway 10. Moments later, after the light changed to green in Hill's favour and he moved forward, the Hill vehicle collided with a Royal Canadian Mounted Police ("RCMP") vehicle that the defendant, Hurst, was driving eastbound on Highway 10. Hurst activated both the siren and emergency lights well before entering the intersection. Section 122 of the Motor Vehicle Act, </w:t>
      </w:r>
      <w:r>
        <w:rPr>
          <w:rFonts w:ascii="arial" w:eastAsia="arial" w:hAnsi="arial" w:cs="arial"/>
          <w:i/>
          <w:color w:val="000000"/>
          <w:sz w:val="20"/>
          <w:lang w:val="en-US" w:eastAsia="en-US" w:bidi="ar-SA"/>
        </w:rPr>
        <w:t>R.S.B.C. 1996, c. 318</w:t>
      </w:r>
      <w:r>
        <w:rPr>
          <w:rFonts w:ascii="arial" w:eastAsia="arial" w:hAnsi="arial" w:cs="arial"/>
          <w:color w:val="000000"/>
          <w:sz w:val="20"/>
          <w:lang w:val="en-US" w:eastAsia="en-US" w:bidi="ar-SA"/>
        </w:rPr>
        <w:t xml:space="preserve"> governs the conduct of the officer in the circumstances.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The circumstances immediately preceding the collision are at issue as is the entitlement of Hill, even if Hurst is found to be at fault, to a finding of liability against any of the named defendants: Hurst, an RCMP officer and a deemed provincial constable at the time; the Attorney General of Canada, and Her Majesty the Queen in right of the Province of British Columbia. I will also address the additional question that arose during trial: whether a new defendant, the Attorney General of the Province of British Columbia, should be added.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FACTS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A number of witnesses testified to the circumstances of the collision, which are at issue. Before setting out the evidence and addressing the conflicts, I will briefly describe the intersection and surrounding area.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152nd Street runs north from the White Rock area to the Guildford area of Surrey. Highway 10 runs due east from near the Surrey RCMP detachment through the intersection at 152nd Street and, eventually, Cloverdale. Hill was travelling from work in the White Rock area northbound on 152nd Street to his home near Guildford at the time of the accident. Hurst, an on-duty constable with the RCMP, was responding to an emergency call in the Cloverdale area and was travelling eastbound on Highway 10 from the detachment. The collision occurred in the intersection.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At the time, the intersection was controlled by traffic lights. There were single through lanes for north and southbound traffic on 152nd Street. In addition, there was a left hand turn lane for northbound traffic turning west on Highway 10 and, similarly, for southbound traffic turning east. Highway 10 had a single through lane for eastbound traffic, as well as a left turn lane at the intersection. Finally, there were two through lanes for westbound traffic on Highway 10 along with a left turn lane for traffic turning south.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There was a gas station on the property at the southwest corner of the intersection. The station was set back from Highway 10 and there were gas pumps in between. A stand of large trees was located on the south side of the highway west of the gas station. Although the intersection itself is flat, to the west of the intersection, Highway 10 crests to a hill.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Shortly before the accident, one of the witnesses, Mark Bailey, approached the intersection in his vehicle westbound on Highway 10. Bailey intended to turn left and proceed southbound on 152nd Street. Bailey entered the left turn lane but stopped as the traffic light had changed to either yellow or red as he approached. When Bailey stopped, he had an unobstructed view of the oncoming police vehicle travelling east down the hill toward him with its emergency lights on. At about the same time, Bailey heard the siren. Bailey also testified that he observed a truck with an attached lift bucket parked in the northeast corner of the parking lot at the Shell gas station although, as I will set out later, it is more probable that he observed the truck shortly after the accident occurred.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As he waited for the light to change to green in his favour, Bailey observed three vehicles successfully cross the intersection on 152nd Street while the police vehicle approached. The first vehicle travelled south; the second travelled north and the third also travelled south. According to Bailey, the police vehicle narrowly missed the third vehicle by about 15 feet. Immediately after that, the police vehicle collided with the Hill northbound vehicle. By that point, the light facing Bailey had been red for at least ten seconds.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Bailey was unable to accurately estimate the speed of the approaching police vehicle although he estimated it at not less than 30 kilometres per hour. He observed that the vehicle was travelling quickly as it first approached the intersection but Bailey's ability to see was impeded thereafter. He did not, at any time, observe obvious signs of braking.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After colliding with the Hill vehicle, the police vehicle travelled towards the Bailey vehicle, scraped along the driver's side and then continued about six car lengths further before stopping on the south side of Highway 10.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Hill testified that as he approached the intersection on 152nd Street from the south, there was one vehicle stopped for the red light ahead of him. The Hill vehicle was quite new and quiet; the windows were closed; the radio was on with music playing, but at a normal volume. Hill did not hear or see the police vehicle at any time before the collision. Like Bailey, Hill also testified that he observed a truck to his left, similar to the one described by Bailey, except Hill testified that the truck was on 152nd Street immediately south of the intersection. He too is in error respecting the timing of that observation.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When the light turned green, Hill started to follow the vehicle immediately in front of him. Hill was uncertain about his speed. Although he watched the vehicle ahead of him, Hill never looked to his left and was only aware of one southbound vehicle. In spite of that, the police vehicle must have been in Hill's available line of sight once he started to enter the intersection, yet he was completely unaware of the eastbound vehicle until it passed immediately in front of him. As the police vehicle passed, it collided with the front end of the Hill vehicle tearing off the front bumper. The total damage to the Hill vehicle was about $15,800.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Even after the collision, Hill was unaware of the emergency lights flashing on the police vehicle although this might be explained by shock.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Gregory Belich observed the accident from inside his vehicle parked facing west in a parking lot just off 152nd Street slightly north of the intersection. Belich first heard the siren as the police vehicle crested the hill before the intersection. Although he observed the collision between the police and Hill vehicles, Belich did not notice any other vehicles travelling through the intersection either north or south. Belich confirmed that the light for north south traffic was green at the time of the collision.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w:t>
      </w:r>
      <w:r>
        <w:rPr>
          <w:rFonts w:ascii="arial" w:eastAsia="arial" w:hAnsi="arial" w:cs="arial"/>
          <w:color w:val="000000"/>
          <w:sz w:val="20"/>
          <w:lang w:val="en-US" w:eastAsia="en-US" w:bidi="ar-SA"/>
        </w:rPr>
        <w:t>  Within minutes of the accident, Belich moved his vehicle to the south side of the intersection where he parked on the shoulder of 152nd Street, or the adjacent parking lot, so that he could perform routine maintenance of the traffic signals. According to Belich, he was either driving a white van with a rooftop ladder and bucket or a yellow truck with a centre mounted bucket.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w:t>
      </w:r>
      <w:r>
        <w:rPr>
          <w:rFonts w:ascii="arial" w:eastAsia="arial" w:hAnsi="arial" w:cs="arial"/>
          <w:color w:val="000000"/>
          <w:sz w:val="20"/>
          <w:lang w:val="en-US" w:eastAsia="en-US" w:bidi="ar-SA"/>
        </w:rPr>
        <w:t>  I am satisfied that it was the Belich vehicle that both Bailey and Hill observed shortly after the accident and that each assumed that it must have been present beforehand. Belich was a reliable witness and I think it is more likely that he would remember the timing of parking his vehicle accurately. I conclude that Bailey and Hill were mistaken about the presence of the vehicle before rather than after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w:t>
      </w:r>
      <w:r>
        <w:rPr>
          <w:rFonts w:ascii="arial" w:eastAsia="arial" w:hAnsi="arial" w:cs="arial"/>
          <w:color w:val="000000"/>
          <w:sz w:val="20"/>
          <w:lang w:val="en-US" w:eastAsia="en-US" w:bidi="ar-SA"/>
        </w:rPr>
        <w:t>  However, I prefer the evidence of Bailey, as partially corroborated by Hill, as to the number of cars that passed successfully through the intersection before the collision. Bailey had the best vantage point. Each vehicle had to pass his direct line of sight as the police vehicle approached. Coincidentally, Bailey is an engineer who specializes in accident reconstruction and likely observed the events with care because of that training.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w:t>
      </w:r>
      <w:r>
        <w:rPr>
          <w:rFonts w:ascii="arial" w:eastAsia="arial" w:hAnsi="arial" w:cs="arial"/>
          <w:color w:val="000000"/>
          <w:sz w:val="20"/>
          <w:lang w:val="en-US" w:eastAsia="en-US" w:bidi="ar-SA"/>
        </w:rPr>
        <w:t>  I also accept Hill's evidence that one vehicle went through the intersection directly ahead of him. Although he failed to notice both southbound vehicles, that is because he paid no attention to anything happening to his left. For that reason, he also failed to observe the oncoming police vehicle even when it was in the intersection.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w:t>
      </w:r>
      <w:r>
        <w:rPr>
          <w:rFonts w:ascii="arial" w:eastAsia="arial" w:hAnsi="arial" w:cs="arial"/>
          <w:color w:val="000000"/>
          <w:sz w:val="20"/>
          <w:lang w:val="en-US" w:eastAsia="en-US" w:bidi="ar-SA"/>
        </w:rPr>
        <w:t>  Sanjay Korpal was working at the gas station located at the southwest corner of the intersection. He heard the siren and saw the police vehicle with emergency lights on when it was at least 80 to 100 feet from the intersection. Korpal estimated the speed of the vehicle at about 60 to 80 kilometres per hour as it slowed near the bottom of the hill. He also testified that he recalled another eastbound vehicle in front of the police vehicle that turned right to travel south on 152nd Street. According to Korpal, the driver of the police vehicle stopped before the intersection, looked both ways and then accelerated up to 30 to 40 kilometres per hour before colliding with the Hill vehicle.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w:t>
      </w:r>
      <w:r>
        <w:rPr>
          <w:rFonts w:ascii="arial" w:eastAsia="arial" w:hAnsi="arial" w:cs="arial"/>
          <w:color w:val="000000"/>
          <w:sz w:val="20"/>
          <w:lang w:val="en-US" w:eastAsia="en-US" w:bidi="ar-SA"/>
        </w:rPr>
        <w:t>  Like Belich, Korpal did not notice any other vehicles travelling south or north on 152nd Street immediately before the collision. No other witness, including Constable Hurst, observed another vehicle travelling east on Highway 10 in front of the police vehicle nor did Hurst testify that he stopped before entering the intersection. I am not persuaded that Korpal's recollection of the movements of the police vehicle before the accident was reliable and accurate.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w:t>
      </w:r>
      <w:r>
        <w:rPr>
          <w:rFonts w:ascii="arial" w:eastAsia="arial" w:hAnsi="arial" w:cs="arial"/>
          <w:color w:val="000000"/>
          <w:sz w:val="20"/>
          <w:lang w:val="en-US" w:eastAsia="en-US" w:bidi="ar-SA"/>
        </w:rPr>
        <w:t>  Hurst testified that he received an urgent radio dispatch to assist an officer in distress just as he was leaving the parking lot of the Surrey RCMP detachment. He turned on the siren, overhead blue and red orbiting lights and operated his headlights on wig - wag. He proceeded south then turned east on Highway 10. Hurst estimated that his maximum speed, as he crested the hill, was 100 to 110 kilometres per hour. Hurst observed that the light at 152nd Street was green in his favour but did not know how long it had been. There was no eastbound traffic in front of him. Westbound vehicles were pulling over to the north side of Highway 10 as Hurst passed them in the opposite direction.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w:t>
      </w:r>
      <w:r>
        <w:rPr>
          <w:rFonts w:ascii="arial" w:eastAsia="arial" w:hAnsi="arial" w:cs="arial"/>
          <w:color w:val="000000"/>
          <w:sz w:val="20"/>
          <w:lang w:val="en-US" w:eastAsia="en-US" w:bidi="ar-SA"/>
        </w:rPr>
        <w:t>  Hurst slowed before reaching the intersection and recalls observing that the light was yellow. According to him, all north and southbound vehicles on 152nd Street were stopped. About 100 metres from the intersection, Hurst decided that he could drive through if the intersection remained clear.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w:t>
      </w:r>
      <w:r>
        <w:rPr>
          <w:rFonts w:ascii="arial" w:eastAsia="arial" w:hAnsi="arial" w:cs="arial"/>
          <w:color w:val="000000"/>
          <w:sz w:val="20"/>
          <w:lang w:val="en-US" w:eastAsia="en-US" w:bidi="ar-SA"/>
        </w:rPr>
        <w:t>  In his evidence in chief, Hurst testified that, as he approached the intersection, he changed the siren to yelp, slowed to about 20 to 30 kilometres per hour and looked about. He also testified that, just before he entered the intersection, he observed a relatively slow moving southbound vehicle in the intersection so he braked and "altered" course to his right to avoid it. The southbound vehicle stopped and Hurst then accelerated on through the intersection to the point where the collision with the Hill vehicle occurred.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w:t>
      </w:r>
      <w:r>
        <w:rPr>
          <w:rFonts w:ascii="arial" w:eastAsia="arial" w:hAnsi="arial" w:cs="arial"/>
          <w:color w:val="000000"/>
          <w:sz w:val="20"/>
          <w:lang w:val="en-US" w:eastAsia="en-US" w:bidi="ar-SA"/>
        </w:rPr>
        <w:t>  According to Hurst, he had no forewarning of the collision, the force of which pushed his vehicle north and east where he grazed the side of the Bailey vehicle. Hurst was then able to bring his vehicle to a stop on the side of Highway 10. He had no recollection of applying the brakes hard to do so.</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w:t>
      </w:r>
      <w:r>
        <w:rPr>
          <w:rFonts w:ascii="arial" w:eastAsia="arial" w:hAnsi="arial" w:cs="arial"/>
          <w:color w:val="000000"/>
          <w:sz w:val="20"/>
          <w:lang w:val="en-US" w:eastAsia="en-US" w:bidi="ar-SA"/>
        </w:rPr>
        <w:t>  In cross-examination, Hurst acknowledged that he was aware before he entered the intersection of the risk that the light would change to red for his direction of travel and that north or southbound vehicles might enter the intersection on the green facing them. He also confirmed that he was aware that people frequently do not appear to see or hear and respond appropriately to emergency lights or sirens.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w:t>
      </w:r>
      <w:r>
        <w:rPr>
          <w:rFonts w:ascii="arial" w:eastAsia="arial" w:hAnsi="arial" w:cs="arial"/>
          <w:color w:val="000000"/>
          <w:sz w:val="20"/>
          <w:lang w:val="en-US" w:eastAsia="en-US" w:bidi="ar-SA"/>
        </w:rPr>
        <w:t>  According to the constable, he dealt with that risk by slowing and surveying the intersection. In spite of that, on the evidence of Bailey and Hill to which I have referred, two other vehicles successfully cleared the intersection after the light changed to green and before Hurst entered it, without Hurst noticing them. While I accept that Hurst did not see these vehicles, it does not necessarily follow that they were not there.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w:t>
      </w:r>
      <w:r>
        <w:rPr>
          <w:rFonts w:ascii="arial" w:eastAsia="arial" w:hAnsi="arial" w:cs="arial"/>
          <w:color w:val="000000"/>
          <w:sz w:val="20"/>
          <w:lang w:val="en-US" w:eastAsia="en-US" w:bidi="ar-SA"/>
        </w:rPr>
        <w:t>  Some of the other evidence given by Hurst at trial was unreliable or inaccurate. On cross-examination, counsel successfully challenged some of Hurst's recollections by putting earlier inconsistent statements from his examination for discovery, his notes made at the time and his first statement. I am not persuaded that Hurst observed a slow moving southbound vehicle before he entered the intersection or that he was able to avoid it without swerving. I consider it more probable that Hurst first observed the vehicle as or after he entered the intersection and had to immediately brake and swerve to avoid a collision.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w:t>
      </w:r>
      <w:r>
        <w:rPr>
          <w:rFonts w:ascii="arial" w:eastAsia="arial" w:hAnsi="arial" w:cs="arial"/>
          <w:color w:val="000000"/>
          <w:sz w:val="20"/>
          <w:lang w:val="en-US" w:eastAsia="en-US" w:bidi="ar-SA"/>
        </w:rPr>
        <w:t>  After manoeuvring to avoid the southbound vehicle, Hurst accelerated, according to him, for about ten metres until the collision with the Hill vehicle. After the accident, Hurst admitted to his supervising officer that his speed at the time of the collision was 55 kilometres per hour. This was close to what Hurst thought the applicable speed limit was as he entered the intersection. According to Hurst, he had no forewarning of the collision between his vehicle and the Hill vehicle.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w:t>
      </w:r>
      <w:r>
        <w:rPr>
          <w:rFonts w:ascii="arial" w:eastAsia="arial" w:hAnsi="arial" w:cs="arial"/>
          <w:color w:val="000000"/>
          <w:sz w:val="20"/>
          <w:lang w:val="en-US" w:eastAsia="en-US" w:bidi="ar-SA"/>
        </w:rPr>
        <w:t>  Two engineers, David King for the plaintiff and David Little for the defendants, each with expertise in accident reconstruction, provided reports. Both testified as well.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w:t>
      </w:r>
      <w:r>
        <w:rPr>
          <w:rFonts w:ascii="arial" w:eastAsia="arial" w:hAnsi="arial" w:cs="arial"/>
          <w:color w:val="000000"/>
          <w:sz w:val="20"/>
          <w:lang w:val="en-US" w:eastAsia="en-US" w:bidi="ar-SA"/>
        </w:rPr>
        <w:t>  King estimated the speed of the Hill vehicle at impact as well as the speed of the Hurst vehicle both at impact and at the point of entry into the intersection. Little disagreed with King's conclusions respecting the speed of the Hurst vehicle but proffered no substantial criticism of the estimated speed of the Hill vehicle being between 24 to 35 kilometres per hour. This is likely because the maximum was entirely theoretical and the minimum was based on the activation of the airbag that, according to King, could not have occurred at a collision speed of less than 24 kilometres per hour.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w:t>
      </w:r>
      <w:r>
        <w:rPr>
          <w:rFonts w:ascii="arial" w:eastAsia="arial" w:hAnsi="arial" w:cs="arial"/>
          <w:color w:val="000000"/>
          <w:sz w:val="20"/>
          <w:lang w:val="en-US" w:eastAsia="en-US" w:bidi="ar-SA"/>
        </w:rPr>
        <w:t>  It is not necessary to review in detail the differences of opinion respecting the speed of the Hurst vehicle as set out in the reports. Much of the King report as it related to the maximum speed of the Hurst vehicle, which he estimated between 60 and 85 kilometres per hour at the time of impact, was successfully challenged both in the Little report and during the cross-examination of King at trial. I accept that King relied on several factors necessary to calculate speed at impact that were not confirmed by adequate physical evidence.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w:t>
      </w:r>
      <w:r>
        <w:rPr>
          <w:rFonts w:ascii="arial" w:eastAsia="arial" w:hAnsi="arial" w:cs="arial"/>
          <w:color w:val="000000"/>
          <w:sz w:val="20"/>
          <w:lang w:val="en-US" w:eastAsia="en-US" w:bidi="ar-SA"/>
        </w:rPr>
        <w:t>  King also incorporated his finding of impact speed of at least 60 kilometres per hour into his calculation of the minimum speed at the point of entry into the intersection. His conclusions respecting the entry speed deserve weight only to the extent they are supported by other evidence.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w:t>
      </w:r>
      <w:r>
        <w:rPr>
          <w:rFonts w:ascii="arial" w:eastAsia="arial" w:hAnsi="arial" w:cs="arial"/>
          <w:color w:val="000000"/>
          <w:sz w:val="20"/>
          <w:lang w:val="en-US" w:eastAsia="en-US" w:bidi="ar-SA"/>
        </w:rPr>
        <w:t>  King estimated a minimum entry speed at 40 kilometres per hour allowing for acceleration to 60 kilometres per hour over a distance of 25 metres. The distance available for acceleration after Hurst swerved was, in fact, significantly less. As will be seen, if the impact speed did approximate 55 kilometres per hour as admitted by Hurst immediately after the accident, the entry speed was probably higher than King estimated. This is because Hurst braked and swerved once he was in the intersection, then accelerated over a shorter distance of about eight to ten metres to the point of impact.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34</w:t>
      </w:r>
      <w:r>
        <w:rPr>
          <w:rFonts w:ascii="arial" w:eastAsia="arial" w:hAnsi="arial" w:cs="arial"/>
          <w:color w:val="000000"/>
          <w:sz w:val="20"/>
          <w:lang w:val="en-US" w:eastAsia="en-US" w:bidi="ar-SA"/>
        </w:rPr>
        <w:t>  Unfortunately, I was not impressed with King and found him to be an unsatisfactory expert witness. He was unusually and unnecessarily combative in defending his views to the point that his objectivity, a necessary feature of expert evidence, was questionable.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35</w:t>
      </w:r>
      <w:r>
        <w:rPr>
          <w:rFonts w:ascii="arial" w:eastAsia="arial" w:hAnsi="arial" w:cs="arial"/>
          <w:color w:val="000000"/>
          <w:sz w:val="20"/>
          <w:lang w:val="en-US" w:eastAsia="en-US" w:bidi="ar-SA"/>
        </w:rPr>
        <w:t>  Little, on the other hand, was an impressive witness and I found his evidence during cross-examination as to the speed of the Hurst vehicle on entering the intersection most helpful. I discount, however, the evidence in his report respecting the speed on entry as he assumed, like King, that Hurst accelerated over a distance of about 25 metres immediately before impact.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36</w:t>
      </w:r>
      <w:r>
        <w:rPr>
          <w:rFonts w:ascii="arial" w:eastAsia="arial" w:hAnsi="arial" w:cs="arial"/>
          <w:color w:val="000000"/>
          <w:sz w:val="20"/>
          <w:lang w:val="en-US" w:eastAsia="en-US" w:bidi="ar-SA"/>
        </w:rPr>
        <w:t>  In cross-examination, counsel asked Little to assume that Hurst braked and swerved to the right as he entered the intersection before accelerating to the point of impact. Little calculated the distance to impact at about eight metres, or just over one and one-half car lengths. This estimate was not far off the ten metres estimated by Hurst. Of particular significance, the distance allowed little opportunity for acceleration thus supporting the conclusion that Hurst must have already been travelling close to impact speed even after braking and swerving in the intersection. It follows that the speed of the Hurst vehicle at the point of entering the intersection was likely higher than either King or Little originally estimated.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37</w:t>
      </w:r>
      <w:r>
        <w:rPr>
          <w:rFonts w:ascii="arial" w:eastAsia="arial" w:hAnsi="arial" w:cs="arial"/>
          <w:color w:val="000000"/>
          <w:sz w:val="20"/>
          <w:lang w:val="en-US" w:eastAsia="en-US" w:bidi="ar-SA"/>
        </w:rPr>
        <w:t>  If the Hurst vehicle was travelling at 60 kilometres per hour at the point of impact, according to Little on cross-examination, it must have been travelling at least about 55 to 56 kilometres per hour after braking and swerving but before any possible accelerating. Accordingly, the entry speed could not have been any less.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38</w:t>
      </w:r>
      <w:r>
        <w:rPr>
          <w:rFonts w:ascii="arial" w:eastAsia="arial" w:hAnsi="arial" w:cs="arial"/>
          <w:color w:val="000000"/>
          <w:sz w:val="20"/>
          <w:lang w:val="en-US" w:eastAsia="en-US" w:bidi="ar-SA"/>
        </w:rPr>
        <w:t>  On the whole of the evidence, I conclude that the speed of the Hurst vehicle at the point of impact was at least 55 kilometres per hour but no more than 60. Given the braking action as Hurst approached and entered the intersection, coupled with the swerving, his speed at entry must have been at least similar. It follows that I do not accept Hurst's estimate that he had slowed to no more than 30 kilometres per hour before entering the intersection.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39</w:t>
      </w:r>
      <w:r>
        <w:rPr>
          <w:rFonts w:ascii="arial" w:eastAsia="arial" w:hAnsi="arial" w:cs="arial"/>
          <w:color w:val="000000"/>
          <w:sz w:val="20"/>
          <w:lang w:val="en-US" w:eastAsia="en-US" w:bidi="ar-SA"/>
        </w:rPr>
        <w:t>  The higher the speed at or immediately before entry, the less time and opportunity was available for the plaintiff to observe or hear and react to the oncoming hazard. Hurst testified that he drove as fast as 110 kilometres per hour as he crested the hill west of the intersection. That estimate is likely correct but, in my view, Hurst did not slow nearly as much as he described before entering the intersection.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40</w:t>
      </w:r>
      <w:r>
        <w:rPr>
          <w:rFonts w:ascii="arial" w:eastAsia="arial" w:hAnsi="arial" w:cs="arial"/>
          <w:color w:val="000000"/>
          <w:sz w:val="20"/>
          <w:lang w:val="en-US" w:eastAsia="en-US" w:bidi="ar-SA"/>
        </w:rPr>
        <w:t>  The light was clearly red against Hurst yet he never saw the two vehicles that cleared the intersection before his arrival. Although he saw the second southbound vehicle, he had to brake and swerve to avoid it. He then accelerated without ever seeing the Hill vehicle even though it must have been in the intersection as well.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41</w:t>
      </w:r>
      <w:r>
        <w:rPr>
          <w:rFonts w:ascii="arial" w:eastAsia="arial" w:hAnsi="arial" w:cs="arial"/>
          <w:color w:val="000000"/>
          <w:sz w:val="20"/>
          <w:lang w:val="en-US" w:eastAsia="en-US" w:bidi="ar-SA"/>
        </w:rPr>
        <w:t>  I do not accept that Hurst slowed and surveyed the intersection to the extent he suggested in his evidence. I also find it significant that Hurst considered the applicable speed limit at the time to be 60 kilometres per hour yet obviously considered the situation sufficiently emergent to be travelling at a much higher speed.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FAULT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42</w:t>
      </w:r>
      <w:r>
        <w:rPr>
          <w:rFonts w:ascii="arial" w:eastAsia="arial" w:hAnsi="arial" w:cs="arial"/>
          <w:color w:val="000000"/>
          <w:sz w:val="20"/>
          <w:lang w:val="en-US" w:eastAsia="en-US" w:bidi="ar-SA"/>
        </w:rPr>
        <w:t>  I find that Hurst's attention was focussed primarily on getting to his destination as quickly as possible rather than on the presence of traffic in the intersection. Because of that, he never saw some of the vehicles, almost collided with one and did collide with the Hill vehicle.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43</w:t>
      </w:r>
      <w:r>
        <w:rPr>
          <w:rFonts w:ascii="arial" w:eastAsia="arial" w:hAnsi="arial" w:cs="arial"/>
          <w:color w:val="000000"/>
          <w:sz w:val="20"/>
          <w:lang w:val="en-US" w:eastAsia="en-US" w:bidi="ar-SA"/>
        </w:rPr>
        <w:t>  Section 122(4) of the Motor Vehicle Act imposes an obligation on the driver of an emergency vehicle when exceeding the speed limit or proceeding past a red light to "drive with due regard for safety, having regard to all the circumstances of the case". Those circumstances include:</w:t>
      </w:r>
      <w:r>
        <w:rPr>
          <w:rFonts w:ascii="arial" w:eastAsia="arial" w:hAnsi="arial" w:cs="arial"/>
          <w:sz w:val="20"/>
          <w:lang w:val="en-US" w:eastAsia="en-US" w:bidi="ar-SA"/>
        </w:rPr>
        <w:cr/>
      </w:r>
    </w:p>
    <w:p>
      <w:pPr>
        <w:numPr>
          <w:numId w:val="9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nature, condition and use of the highway;</w:t>
      </w:r>
    </w:p>
    <w:p>
      <w:pPr>
        <w:numPr>
          <w:numId w:val="9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amount of traffic that is on, or might reasonably be expected to be on, the highway;</w:t>
      </w:r>
    </w:p>
    <w:p>
      <w:pPr>
        <w:numPr>
          <w:numId w:val="9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nature of the use being made of the emergency vehicle at the time.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I conclude that Hurst failed to meet his obligations under the section.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44</w:t>
      </w:r>
      <w:r>
        <w:rPr>
          <w:rFonts w:ascii="arial" w:eastAsia="arial" w:hAnsi="arial" w:cs="arial"/>
          <w:color w:val="000000"/>
          <w:sz w:val="20"/>
          <w:lang w:val="en-US" w:eastAsia="en-US" w:bidi="ar-SA"/>
        </w:rPr>
        <w:t>  Had Hurst seen what was there to be seen as he approached the intersection, he would have realized not only that the light was already red against him but also that cars were moving through the intersection in spite of his approach with emergency equipment operating. Hurst ought reasonably to have stopped, or at least slowed to a nominal speed, until he could be satisfied that all vehicles had either cleared the intersection or come to a full stop to allow him to proceed. Instead, Hurst entered the intersection at too high a speed given the nature of the intersection and the traffic flow, then tried to accelerate his way through after avoiding the southbound vehicle but without checking for other moving traffic.</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45</w:t>
      </w:r>
      <w:r>
        <w:rPr>
          <w:rFonts w:ascii="arial" w:eastAsia="arial" w:hAnsi="arial" w:cs="arial"/>
          <w:color w:val="000000"/>
          <w:sz w:val="20"/>
          <w:lang w:val="en-US" w:eastAsia="en-US" w:bidi="ar-SA"/>
        </w:rPr>
        <w:t>  The manner in which Hurst approached and proceeded through the intersection conflicted with his training. He knew of the obvious danger of collision associated with proceeding against a red light and had been taught that, for a variety of reasons, other drivers often fail to see police emergency lights or hear sirens. He completely failed to take that risk into account even when it should have been apparent that at least one driver was unaware of his approach.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46</w:t>
      </w:r>
      <w:r>
        <w:rPr>
          <w:rFonts w:ascii="arial" w:eastAsia="arial" w:hAnsi="arial" w:cs="arial"/>
          <w:color w:val="000000"/>
          <w:sz w:val="20"/>
          <w:lang w:val="en-US" w:eastAsia="en-US" w:bidi="ar-SA"/>
        </w:rPr>
        <w:t>  In my view, Hurst was primarily at fault for the collision with the Hill vehicle but Hill was also contributorily negligent in failing to hear or observe the emergency vehicle to his left as it approached or entered the intersection. Had Hill paid any attention to his left, he might have been able to brake and avoid, or at least minimize the collision. A reasonable and prudent driver would have been aware of the oncoming police vehicle in the circumstances. I ascribe fault 70 per cent to Hurst and 30 per cent to Hill.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LIABILITY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47</w:t>
      </w:r>
      <w:r>
        <w:rPr>
          <w:rFonts w:ascii="arial" w:eastAsia="arial" w:hAnsi="arial" w:cs="arial"/>
          <w:color w:val="000000"/>
          <w:sz w:val="20"/>
          <w:lang w:val="en-US" w:eastAsia="en-US" w:bidi="ar-SA"/>
        </w:rPr>
        <w:t xml:space="preserve">  Although I have found that Hurst was negligent, it does not follow that he is liable. This is because he is entitled to the statutory protection afforded to provincial constables for torts committed in the course of their duties pursuant to s. 21(2) of the Police Act, </w:t>
      </w:r>
      <w:r>
        <w:rPr>
          <w:rFonts w:ascii="arial" w:eastAsia="arial" w:hAnsi="arial" w:cs="arial"/>
          <w:i/>
          <w:color w:val="000000"/>
          <w:sz w:val="20"/>
          <w:lang w:val="en-US" w:eastAsia="en-US" w:bidi="ar-SA"/>
        </w:rPr>
        <w:t>R.S.B.C. 1996, c. 367</w:t>
      </w:r>
      <w:r>
        <w:rPr>
          <w:rFonts w:ascii="arial" w:eastAsia="arial" w:hAnsi="arial" w:cs="arial"/>
          <w:color w:val="000000"/>
          <w:sz w:val="20"/>
          <w:lang w:val="en-US" w:eastAsia="en-US" w:bidi="ar-SA"/>
        </w:rPr>
        <w:t>. Subject to certain statutory exceptions, none of which arise here, the relevant portions of the section provide: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No action for damages lies against a police officer ... for anything said or done ... or omitted to be ... done by him ... in the performance ... of his ... duty ... or for any alleged neglect ... in the performance ... of his ... duty ... .</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During the trial, counsel agreed that, at the material time, Hurst was a member of the RCMP and deemed to be a provincial constable pursuant to s. 14 of the Police Act. This obviously flowed from an agreement between the provincial government and the RCMP as outlined in the section. In the statement of defence, Hurst specifically raised s. 21(2) as a bar to the claim against him personally.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48</w:t>
      </w:r>
      <w:r>
        <w:rPr>
          <w:rFonts w:ascii="arial" w:eastAsia="arial" w:hAnsi="arial" w:cs="arial"/>
          <w:color w:val="000000"/>
          <w:sz w:val="20"/>
          <w:lang w:val="en-US" w:eastAsia="en-US" w:bidi="ar-SA"/>
        </w:rPr>
        <w:t>  Although Hill never discontinued against Hurst, his counsel effectively acknowledged in final submissions that Hurst could not be found liable personally due to s. 21(2). I accept the defence contention that Hurst is not personally liable as he is entitled to the protection of the section.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49</w:t>
      </w:r>
      <w:r>
        <w:rPr>
          <w:rFonts w:ascii="arial" w:eastAsia="arial" w:hAnsi="arial" w:cs="arial"/>
          <w:color w:val="000000"/>
          <w:sz w:val="20"/>
          <w:lang w:val="en-US" w:eastAsia="en-US" w:bidi="ar-SA"/>
        </w:rPr>
        <w:t>  Who then may be found vicariously liable for the negligent acts of Hurst? Hill also named both the Attorney General of Canada and Her Majesty the Queen in Right of the Province of British Columbia as defendants at the outset of the litigation.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50</w:t>
      </w:r>
      <w:r>
        <w:rPr>
          <w:rFonts w:ascii="arial" w:eastAsia="arial" w:hAnsi="arial" w:cs="arial"/>
          <w:color w:val="000000"/>
          <w:sz w:val="20"/>
          <w:lang w:val="en-US" w:eastAsia="en-US" w:bidi="ar-SA"/>
        </w:rPr>
        <w:t>  Dealing first with the cause of action against the Attorney General of Canada, any liability in the present circumstances must be predicated upon the personal liability of Hurst. See Crown Liability and Proceedings Act R.S.C. 1985, c. C-50, ss. 3, 4, 10 and 11. As Hurst cannot be found personally liable, no vicarious liability attaches to the Attorney General of Canada.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51</w:t>
      </w:r>
      <w:r>
        <w:rPr>
          <w:rFonts w:ascii="arial" w:eastAsia="arial" w:hAnsi="arial" w:cs="arial"/>
          <w:color w:val="000000"/>
          <w:sz w:val="20"/>
          <w:lang w:val="en-US" w:eastAsia="en-US" w:bidi="ar-SA"/>
        </w:rPr>
        <w:t xml:space="preserve">  The question of whether Her Majesty the Queen in Right of the Province can be found vicariously liable requires a consideration of s. 11 of the Police Act and ss. 1-3 of the Crown Proceeding Act, </w:t>
      </w:r>
      <w:r>
        <w:rPr>
          <w:rFonts w:ascii="arial" w:eastAsia="arial" w:hAnsi="arial" w:cs="arial"/>
          <w:i/>
          <w:color w:val="000000"/>
          <w:sz w:val="20"/>
          <w:lang w:val="en-US" w:eastAsia="en-US" w:bidi="ar-SA"/>
        </w:rPr>
        <w:t>R.S.B.C. 1996, c. 89</w:t>
      </w:r>
      <w:r>
        <w:rPr>
          <w:rFonts w:ascii="arial" w:eastAsia="arial" w:hAnsi="arial" w:cs="arial"/>
          <w:color w:val="000000"/>
          <w:sz w:val="20"/>
          <w:lang w:val="en-US" w:eastAsia="en-US" w:bidi="ar-SA"/>
        </w:rPr>
        <w:t>. Those sections read: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Police Act: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941"/>
        <w:gridCol w:w="627"/>
        <w:gridCol w:w="419"/>
        <w:gridCol w:w="7423"/>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922"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11</w:t>
            </w:r>
          </w:p>
        </w:tc>
        <w:tc>
          <w:tcPr>
            <w:tcW w:w="614"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(1)</w:t>
            </w:r>
          </w:p>
        </w:tc>
        <w:tc>
          <w:tcPr>
            <w:tcW w:w="410"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270"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The minister, on behalf of the government, is jointly and severally liable for torts committed by</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numPr>
          <w:numId w:val="2"/>
        </w:numPr>
        <w:tabs>
          <w:tab w:val="clear" w:pos="1480"/>
          <w:tab w:val="num" w:pos="2200"/>
        </w:tabs>
        <w:spacing w:before="120" w:line="260" w:lineRule="atLeast"/>
        <w:ind w:left="2200"/>
        <w:jc w:val="both"/>
        <w:rPr>
          <w:rFonts w:ascii="arial" w:eastAsia="arial" w:hAnsi="arial" w:cs="arial"/>
          <w:sz w:val="20"/>
          <w:lang w:val="en-US" w:eastAsia="en-US" w:bidi="ar-SA"/>
        </w:rPr>
      </w:pPr>
      <w:r>
        <w:rPr>
          <w:rFonts w:ascii="arial" w:eastAsia="arial" w:hAnsi="arial" w:cs="arial"/>
          <w:color w:val="000000"/>
          <w:sz w:val="20"/>
          <w:lang w:val="en-US" w:eastAsia="en-US" w:bidi="ar-SA"/>
        </w:rPr>
        <w:t>provincial constables ... if the tort is committed in the performance of their duties ...</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Crown Proceeding Act: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1464"/>
        <w:gridCol w:w="899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1434"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1 ...</w:t>
            </w:r>
          </w:p>
        </w:tc>
        <w:tc>
          <w:tcPr>
            <w:tcW w:w="8806"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"Crown" means Her Majesty the Queen in right of British Columbia;</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"officer of the government" includes a minister of the government ...</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836"/>
        <w:gridCol w:w="523"/>
        <w:gridCol w:w="8051"/>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819"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2</w:t>
            </w:r>
          </w:p>
        </w:tc>
        <w:tc>
          <w:tcPr>
            <w:tcW w:w="512"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Subject to this Act,</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numPr>
          <w:numId w:val="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government is subject to all the liabilities to which it would be liable if it were a person,</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836"/>
        <w:gridCol w:w="732"/>
        <w:gridCol w:w="419"/>
        <w:gridCol w:w="7423"/>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819"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3</w:t>
            </w:r>
          </w:p>
        </w:tc>
        <w:tc>
          <w:tcPr>
            <w:tcW w:w="717"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(1)</w:t>
            </w:r>
          </w:p>
        </w:tc>
        <w:tc>
          <w:tcPr>
            <w:tcW w:w="410"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270"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This Act is subject to the Workers Compensation Act and does not apply to any of the following:</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numPr>
          <w:numId w:val="4"/>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proceedings under</w:t>
      </w:r>
    </w:p>
    <w:p>
      <w:pPr>
        <w:numPr>
          <w:numId w:val="5"/>
        </w:numPr>
        <w:tabs>
          <w:tab w:val="clear" w:pos="1840"/>
          <w:tab w:val="num" w:pos="2200"/>
        </w:tabs>
        <w:spacing w:before="120" w:line="260" w:lineRule="atLeast"/>
        <w:ind w:left="2200"/>
        <w:jc w:val="both"/>
        <w:rPr>
          <w:rFonts w:ascii="arial" w:eastAsia="arial" w:hAnsi="arial" w:cs="arial"/>
          <w:sz w:val="20"/>
          <w:lang w:val="en-US" w:eastAsia="en-US" w:bidi="ar-SA"/>
        </w:rPr>
      </w:pPr>
      <w:r>
        <w:rPr>
          <w:rFonts w:ascii="arial" w:eastAsia="arial" w:hAnsi="arial" w:cs="arial"/>
          <w:color w:val="000000"/>
          <w:sz w:val="20"/>
          <w:lang w:val="en-US" w:eastAsia="en-US" w:bidi="ar-SA"/>
        </w:rPr>
        <w:t>the Income Tax Act,</w:t>
      </w:r>
    </w:p>
    <w:p>
      <w:pPr>
        <w:numPr>
          <w:numId w:val="6"/>
        </w:numPr>
        <w:tabs>
          <w:tab w:val="clear" w:pos="1480"/>
          <w:tab w:val="num" w:pos="2200"/>
        </w:tabs>
        <w:spacing w:before="120" w:line="260" w:lineRule="atLeast"/>
        <w:ind w:left="2200"/>
        <w:jc w:val="both"/>
        <w:rPr>
          <w:rFonts w:ascii="arial" w:eastAsia="arial" w:hAnsi="arial" w:cs="arial"/>
          <w:sz w:val="20"/>
          <w:lang w:val="en-US" w:eastAsia="en-US" w:bidi="ar-SA"/>
        </w:rPr>
      </w:pPr>
      <w:r>
        <w:rPr>
          <w:rFonts w:ascii="arial" w:eastAsia="arial" w:hAnsi="arial" w:cs="arial"/>
          <w:color w:val="000000"/>
          <w:sz w:val="20"/>
          <w:lang w:val="en-US" w:eastAsia="en-US" w:bidi="ar-SA"/>
        </w:rPr>
        <w:t>the Corporation Capital Tax Act, or</w:t>
      </w:r>
    </w:p>
    <w:p>
      <w:pPr>
        <w:numPr>
          <w:numId w:val="7"/>
        </w:numPr>
        <w:tabs>
          <w:tab w:val="clear" w:pos="1120"/>
          <w:tab w:val="num" w:pos="2200"/>
        </w:tabs>
        <w:spacing w:before="120" w:line="260" w:lineRule="atLeast"/>
        <w:ind w:left="2200"/>
        <w:jc w:val="both"/>
        <w:rPr>
          <w:rFonts w:ascii="arial" w:eastAsia="arial" w:hAnsi="arial" w:cs="arial"/>
          <w:sz w:val="20"/>
          <w:lang w:val="en-US" w:eastAsia="en-US" w:bidi="ar-SA"/>
        </w:rPr>
      </w:pPr>
      <w:r>
        <w:rPr>
          <w:rFonts w:ascii="arial" w:eastAsia="arial" w:hAnsi="arial" w:cs="arial"/>
          <w:color w:val="000000"/>
          <w:sz w:val="20"/>
          <w:lang w:val="en-US" w:eastAsia="en-US" w:bidi="ar-SA"/>
        </w:rPr>
        <w:t>the Logging Tax Act;</w:t>
      </w:r>
    </w:p>
    <w:p>
      <w:pPr>
        <w:numPr>
          <w:numId w:val="8"/>
        </w:numPr>
        <w:tabs>
          <w:tab w:val="clear" w:pos="1480"/>
          <w:tab w:val="num" w:pos="2200"/>
        </w:tabs>
        <w:spacing w:before="120" w:line="260" w:lineRule="atLeast"/>
        <w:ind w:left="2200"/>
        <w:jc w:val="both"/>
        <w:rPr>
          <w:rFonts w:ascii="arial" w:eastAsia="arial" w:hAnsi="arial" w:cs="arial"/>
          <w:sz w:val="20"/>
          <w:lang w:val="en-US" w:eastAsia="en-US" w:bidi="ar-SA"/>
        </w:rPr>
      </w:pPr>
      <w:r>
        <w:rPr>
          <w:rFonts w:ascii="arial" w:eastAsia="arial" w:hAnsi="arial" w:cs="arial"/>
          <w:color w:val="000000"/>
          <w:sz w:val="20"/>
          <w:lang w:val="en-US" w:eastAsia="en-US" w:bidi="ar-SA"/>
        </w:rPr>
        <w:t>assurance fund proceedings under land title legislation;</w:t>
      </w:r>
    </w:p>
    <w:p>
      <w:pPr>
        <w:numPr>
          <w:numId w:val="8"/>
        </w:numPr>
        <w:tabs>
          <w:tab w:val="clear" w:pos="1480"/>
          <w:tab w:val="num" w:pos="2200"/>
        </w:tabs>
        <w:spacing w:before="120" w:line="260" w:lineRule="atLeast"/>
        <w:ind w:left="2200"/>
        <w:jc w:val="both"/>
        <w:rPr>
          <w:rFonts w:ascii="arial" w:eastAsia="arial" w:hAnsi="arial" w:cs="arial"/>
          <w:sz w:val="20"/>
          <w:lang w:val="en-US" w:eastAsia="en-US" w:bidi="ar-SA"/>
        </w:rPr>
      </w:pPr>
      <w:r>
        <w:rPr>
          <w:rFonts w:ascii="arial" w:eastAsia="arial" w:hAnsi="arial" w:cs="arial"/>
          <w:color w:val="000000"/>
          <w:sz w:val="20"/>
          <w:lang w:val="en-US" w:eastAsia="en-US" w:bidi="ar-SA"/>
        </w:rPr>
        <w:t>proceedings to which the Federal Courts Jurisdiction Act applies.</w:t>
      </w:r>
    </w:p>
    <w:p>
      <w:pPr>
        <w:spacing w:before="120" w:line="260" w:lineRule="atLeast"/>
        <w:ind w:left="144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52</w:t>
      </w:r>
      <w:r>
        <w:rPr>
          <w:rFonts w:ascii="arial" w:eastAsia="arial" w:hAnsi="arial" w:cs="arial"/>
          <w:color w:val="000000"/>
          <w:sz w:val="20"/>
          <w:lang w:val="en-US" w:eastAsia="en-US" w:bidi="ar-SA"/>
        </w:rPr>
        <w:t xml:space="preserve">  It is common ground that the minister referred to in s. 11 of the Police Act is the Attorney General for the province. See: Hodgkin v. Port Alberni (City) </w:t>
      </w:r>
      <w:hyperlink r:id="rId477" w:history="1">
        <w:r>
          <w:rPr>
            <w:rFonts w:ascii="arial" w:eastAsia="arial" w:hAnsi="arial" w:cs="arial"/>
            <w:i/>
            <w:color w:val="0077CC"/>
            <w:sz w:val="20"/>
            <w:u w:val="single"/>
            <w:shd w:val="clear" w:color="auto" w:fill="FFFFFF"/>
            <w:lang w:val="en-US" w:eastAsia="en-US" w:bidi="ar-SA"/>
          </w:rPr>
          <w:t>(1996), 23 B.C.L.R. (3d) 234</w:t>
        </w:r>
      </w:hyperlink>
      <w:r>
        <w:rPr>
          <w:rFonts w:ascii="arial" w:eastAsia="arial" w:hAnsi="arial" w:cs="arial"/>
          <w:color w:val="000000"/>
          <w:sz w:val="20"/>
          <w:lang w:val="en-US" w:eastAsia="en-US" w:bidi="ar-SA"/>
        </w:rPr>
        <w:t xml:space="preserve"> (C.A.) and Chambers v. Lyons, </w:t>
      </w:r>
      <w:hyperlink r:id="rId478" w:history="1">
        <w:r>
          <w:rPr>
            <w:rFonts w:ascii="arial" w:eastAsia="arial" w:hAnsi="arial" w:cs="arial"/>
            <w:i/>
            <w:color w:val="0077CC"/>
            <w:sz w:val="20"/>
            <w:u w:val="single"/>
            <w:shd w:val="clear" w:color="auto" w:fill="FFFFFF"/>
            <w:lang w:val="en-US" w:eastAsia="en-US" w:bidi="ar-SA"/>
          </w:rPr>
          <w:t>[2000] B.C.J. No. 1288</w:t>
        </w:r>
      </w:hyperlink>
      <w:r>
        <w:rPr>
          <w:rFonts w:ascii="arial" w:eastAsia="arial" w:hAnsi="arial" w:cs="arial"/>
          <w:color w:val="000000"/>
          <w:sz w:val="20"/>
          <w:lang w:val="en-US" w:eastAsia="en-US" w:bidi="ar-SA"/>
        </w:rPr>
        <w:t xml:space="preserve"> (S.C.).</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53</w:t>
      </w:r>
      <w:r>
        <w:rPr>
          <w:rFonts w:ascii="arial" w:eastAsia="arial" w:hAnsi="arial" w:cs="arial"/>
          <w:color w:val="000000"/>
          <w:sz w:val="20"/>
          <w:lang w:val="en-US" w:eastAsia="en-US" w:bidi="ar-SA"/>
        </w:rPr>
        <w:t>  Thus, according to counsel for the defendants, the plaintiff was required to join the provincial Attorney General as a defendant before any vicarious liability could be imposed for the tortious conduct of the police officer. Counsel for the plaintiff responded that it was sufficient to join Her Majesty the Queen in Right of the Province of British Columbia as a defendant (the "Crown provincial" or "government"), particularly as s. 11 was expressly pleaded as the basis for liability.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54</w:t>
      </w:r>
      <w:r>
        <w:rPr>
          <w:rFonts w:ascii="arial" w:eastAsia="arial" w:hAnsi="arial" w:cs="arial"/>
          <w:color w:val="000000"/>
          <w:sz w:val="20"/>
          <w:lang w:val="en-US" w:eastAsia="en-US" w:bidi="ar-SA"/>
        </w:rPr>
        <w:t>  As this issue was not raised until the defendants argued against liability, it is necessary for me to commence by setting out the history of the proceedings and then addressing the procedural issues that arise before setting out my final conclusions.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55</w:t>
      </w:r>
      <w:r>
        <w:rPr>
          <w:rFonts w:ascii="arial" w:eastAsia="arial" w:hAnsi="arial" w:cs="arial"/>
          <w:color w:val="000000"/>
          <w:sz w:val="20"/>
          <w:lang w:val="en-US" w:eastAsia="en-US" w:bidi="ar-SA"/>
        </w:rPr>
        <w:t xml:space="preserve">  As I have already set out, the Crown provincial was named as a defendant from the outset. In paragraph 4 of the statement of claim, the plaintiff specifically alleged that the Crown provincial was "jointly and severally liable for torts committed by the Defendant Hurst as a provincial constable, pursuant to Section 11 of the [Police Act]." In an amended statement of defence filed on behalf of all defendants shortly before trial, their counsel pled both a general denial of the statement of claim and then, specific denials of any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on the part of Hurst. Counsel also specifically pleaded s. 21(2) of the Police Act as a bar to the personal liability of Hurst and ss. 10 and 11 of the Crown Liability and Proceedings Act as a bar to the vicarious liability of the Attorney General of Canada. However, counsel did not specifically plead that s. 11 of the Police Act constituted a bar to any vicarious liability on the part of the government, as opposed to its minister.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56</w:t>
      </w:r>
      <w:r>
        <w:rPr>
          <w:rFonts w:ascii="arial" w:eastAsia="arial" w:hAnsi="arial" w:cs="arial"/>
          <w:color w:val="000000"/>
          <w:sz w:val="20"/>
          <w:lang w:val="en-US" w:eastAsia="en-US" w:bidi="ar-SA"/>
        </w:rPr>
        <w:t>  At the commencement of trial, counsel for the plaintiff informed me that only liability was to be tried, presumably because the parties had reached an agreement on damages subject to liability being established. As insufficient time was reserved to hear final argument after the conclusion of the evidence, counsel agreed to prepare and exchange written submissions. In his written submission, counsel for the defendants raised for the first time directly the issue of whether the plaintiff was required to join the provincial Attorney General rather than the Crown provincial.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57</w:t>
      </w:r>
      <w:r>
        <w:rPr>
          <w:rFonts w:ascii="arial" w:eastAsia="arial" w:hAnsi="arial" w:cs="arial"/>
          <w:color w:val="000000"/>
          <w:sz w:val="20"/>
          <w:lang w:val="en-US" w:eastAsia="en-US" w:bidi="ar-SA"/>
        </w:rPr>
        <w:t>  Plaintiff's counsel replied to the issue in part by arguing that the Crown provincial was not entitled to raise the issue as it had not been pled as required by the British Columbia, Rules of Court, R. 19(15) which reads: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In a pleading subsequent to a statement of claim a party shall plead specifically any matter of fact or point of law that:</w:t>
      </w:r>
    </w:p>
    <w:p>
      <w:pPr>
        <w:numPr>
          <w:numId w:val="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party alleges makes a claim or defence of the opposite party not maintainable;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58</w:t>
      </w:r>
      <w:r>
        <w:rPr>
          <w:rFonts w:ascii="arial" w:eastAsia="arial" w:hAnsi="arial" w:cs="arial"/>
          <w:color w:val="000000"/>
          <w:sz w:val="20"/>
          <w:lang w:val="en-US" w:eastAsia="en-US" w:bidi="ar-SA"/>
        </w:rPr>
        <w:t>  Counsel also contended that counsel for the defendants, while acting for both the Crowns provincial and federal, acquiesced in the manner in which the Crown provincial was named in the pleadings in the context of s. 11 of the Police Act. I view the latter, in effect, as a restatement of the first argument rather than a separate substantive ground of argument and will not address it separately. In the alternative, counsel for the plaintiff sought leave to add the Attorney General of British Columbia as a party pursuant to Rule 15(5)(a)(ii).</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59</w:t>
      </w:r>
      <w:r>
        <w:rPr>
          <w:rFonts w:ascii="arial" w:eastAsia="arial" w:hAnsi="arial" w:cs="arial"/>
          <w:color w:val="000000"/>
          <w:sz w:val="20"/>
          <w:lang w:val="en-US" w:eastAsia="en-US" w:bidi="ar-SA"/>
        </w:rPr>
        <w:t>  Over the objection of counsel for the plaintiff, counsel for the defendants then sought to file a written rebuttal or sur-reply (the "reply"). I have received and reviewed written submissions from counsel on the point. I have concluded that I should consider the reply insofar as it relates to the arguments set out in the preceding paragraph. While, as will be apparent, I do not condone any litigant "lying in the weeds"; the issue raised by the Crown provincial involves points of law that can only be fairly addressed after complete argument. Accordingly, I rule in favour of the defendants and have considered the written reply.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60</w:t>
      </w:r>
      <w:r>
        <w:rPr>
          <w:rFonts w:ascii="arial" w:eastAsia="arial" w:hAnsi="arial" w:cs="arial"/>
          <w:color w:val="000000"/>
          <w:sz w:val="20"/>
          <w:lang w:val="en-US" w:eastAsia="en-US" w:bidi="ar-SA"/>
        </w:rPr>
        <w:t>  In his reply, counsel for the defendants argued that the inclusion in the statement of defence of a general denial of all the allegations in the statement of claim necessarily extended to the allegation that the Crown was liable by operation of s. 11. In addition, he contended that the court is required to give effect to s. 11, whether pleaded or not. Although counsel opposed the alternative application to join the Attorney General for the Province of British Columbia, he did not point to any prejudice that arises or could arise if the application was granted.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61</w:t>
      </w:r>
      <w:r>
        <w:rPr>
          <w:rFonts w:ascii="arial" w:eastAsia="arial" w:hAnsi="arial" w:cs="arial"/>
          <w:color w:val="000000"/>
          <w:sz w:val="20"/>
          <w:lang w:val="en-US" w:eastAsia="en-US" w:bidi="ar-SA"/>
        </w:rPr>
        <w:t>  In my view, the defendants should have expressly pled the defence now raised by the Crown provincial. The general denial never alerted the plaintiff to the narrow legal issue now raised. Rule 19(15) imposes a requirement on a defendant to plead specifically any point of law that is alleged to make the plaintiff's claim not maintainable. The defendants complied with the rule as it related to other claims alleged to be barred by operation of law but not as it related to the claim against the Crown provincial. If the matter had been properly pleaded at the beginning, the plaintiff likely would have chosen, out of an abundance of caution, to join the Attorney General for the province. In that event, no limitation period issues would have arisen.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62</w:t>
      </w:r>
      <w:r>
        <w:rPr>
          <w:rFonts w:ascii="arial" w:eastAsia="arial" w:hAnsi="arial" w:cs="arial"/>
          <w:color w:val="000000"/>
          <w:sz w:val="20"/>
          <w:lang w:val="en-US" w:eastAsia="en-US" w:bidi="ar-SA"/>
        </w:rPr>
        <w:t>  Counsel for the defendants relies on the dissent of Southin J.A. in Hodgkin for the proposition that it is the duty of the court to give effect to s. 11 whether or not it is pleaded and not to allow technical considerations to defeat the legislative provisions. I do not consider that dissent to provide a binding answer to the issues here.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63</w:t>
      </w:r>
      <w:r>
        <w:rPr>
          <w:rFonts w:ascii="arial" w:eastAsia="arial" w:hAnsi="arial" w:cs="arial"/>
          <w:color w:val="000000"/>
          <w:sz w:val="20"/>
          <w:lang w:val="en-US" w:eastAsia="en-US" w:bidi="ar-SA"/>
        </w:rPr>
        <w:t>  In Hodgkin, the plaintiff was injured when riding his bicycle over a fire hose that crossed the road near the scene of a fire in Port Alberni. The plaintiff's theory of liability, ultimately accepted by the trial judge, was that the defendant RCMP officer, who had been dispatched to the fire scene following a request for assistance, was negligent for failing to direct traffic away from the hose. Neither the Crown provincial nor the Attorney General for the province were named as defendants. The trial judge dismissed claims against some other defendants but found the RCMP officer fully responsible and liable.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64</w:t>
      </w:r>
      <w:r>
        <w:rPr>
          <w:rFonts w:ascii="arial" w:eastAsia="arial" w:hAnsi="arial" w:cs="arial"/>
          <w:color w:val="000000"/>
          <w:sz w:val="20"/>
          <w:lang w:val="en-US" w:eastAsia="en-US" w:bidi="ar-SA"/>
        </w:rPr>
        <w:t>  Section 21 of the Police Act was never raised in Hodgkin either in the pleadings or during the liability phase of the trial which proceeded separately. While the appeal against the finding that the police officer was personally liable was pending, the defendants applied unsuccessfully to amend the statement of defence to plead s. 21 of the Police Act so that personal liability could not be found.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65</w:t>
      </w:r>
      <w:r>
        <w:rPr>
          <w:rFonts w:ascii="arial" w:eastAsia="arial" w:hAnsi="arial" w:cs="arial"/>
          <w:color w:val="000000"/>
          <w:sz w:val="20"/>
          <w:lang w:val="en-US" w:eastAsia="en-US" w:bidi="ar-SA"/>
        </w:rPr>
        <w:t>  Accepting the protection available to the officer personally under s. 21 of the Police Act, the Court of Appeal allowed the officer's appeal but confirmed the finding of fault made against the officer and remitted the matter to trial so that the parties could seek whatever amendments they considered appropriate.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66</w:t>
      </w:r>
      <w:r>
        <w:rPr>
          <w:rFonts w:ascii="arial" w:eastAsia="arial" w:hAnsi="arial" w:cs="arial"/>
          <w:color w:val="000000"/>
          <w:sz w:val="20"/>
          <w:lang w:val="en-US" w:eastAsia="en-US" w:bidi="ar-SA"/>
        </w:rPr>
        <w:t>  Southin J.A. dissented although not, it appears, on the substantive question of whether s. 21 applied. Instead, Southin J.A. was concerned that remitting the matter so that the trial judge could consider, among other things, whether, in light of s. 21, judgment could be taken against the RCMP officer was ineffectual. In her view, an application to join the Attorney General for the province ought to have been brought when the defendants first raised the issue of s. 21. She expressed the view that an application to add the Attorney General as defendant should be made, in the circumstances extant, to the Court of Appeal. Her comment respecting not allowing technical considerations to defeat the legislative purpose was made in that context which is considerably broader than suggested by counsel for the defendants in his reply.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67</w:t>
      </w:r>
      <w:r>
        <w:rPr>
          <w:rFonts w:ascii="arial" w:eastAsia="arial" w:hAnsi="arial" w:cs="arial"/>
          <w:color w:val="000000"/>
          <w:sz w:val="20"/>
          <w:lang w:val="en-US" w:eastAsia="en-US" w:bidi="ar-SA"/>
        </w:rPr>
        <w:t>  In the end result, Southin J.A. was seeking a practical resolution, relying on the Rules of Court, to avoid injustice to any party. I stress that she was not dealing with the issues expressly before 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68</w:t>
      </w:r>
      <w:r>
        <w:rPr>
          <w:rFonts w:ascii="arial" w:eastAsia="arial" w:hAnsi="arial" w:cs="arial"/>
          <w:color w:val="000000"/>
          <w:sz w:val="20"/>
          <w:lang w:val="en-US" w:eastAsia="en-US" w:bidi="ar-SA"/>
        </w:rPr>
        <w:t>  I am not concerned here with a failure to plead s. 21 but with a failure to plead s. 11 insofar as it allegedly bars a claim against the Crown provincial. In that regard, I have considered the defendants' lack of compliance with Rule 19(5), an issue not argued before the Court of Appeal in Hodgkin.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69</w:t>
      </w:r>
      <w:r>
        <w:rPr>
          <w:rFonts w:ascii="arial" w:eastAsia="arial" w:hAnsi="arial" w:cs="arial"/>
          <w:color w:val="000000"/>
          <w:sz w:val="20"/>
          <w:lang w:val="en-US" w:eastAsia="en-US" w:bidi="ar-SA"/>
        </w:rPr>
        <w:t>  While I accept that I must give effect to s. 21 whether or not it is pleaded, Hodgkin never addressed the potential liability of the Crown provincial as opposed to the Attorney General under s. 11. In that regard, I consider it significant that s. 11 imposes liability on the minister "on behalf of the government". This strongly suggests that the legislature intended that the minister be a nominal, or representative, defendant, in effect the agent of government.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70</w:t>
      </w:r>
      <w:r>
        <w:rPr>
          <w:rFonts w:ascii="arial" w:eastAsia="arial" w:hAnsi="arial" w:cs="arial"/>
          <w:color w:val="000000"/>
          <w:sz w:val="20"/>
          <w:lang w:val="en-US" w:eastAsia="en-US" w:bidi="ar-SA"/>
        </w:rPr>
        <w:t>  Counsel for the defendants also relied on Chambers, a decision of a Master, in which an application by the plaintiff to add a claim pursuant to s. 11 against the Crown provincial, who was already a defendant on other claims, failed. The Master, relying in part on the dissent of Southin J.A. in Hodgkin, held that only the minister, namely the Attorney General of British Columbia, could be held liable under the section and dismissed the particular application before her. The Master did not address the reference in the section to "on behalf of the government" that I have referred to above. With the greatest of respect, I do not find the reasoning in Chambers persuasive on this point and decline to apply it.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71</w:t>
      </w:r>
      <w:r>
        <w:rPr>
          <w:rFonts w:ascii="arial" w:eastAsia="arial" w:hAnsi="arial" w:cs="arial"/>
          <w:color w:val="000000"/>
          <w:sz w:val="20"/>
          <w:lang w:val="en-US" w:eastAsia="en-US" w:bidi="ar-SA"/>
        </w:rPr>
        <w:t>  The wording of s. 11 is broad enough, in my view, to found a claim against the Crown not just the minister. Nothing in the Crown Proceeding Act leads me to a different conclusion. That Act provides that the Crown means Her Majesty the Queen in right of British Columbia and that an officer of government includes a minister. Although some tax statutes and particular types of proceedings are specifically exempted from the application of the Act, the Police Act is not included in the list of statutes exempted.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72</w:t>
      </w:r>
      <w:r>
        <w:rPr>
          <w:rFonts w:ascii="arial" w:eastAsia="arial" w:hAnsi="arial" w:cs="arial"/>
          <w:color w:val="000000"/>
          <w:sz w:val="20"/>
          <w:lang w:val="en-US" w:eastAsia="en-US" w:bidi="ar-SA"/>
        </w:rPr>
        <w:t>  Procedurally, there is no real difference whether a plaintiff proceeds under the Crown Proceeding Act naming the Crown provincial or under the Police Act naming the Attorney General. Under the Crown Proceeding Act, any pleadings must be served on government by serving the Attorney General at the Ministry of the Attorney General. So here, the Attorney General knew of the claim by Hill from the outset even though he was not named as a defendant. As his role under the Police Act is limited in any event to that of a nominal defendant, on behalf of the government, I can see no bar to a plaintiff naming one or both the minister or the government as defendants when advancing a claim under s. 11. Nor can I see any prejudice in the circumstances of this case if I were to grant the alternative application to amend by adding the Attorney General for the province as a defendant.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73</w:t>
      </w:r>
      <w:r>
        <w:rPr>
          <w:rFonts w:ascii="arial" w:eastAsia="arial" w:hAnsi="arial" w:cs="arial"/>
          <w:color w:val="000000"/>
          <w:sz w:val="20"/>
          <w:lang w:val="en-US" w:eastAsia="en-US" w:bidi="ar-SA"/>
        </w:rPr>
        <w:t>  As pointed out in Hodgkin, the court may add a party at any stage of the proceedings. Of particular concern here is the need to ensure that any person who "ought to have been joined as a party or whose participation in the proceeding is necessary to ensure that all matters in the proceeding may be effectually adjudicated upon" be added (Rule 15(5)(a)(ii)). Absent demonstrable prejudice to the Attorney General, to not allow the application to amend would reward the government for its failure to properly plead s. 11. Counsel, acting throughout for all defendants, did not point to any prejudice nor can I see any in the circumstances.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74</w:t>
      </w:r>
      <w:r>
        <w:rPr>
          <w:rFonts w:ascii="arial" w:eastAsia="arial" w:hAnsi="arial" w:cs="arial"/>
          <w:color w:val="000000"/>
          <w:sz w:val="20"/>
          <w:lang w:val="en-US" w:eastAsia="en-US" w:bidi="ar-SA"/>
        </w:rPr>
        <w:t>  But for my findings regarding the tenability of an action against the Crown provincial alone, a refusal to amend would lead as well, in my view, to allowing technical considerations to defeat the legislative purpose of the Police Act, the very thing Southin J.A. sought to avoid in Hodgkin. The purpose is to allow a remedy against the government, upon appropriate notice to the Attorney General, for those suffering damages as a result of a tort committed by a police officer in the line of duty for which the officer cannot be held personally liable.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75</w:t>
      </w:r>
      <w:r>
        <w:rPr>
          <w:rFonts w:ascii="arial" w:eastAsia="arial" w:hAnsi="arial" w:cs="arial"/>
          <w:color w:val="000000"/>
          <w:sz w:val="20"/>
          <w:lang w:val="en-US" w:eastAsia="en-US" w:bidi="ar-SA"/>
        </w:rPr>
        <w:t>  While I recognize that the two year limitation period ordinarily applicable to a tort claim against the Attorney General has long past, that does not necessarily preclude adding him as a defendant so long as a balancing of the interests of justice and convenience favour doing so. Here the interrelationship between the Attorney General for the province and the government is both substantive and procedural. The delay in applying to join the Attorney General was occasioned largely by the inadequate defence pleadings. Clearly, the liability of the Attorney General under s. 11 should be decided in the present proceedings.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76</w:t>
      </w:r>
      <w:r>
        <w:rPr>
          <w:rFonts w:ascii="arial" w:eastAsia="arial" w:hAnsi="arial" w:cs="arial"/>
          <w:color w:val="000000"/>
          <w:sz w:val="20"/>
          <w:lang w:val="en-US" w:eastAsia="en-US" w:bidi="ar-SA"/>
        </w:rPr>
        <w:t>  In the result, I allow the application to join the Attorney General of the province as a defendant and find both the Attorney General, on behalf of government, and Her Majesty the Queen in right of the Province of British Columbia jointly and severally liable for the degree of fault that I have imposed upon Hurst.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SUMMARY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77</w:t>
      </w:r>
      <w:r>
        <w:rPr>
          <w:rFonts w:ascii="arial" w:eastAsia="arial" w:hAnsi="arial" w:cs="arial"/>
          <w:color w:val="000000"/>
          <w:sz w:val="20"/>
          <w:lang w:val="en-US" w:eastAsia="en-US" w:bidi="ar-SA"/>
        </w:rPr>
        <w:t>  In summary, the claims against Hurst and the Attorney General of Canada are dismissed; the Attorney General for the Province of British Columbia is joined as a defendant; I find the Attorney General for the province and Her Majesty the Queen in right of the Province liable for 70 per cent of the damages sustained by Hill, as agreed to by counsel or to be assessed. Counsel will be at liberty to speak to costs if they cannot agree.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MACAULAY J.</w:t>
      </w:r>
    </w:p>
    <w:p>
      <w:pPr>
        <w:spacing w:line="260" w:lineRule="atLeast"/>
        <w:jc w:val="center"/>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 * * *</w:t>
      </w:r>
    </w:p>
    <w:p>
      <w:pPr>
        <w:spacing w:line="260" w:lineRule="atLeast"/>
        <w:jc w:val="center"/>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CORRIGENDUM</w:t>
      </w:r>
    </w:p>
    <w:p>
      <w:pPr>
        <w:spacing w:line="260" w:lineRule="atLeast"/>
        <w:jc w:val="center"/>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Released: August 28, 2001*</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[1] My reasons in this matter were handed down August 17, 2001. The first page has a correction to the name of the judge and which should read: The Honourable Mr. Justice Macaulay.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MACAULAY J.</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This Corrigendum to the Reasons for Judgment was released from the Vancouver Registry on August 28, 2001 and is date stamped accordingly.</w:t>
      </w:r>
      <w:r>
        <w:rPr>
          <w:rFonts w:ascii="arial" w:eastAsia="arial" w:hAnsi="arial" w:cs="arial"/>
          <w:sz w:val="20"/>
          <w:lang w:val="en-US" w:eastAsia="en-US" w:bidi="ar-SA"/>
        </w:rPr>
        <w:cr/>
      </w:r>
    </w:p>
    <w:p>
      <w:pPr>
        <w:rPr>
          <w:rFonts w:ascii="arial" w:eastAsia="arial" w:hAnsi="arial" w:cs="arial"/>
          <w:sz w:val="20"/>
          <w:lang w:val="en-US" w:eastAsia="en-US" w:bidi="ar-SA"/>
        </w:rPr>
      </w:pPr>
    </w:p>
    <w:p>
      <w:pPr>
        <w:ind w:left="200"/>
        <w:rPr>
          <w:rFonts w:ascii="arial" w:eastAsia="arial" w:hAnsi="arial" w:cs="arial"/>
          <w:sz w:val="20"/>
          <w:lang w:val="en-US" w:eastAsia="en-US" w:bidi="ar-SA"/>
        </w:rPr>
        <w:sectPr>
          <w:type w:val="continuous"/>
          <w:pgMar w:top="840" w:right="1000" w:bottom="840" w:left="1000" w:header="400" w:footer="400"/>
          <w:pgNumType w:fmt="decimal"/>
          <w:cols w:space="720"/>
        </w:sectPr>
      </w:pPr>
      <w:r>
        <w:rPr>
          <w:rFonts w:ascii="arial" w:eastAsia="arial" w:hAnsi="arial" w:cs="arial"/>
          <w:sz w:val="20"/>
          <w:lang w:val="en-US" w:eastAsia="en-US" w:bidi="ar-SA"/>
        </w:rPr>
        <w:br/>
      </w:r>
      <w:r>
        <w:pict>
          <v:line id="_x0000_s1135" style="position:absolute;z-index:251876352" from="0,10pt" to="512pt,10pt" strokecolor="black" strokeweight="1pt">
            <v:stroke linestyle="single"/>
          </v:line>
        </w:pict>
      </w:r>
      <w:r>
        <w:rPr>
          <w:b/>
          <w:color w:val="767676"/>
          <w:sz w:val="16"/>
          <w:lang w:val="en-US" w:eastAsia="en-US" w:bidi="ar-SA"/>
        </w:rPr>
        <w:t>End of Document</w:t>
      </w:r>
    </w:p>
    <w:p>
      <w:pPr>
        <w:rPr>
          <w:rFonts w:ascii="arial" w:eastAsia="arial" w:hAnsi="arial" w:cs="arial"/>
          <w:sz w:val="20"/>
          <w:lang w:val="en-US" w:eastAsia="en-US" w:bidi="ar-SA"/>
        </w:rPr>
        <w:sectPr>
          <w:headerReference w:type="even" r:id="rId479"/>
          <w:headerReference w:type="default" r:id="rId480"/>
          <w:footerReference w:type="even" r:id="rId481"/>
          <w:footerReference w:type="default" r:id="rId482"/>
          <w:headerReference w:type="first" r:id="rId483"/>
          <w:footerReference w:type="first" r:id="rId484"/>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eastAsia="arial" w:hAnsi="Arial" w:cs="Arial"/>
          <w:b/>
          <w:bCs/>
          <w:kern w:val="32"/>
          <w:sz w:val="32"/>
          <w:szCs w:val="32"/>
          <w:lang w:val="en-US" w:eastAsia="en-US" w:bidi="ar-SA"/>
        </w:rPr>
      </w:pPr>
      <w:hyperlink r:id="rId485" w:history="1">
        <w:r>
          <w:rPr>
            <w:rFonts w:ascii="arial" w:eastAsia="arial" w:hAnsi="arial" w:cs="arial"/>
            <w:b/>
            <w:bCs/>
            <w:i/>
            <w:color w:val="0077CC"/>
            <w:kern w:val="32"/>
            <w:sz w:val="28"/>
            <w:szCs w:val="32"/>
            <w:u w:val="single"/>
            <w:shd w:val="clear" w:color="auto" w:fill="FFFFFF"/>
            <w:lang w:val="en-US" w:eastAsia="en-US" w:bidi="ar-SA"/>
          </w:rPr>
          <w:t>Hocaluk v. Insurance Corp. of British Columbia, [2007] B.C.J. No. 227</w:t>
        </w:r>
      </w:hyperlink>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Judgments</w:t>
      </w:r>
    </w:p>
    <w:p>
      <w:pPr>
        <w:rPr>
          <w:rFonts w:ascii="arial" w:eastAsia="arial" w:hAnsi="arial" w:cs="arial"/>
          <w:sz w:val="20"/>
          <w:lang w:val="en-US" w:eastAsia="en-US" w:bidi="ar-SA"/>
        </w:rPr>
      </w:pP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New Westminster, British Columbia</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Allan J.</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Heard: January 15 and 16, 2007.</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Judgment: February 6, 2007.</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New Westminster Registry No. S77901</w:t>
      </w:r>
    </w:p>
    <w:p>
      <w:pPr>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r>
        <w:rPr>
          <w:rFonts w:ascii="arial" w:eastAsia="arial" w:hAnsi="arial" w:cs="arial"/>
          <w:b/>
          <w:color w:val="000000"/>
          <w:sz w:val="20"/>
          <w:lang w:val="en-US" w:eastAsia="en-US" w:bidi="ar-SA"/>
        </w:rPr>
        <w:t>[2007] B.C.J. No. 227</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hyperlink r:id="rId486" w:history="1">
        <w:r>
          <w:rPr>
            <w:rFonts w:ascii="arial" w:eastAsia="arial" w:hAnsi="arial" w:cs="arial"/>
            <w:i/>
            <w:color w:val="0077CC"/>
            <w:sz w:val="20"/>
            <w:u w:val="single"/>
            <w:shd w:val="clear" w:color="auto" w:fill="FFFFFF"/>
            <w:lang w:val="en-US" w:eastAsia="en-US" w:bidi="ar-SA"/>
          </w:rPr>
          <w:t>2007 BCSC 170</w:t>
        </w:r>
      </w:hyperlink>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hyperlink r:id="rId486" w:history="1">
        <w:r>
          <w:rPr>
            <w:rFonts w:ascii="arial" w:eastAsia="arial" w:hAnsi="arial" w:cs="arial"/>
            <w:i/>
            <w:color w:val="0077CC"/>
            <w:sz w:val="20"/>
            <w:u w:val="single"/>
            <w:shd w:val="clear" w:color="auto" w:fill="FFFFFF"/>
            <w:lang w:val="en-US" w:eastAsia="en-US" w:bidi="ar-SA"/>
          </w:rPr>
          <w:t>69 B.C.L.R. (4th) 360</w:t>
        </w:r>
      </w:hyperlink>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hyperlink r:id="rId486" w:history="1">
        <w:r>
          <w:rPr>
            <w:rFonts w:ascii="arial" w:eastAsia="arial" w:hAnsi="arial" w:cs="arial"/>
            <w:i/>
            <w:color w:val="0077CC"/>
            <w:sz w:val="20"/>
            <w:u w:val="single"/>
            <w:shd w:val="clear" w:color="auto" w:fill="FFFFFF"/>
            <w:lang w:val="en-US" w:eastAsia="en-US" w:bidi="ar-SA"/>
          </w:rPr>
          <w:t>45 C.C.L.I. (4th) 228</w:t>
        </w:r>
      </w:hyperlink>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hyperlink r:id="rId486" w:history="1">
        <w:r>
          <w:rPr>
            <w:rFonts w:ascii="arial" w:eastAsia="arial" w:hAnsi="arial" w:cs="arial"/>
            <w:i/>
            <w:color w:val="0077CC"/>
            <w:sz w:val="20"/>
            <w:u w:val="single"/>
            <w:shd w:val="clear" w:color="auto" w:fill="FFFFFF"/>
            <w:lang w:val="en-US" w:eastAsia="en-US" w:bidi="ar-SA"/>
          </w:rPr>
          <w:t>[2007] I.L.R. I-4579</w:t>
        </w:r>
      </w:hyperlink>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hyperlink r:id="rId486" w:history="1">
        <w:r>
          <w:rPr>
            <w:rFonts w:ascii="arial" w:eastAsia="arial" w:hAnsi="arial" w:cs="arial"/>
            <w:i/>
            <w:color w:val="0077CC"/>
            <w:sz w:val="20"/>
            <w:u w:val="single"/>
            <w:shd w:val="clear" w:color="auto" w:fill="FFFFFF"/>
            <w:lang w:val="en-US" w:eastAsia="en-US" w:bidi="ar-SA"/>
          </w:rPr>
          <w:t>43 M.V.R. (5th) 288</w:t>
        </w:r>
      </w:hyperlink>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hyperlink r:id="rId486" w:history="1">
        <w:r>
          <w:rPr>
            <w:rFonts w:ascii="arial" w:eastAsia="arial" w:hAnsi="arial" w:cs="arial"/>
            <w:i/>
            <w:color w:val="0077CC"/>
            <w:sz w:val="20"/>
            <w:u w:val="single"/>
            <w:shd w:val="clear" w:color="auto" w:fill="FFFFFF"/>
            <w:lang w:val="en-US" w:eastAsia="en-US" w:bidi="ar-SA"/>
          </w:rPr>
          <w:t>155 A.C.W.S. (3d) 183</w:t>
        </w:r>
      </w:hyperlink>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hyperlink r:id="rId486" w:history="1">
        <w:r>
          <w:rPr>
            <w:rFonts w:ascii="arial" w:eastAsia="arial" w:hAnsi="arial" w:cs="arial"/>
            <w:i/>
            <w:color w:val="0077CC"/>
            <w:sz w:val="20"/>
            <w:u w:val="single"/>
            <w:shd w:val="clear" w:color="auto" w:fill="FFFFFF"/>
            <w:lang w:val="en-US" w:eastAsia="en-US" w:bidi="ar-SA"/>
          </w:rPr>
          <w:t>2007 CarswellBC 257</w:t>
        </w:r>
      </w:hyperlink>
    </w:p>
    <w:p>
      <w:pPr>
        <w:spacing w:before="120" w:line="260" w:lineRule="atLeast"/>
        <w:rPr>
          <w:rFonts w:ascii="arial" w:eastAsia="arial" w:hAnsi="arial" w:cs="arial"/>
          <w:sz w:val="20"/>
          <w:lang w:val="en-US" w:eastAsia="en-US" w:bidi="ar-SA"/>
        </w:rPr>
      </w:pPr>
      <w:r>
        <w:rPr>
          <w:rFonts w:ascii="arial" w:eastAsia="arial" w:hAnsi="arial" w:cs="arial"/>
          <w:color w:val="000000"/>
          <w:sz w:val="20"/>
          <w:lang w:val="en-US" w:eastAsia="en-US" w:bidi="ar-SA"/>
        </w:rPr>
        <w:t>Between Laurie Ann Hocaluk, Plaintiff, and Insurance Corporation of British Columbia, Defendant</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(67 paras.)</w:t>
      </w:r>
    </w:p>
    <w:p>
      <w:pPr>
        <w:keepNext/>
        <w:spacing w:before="12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Case Summary</w:t>
      </w:r>
    </w:p>
    <w:p>
      <w:pPr>
        <w:spacing w:line="60" w:lineRule="exact"/>
        <w:rPr>
          <w:rFonts w:ascii="arial" w:eastAsia="arial" w:hAnsi="arial" w:cs="arial"/>
          <w:sz w:val="20"/>
          <w:lang w:val="en-US" w:eastAsia="en-US" w:bidi="ar-SA"/>
        </w:rPr>
      </w:pPr>
      <w:r>
        <w:pict>
          <v:line id="_x0000_s1136" style="position:absolute;z-index:251681792"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bookmarkStart w:id="143" w:name="Keywords_21"/>
      <w:bookmarkEnd w:id="143"/>
      <w:r>
        <w:rPr>
          <w:rFonts w:ascii="arial" w:eastAsia="arial" w:hAnsi="arial" w:cs="arial"/>
          <w:b/>
          <w:color w:val="000000"/>
          <w:sz w:val="20"/>
          <w:lang w:val="en-US" w:eastAsia="en-US" w:bidi="ar-SA"/>
        </w:rPr>
        <w:t>Insurance law — Automobile insurance — Compulsory government schemes — Uninsured or underinsured motorist coverage — Driver of vehicle, dragged 40 or 50 feet by truck, entitled to recover damages from Insurance Corporation — Identity of truck driver unknown — Driver was duped by truck driver into thinking he would stay until police arrived, but he left — Driver excused from taking more proactive steps to obtain negligent truck driver's information where she was in shock, confused and disoriented from accident, it was dark, and truck was dirty — Insurance (Motor Vehicle) Act, s. 24.</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 xml:space="preserve">Tort law — </w:t>
      </w:r>
      <w:r>
        <w:rPr>
          <w:rFonts w:ascii="arial" w:eastAsia="arial" w:hAnsi="arial" w:cs="arial"/>
          <w:b/>
          <w:i/>
          <w:color w:val="000000"/>
          <w:sz w:val="20"/>
          <w:u w:val="single"/>
          <w:lang w:val="en-US" w:eastAsia="en-US" w:bidi="ar-SA"/>
        </w:rPr>
        <w:t>Negligence</w:t>
      </w:r>
      <w:r>
        <w:rPr>
          <w:rFonts w:ascii="arial" w:eastAsia="arial" w:hAnsi="arial" w:cs="arial"/>
          <w:b/>
          <w:color w:val="000000"/>
          <w:sz w:val="20"/>
          <w:lang w:val="en-US" w:eastAsia="en-US" w:bidi="ar-SA"/>
        </w:rPr>
        <w:t xml:space="preserve"> — Evidence and proof — Motor vehicles — Liability of driver — Driver of vehicle, dragged 40 or 50 feet by truck, entitled to recover damages from Insurance Corporation — Identity of truck driver unknown — Driver was duped by truck driver into thinking he would stay until police arrived, but he left — Driver excused from taking more proactive steps to obtain negligent truck driver's information where she was in shock, confused and disoriented from accident, it was dark, and truck was dirty.</w:t>
      </w:r>
    </w:p>
    <w:p>
      <w:pPr>
        <w:rPr>
          <w:rFonts w:ascii="arial" w:eastAsia="arial" w:hAnsi="arial" w:cs="arial"/>
          <w:sz w:val="20"/>
          <w:lang w:val="en-US" w:eastAsia="en-US" w:bidi="ar-SA"/>
        </w:rPr>
      </w:pPr>
    </w:p>
    <w:tbl>
      <w:tblPr>
        <w:tblStyle w:val="TableNormal"/>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
      <w:tblGrid>
        <w:gridCol w:w="10225"/>
      </w:tblGrid>
      <w:tr>
        <w:tblPrEx>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Ex>
        <w:tc>
          <w:tcPr/>
          <w:p>
            <w:pPr>
              <w:rPr>
                <w:rFonts w:ascii="arial" w:eastAsia="arial" w:hAnsi="arial" w:cs="arial"/>
                <w:sz w:val="20"/>
                <w:lang w:val="en-US" w:eastAsia="en-US" w:bidi="ar-SA"/>
              </w:rPr>
            </w:pPr>
            <w:bookmarkStart w:id="144" w:name="Case Summary_20"/>
            <w:bookmarkEnd w:id="144"/>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Action by Hocaluk to recover damages from Insurance Corporation for personal injuries sustained in motor vehicle accident involving unknown truck driver -- Truck entered lane Hocaluk was driving in, hit side of her car and dragged car 40 to 50 feet -- Truck eventually let go of car, car did 360 degree turn and ended up against curb crossing lanes in both directions -- Hocaluk was terrified during incident, was panicked and in shock after car stopped -- Left arm and hand were numb such that she thought she had stroke -- Hocaluk had head injury from striking head on windshield at time of impact -- Truck stopped ahead -- Hocaluk did not think to check licence plate of truck -- Described truck as off-white and dirty -- Hocaluk claimed unidentified man approached her window -- She asked him to call 9-1-1 from her phone, but was unable to use phone and left -- Dube, employee of Corporation approached car and gave Hocaluk business card, said he saw entire incident -- Dube did not see obvious signs of injury on Hocaluk and found her coherent -- Dube saw truck driver, east Indian male, walk towards Hocaluk's vehicle but did not recall truck's licence plate number or name of trucking company -- Hocaluk called her boss to tell him she would be late -- Hocaluk called 9-1-1 -- Hocaluk said truck driver came to her window, told her his dispatcher told him to move rig down road to allow traffic to flow and told her to move her car -- Hocaluk refused to move, told truck driver to do same -- Driver walked behind her car -- Paramedics arrived while truck driver was behind Hocaluk's car -- When police arrived, Hocaluk realized truck driver had left -- Police officer described Hocaluk as shaken, upset and confused -- Hocaluk told officer she thought truck driver was moving truck and coming back, but 20 to 30 minutes later he did not return -- Another witness to aftermath of accident tried to get truck's licence plate number, but could not see rear plate because truck was muddy, and missed front plate because he was following flow of traffic -- Hocaluk admitted she never got out of her car, and did not ask any of people who approached her vehicle to get information from truck driver -- Hocaluk gave different accounts of why she did not obtain truck driver's information, including belief truck driver was planning to move rig and return but he did not, belief that truck driver was still behind her vehicle while paramedics attended to her waiting for police to arrive, and claim that truck driver walked away too abruptly for her to get his information -- HELD: Action allowed -- Hocaluk was in shock, confused and disoriented from accident -- Because truck was dirty and because it was dark, Hocaluk could not have seen truck's licence plate from her car -- Discrepancies in Hocaluk's accounts were troubling but she was still credible witness -- Hocaluk was duped into believing driver was going to stay until police arrived -- Hocaluk was reasonably excused from taking more proactive steps to obtain truck driver's particulars. </w:t>
            </w:r>
            <w:r>
              <w:rPr>
                <w:rFonts w:ascii="arial" w:eastAsia="arial" w:hAnsi="arial" w:cs="arial"/>
                <w:sz w:val="20"/>
                <w:lang w:val="en-US" w:eastAsia="en-US" w:bidi="ar-SA"/>
              </w:rPr>
              <w:cr/>
            </w:r>
          </w:p>
          <w:p>
            <w:pPr>
              <w:rPr>
                <w:rFonts w:ascii="arial" w:eastAsia="arial" w:hAnsi="arial" w:cs="arial"/>
                <w:sz w:val="20"/>
                <w:lang w:val="en-US" w:eastAsia="en-US" w:bidi="ar-SA"/>
              </w:rPr>
            </w:pPr>
          </w:p>
        </w:tc>
      </w:tr>
    </w:tbl>
    <w:p>
      <w:pPr>
        <w:jc w:val="both"/>
        <w:rPr>
          <w:rFonts w:ascii="arial" w:eastAsia="arial" w:hAnsi="arial" w:cs="arial"/>
          <w:sz w:val="20"/>
          <w:lang w:val="en-US" w:eastAsia="en-US" w:bidi="ar-SA"/>
        </w:rPr>
      </w:pPr>
      <w:bookmarkStart w:id="145" w:name="Legislation Cited_15"/>
      <w:bookmarkEnd w:id="145"/>
      <w:r>
        <w:rPr>
          <w:rFonts w:ascii="arial" w:eastAsia="arial" w:hAnsi="arial" w:cs="arial"/>
          <w:sz w:val="20"/>
          <w:lang w:val="en-US" w:eastAsia="en-US" w:bidi="ar-SA"/>
        </w:rPr>
        <w:br/>
      </w:r>
    </w:p>
    <w:p>
      <w:pPr>
        <w:keepNext/>
        <w:spacing w:before="24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Statutes, Regulations and Rules Cited:</w:t>
      </w:r>
    </w:p>
    <w:p>
      <w:pPr>
        <w:spacing w:line="60" w:lineRule="exact"/>
        <w:rPr>
          <w:rFonts w:ascii="arial" w:eastAsia="arial" w:hAnsi="arial" w:cs="arial"/>
          <w:sz w:val="20"/>
          <w:lang w:val="en-US" w:eastAsia="en-US" w:bidi="ar-SA"/>
        </w:rPr>
      </w:pPr>
      <w:r>
        <w:pict>
          <v:line id="_x0000_s1137" style="position:absolute;z-index:251732992"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Insurance (Motor Vehicle) Act, </w:t>
      </w:r>
      <w:hyperlink r:id="rId487" w:history="1">
        <w:r>
          <w:rPr>
            <w:rFonts w:ascii="arial" w:eastAsia="arial" w:hAnsi="arial" w:cs="arial"/>
            <w:i/>
            <w:color w:val="0077CC"/>
            <w:sz w:val="20"/>
            <w:u w:val="single"/>
            <w:shd w:val="clear" w:color="auto" w:fill="FFFFFF"/>
            <w:lang w:val="en-US" w:eastAsia="en-US" w:bidi="ar-SA"/>
          </w:rPr>
          <w:t>R.S.B.C. 1996, c. 231, s. 24</w:t>
        </w:r>
      </w:hyperlink>
      <w:r>
        <w:rPr>
          <w:rFonts w:ascii="arial" w:eastAsia="arial" w:hAnsi="arial" w:cs="arial"/>
          <w:color w:val="000000"/>
          <w:sz w:val="20"/>
          <w:lang w:val="en-US" w:eastAsia="en-US" w:bidi="ar-SA"/>
        </w:rPr>
        <w:t>, s. 24(5)</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Motor Vehicle Act, </w:t>
      </w:r>
      <w:hyperlink r:id="rId488" w:history="1">
        <w:r>
          <w:rPr>
            <w:rFonts w:ascii="arial" w:eastAsia="arial" w:hAnsi="arial" w:cs="arial"/>
            <w:i/>
            <w:color w:val="0077CC"/>
            <w:sz w:val="20"/>
            <w:u w:val="single"/>
            <w:shd w:val="clear" w:color="auto" w:fill="FFFFFF"/>
            <w:lang w:val="en-US" w:eastAsia="en-US" w:bidi="ar-SA"/>
          </w:rPr>
          <w:t>R.S.B.C. 1996, c. 318, s. 68</w:t>
        </w:r>
      </w:hyperlink>
      <w:r>
        <w:rPr>
          <w:rFonts w:ascii="arial" w:eastAsia="arial" w:hAnsi="arial" w:cs="arial"/>
          <w:color w:val="000000"/>
          <w:sz w:val="20"/>
          <w:lang w:val="en-US" w:eastAsia="en-US" w:bidi="ar-SA"/>
        </w:rPr>
        <w:t>(1)</w:t>
      </w:r>
      <w:r>
        <w:rPr>
          <w:rFonts w:ascii="arial" w:eastAsia="arial" w:hAnsi="arial" w:cs="arial"/>
          <w:sz w:val="20"/>
          <w:lang w:val="en-US" w:eastAsia="en-US" w:bidi="ar-SA"/>
        </w:rPr>
        <w:cr/>
      </w:r>
    </w:p>
    <w:p>
      <w:pPr>
        <w:keepNext/>
        <w:spacing w:before="240" w:line="340" w:lineRule="atLeast"/>
        <w:rPr>
          <w:rFonts w:ascii="arial" w:eastAsia="arial" w:hAnsi="arial" w:cs="arial"/>
          <w:sz w:val="20"/>
          <w:lang w:val="en-US" w:eastAsia="en-US" w:bidi="ar-SA"/>
        </w:rPr>
      </w:pPr>
      <w:bookmarkStart w:id="146" w:name="Counsel_21"/>
      <w:bookmarkEnd w:id="146"/>
      <w:r>
        <w:rPr>
          <w:rFonts w:ascii="arial" w:eastAsia="arial" w:hAnsi="arial" w:cs="arial"/>
          <w:b/>
          <w:color w:val="000000"/>
          <w:sz w:val="28"/>
          <w:lang w:val="en-US" w:eastAsia="en-US" w:bidi="ar-SA"/>
        </w:rPr>
        <w:t>Counsel</w:t>
      </w:r>
    </w:p>
    <w:p>
      <w:pPr>
        <w:spacing w:line="60" w:lineRule="exact"/>
        <w:rPr>
          <w:rFonts w:ascii="arial" w:eastAsia="arial" w:hAnsi="arial" w:cs="arial"/>
          <w:sz w:val="20"/>
          <w:lang w:val="en-US" w:eastAsia="en-US" w:bidi="ar-SA"/>
        </w:rPr>
      </w:pPr>
      <w:r>
        <w:pict>
          <v:line id="_x0000_s1138" style="position:absolute;z-index:251784192"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Counsel for the plaintiff: Edward P. Good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Counsel for defendant: Garry K. Thomas</w:t>
      </w:r>
      <w:r>
        <w:rPr>
          <w:rFonts w:ascii="arial" w:eastAsia="arial" w:hAnsi="arial" w:cs="arial"/>
          <w:sz w:val="20"/>
          <w:lang w:val="en-US" w:eastAsia="en-US" w:bidi="ar-SA"/>
        </w:rPr>
        <w:cr/>
      </w:r>
    </w:p>
    <w:p>
      <w:pPr>
        <w:spacing w:after="240"/>
        <w:rPr>
          <w:rFonts w:ascii="arial" w:eastAsia="arial" w:hAnsi="arial" w:cs="arial"/>
          <w:sz w:val="20"/>
          <w:lang w:val="en-US" w:eastAsia="en-US" w:bidi="ar-SA"/>
        </w:rPr>
      </w:pPr>
      <w:bookmarkStart w:id="147" w:name="Judgment_22"/>
      <w:bookmarkEnd w:id="147"/>
      <w:r>
        <w:pict>
          <v:line id="_x0000_s1139" style="position:absolute;z-index:251833344" from="0,12pt" to="512pt,12pt" strokecolor="#009ddb" strokeweight="1.5pt">
            <v:stroke linestyle="single"/>
          </v:line>
        </w:pict>
      </w:r>
    </w:p>
    <w:p>
      <w:pPr>
        <w:rPr>
          <w:rFonts w:ascii="arial" w:eastAsia="arial" w:hAnsi="arial" w:cs="arial"/>
          <w:sz w:val="20"/>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1620"/>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rFonts w:ascii="arial" w:eastAsia="arial" w:hAnsi="arial" w:cs="arial"/>
                <w:sz w:val="20"/>
                <w:lang w:val="en-US" w:eastAsia="en-US" w:bidi="ar-SA"/>
              </w:rPr>
            </w:pPr>
            <w:bookmarkStart w:id="148" w:name="ALLAN J."/>
            <w:bookmarkEnd w:id="148"/>
            <w:r>
              <w:rPr>
                <w:rFonts w:ascii="arial" w:eastAsia="arial" w:hAnsi="arial" w:cs="arial"/>
                <w:b/>
                <w:color w:val="000000"/>
                <w:sz w:val="30"/>
                <w:lang w:val="en-US" w:eastAsia="en-US" w:bidi="ar-SA"/>
              </w:rPr>
              <w:t>ALLAN J.</w:t>
            </w:r>
          </w:p>
        </w:tc>
      </w:tr>
    </w:tbl>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Issue: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The narrow issue in this case is whether the defendant Insurance Corporation of British Columbia ("ICBC") is entitled to deny liability to the plaintiff Ms. Hocaluk on the basis that she failed to take "all reasonable efforts" to ascertain the identity of the driver whose tractor truck collided with her car.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Relevant legislation: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xml:space="preserve">  Section 68(1) of the </w:t>
      </w:r>
      <w:r>
        <w:rPr>
          <w:rFonts w:ascii="arial" w:eastAsia="arial" w:hAnsi="arial" w:cs="arial"/>
          <w:b/>
          <w:i/>
          <w:color w:val="000000"/>
          <w:sz w:val="20"/>
          <w:lang w:val="en-US" w:eastAsia="en-US" w:bidi="ar-SA"/>
        </w:rPr>
        <w:t>Motor Vehicle Act,</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R.S.B.C. 1996, c. 318</w:t>
      </w:r>
      <w:r>
        <w:rPr>
          <w:rFonts w:ascii="arial" w:eastAsia="arial" w:hAnsi="arial" w:cs="arial"/>
          <w:color w:val="000000"/>
          <w:sz w:val="20"/>
          <w:lang w:val="en-US" w:eastAsia="en-US" w:bidi="ar-SA"/>
        </w:rPr>
        <w:t>, sets out the duty of a driver at a motor vehicle accident: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 xml:space="preserve">Duty of driver at accident </w:t>
      </w:r>
    </w:p>
    <w:p>
      <w:pPr>
        <w:spacing w:before="120"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68</w:t>
      </w:r>
      <w:r>
        <w:rPr>
          <w:rFonts w:ascii="arial" w:eastAsia="arial" w:hAnsi="arial" w:cs="arial"/>
          <w:color w:val="000000"/>
          <w:sz w:val="20"/>
          <w:lang w:val="en-US" w:eastAsia="en-US" w:bidi="ar-SA"/>
        </w:rPr>
        <w:t>(1) The driver or operator or any other person in charge of a vehicle that is, directly or indirectly, involved in an accident on a highway must do all of the following:</w:t>
      </w:r>
    </w:p>
    <w:p>
      <w:pPr>
        <w:numPr>
          <w:numId w:val="1"/>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remain at or immediately return to the scene of the accident;</w:t>
      </w:r>
    </w:p>
    <w:p>
      <w:pPr>
        <w:numPr>
          <w:numId w:val="1"/>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render all reasonable assistance;</w:t>
      </w:r>
    </w:p>
    <w:p>
      <w:pPr>
        <w:numPr>
          <w:numId w:val="1"/>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produce in writing to any other driver involved in the accident and to anyone sustaining loss or injury, and, on request, to a peace officer or to a witness</w:t>
      </w:r>
    </w:p>
    <w:p>
      <w:pPr>
        <w:numPr>
          <w:numId w:val="1"/>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his or her name and address,</w:t>
      </w:r>
    </w:p>
    <w:p>
      <w:pPr>
        <w:numPr>
          <w:numId w:val="2"/>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the name and address of the registered owner of the vehicle,</w:t>
      </w:r>
    </w:p>
    <w:p>
      <w:pPr>
        <w:numPr>
          <w:numId w:val="3"/>
        </w:numPr>
        <w:tabs>
          <w:tab w:val="num" w:pos="1120"/>
          <w:tab w:val="clear" w:pos="184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the licence number of the vehicle, and</w:t>
      </w:r>
    </w:p>
    <w:p>
      <w:pPr>
        <w:numPr>
          <w:numId w:val="4"/>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particulars of the motor vehicle liability insurance card or financial responsibility card for that vehicle,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or such of that information as is requested.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xml:space="preserve">  Section 24(5) of the </w:t>
      </w:r>
      <w:r>
        <w:rPr>
          <w:rFonts w:ascii="arial" w:eastAsia="arial" w:hAnsi="arial" w:cs="arial"/>
          <w:b/>
          <w:i/>
          <w:color w:val="000000"/>
          <w:sz w:val="20"/>
          <w:lang w:val="en-US" w:eastAsia="en-US" w:bidi="ar-SA"/>
        </w:rPr>
        <w:t>Insurance (Motor Vehicle) Act,</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R.S.B.C. 1996, c. 231</w:t>
      </w:r>
      <w:r>
        <w:rPr>
          <w:rFonts w:ascii="arial" w:eastAsia="arial" w:hAnsi="arial" w:cs="arial"/>
          <w:color w:val="000000"/>
          <w:sz w:val="20"/>
          <w:lang w:val="en-US" w:eastAsia="en-US" w:bidi="ar-SA"/>
        </w:rPr>
        <w:t xml:space="preserve"> sets out the duties of a person claiming damages who has been involved in a hit and run collision:</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Remedy for damage in hit and run accident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numPr>
          <w:numId w:val="5"/>
        </w:numPr>
        <w:tabs>
          <w:tab w:val="num" w:pos="1120"/>
          <w:tab w:val="clear" w:pos="184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In an action against the corporation as nominal defendant, a judgment against the corporation must not be given unless the court is satisfied that</w:t>
      </w:r>
    </w:p>
    <w:p>
      <w:pPr>
        <w:numPr>
          <w:numId w:val="5"/>
        </w:numPr>
        <w:tabs>
          <w:tab w:val="num" w:pos="1120"/>
          <w:tab w:val="clear" w:pos="184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all reasonable efforts have been made by the parties to ascertain the identity of the unknown owner and driver or unknown driver, as the case may be, and</w:t>
      </w:r>
    </w:p>
    <w:p>
      <w:pPr>
        <w:numPr>
          <w:numId w:val="5"/>
        </w:numPr>
        <w:tabs>
          <w:tab w:val="num" w:pos="1120"/>
          <w:tab w:val="clear" w:pos="184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the identity of those persons or that person, as the case may be, is not ascertainable.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xml:space="preserve">  Counsel reached an agreement that the identity of the truck driver is "not ascertainable" and that the only issue is whether Ms. Hocaluk made reasonable efforts to ascertain his identity at the scene of the accident. It is conceded that the accident occurred as a result of the truck driver's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Background: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In the early morning of January 15, 2001, the plaintiff, Ms. Hocaluk, was driving her Mustang automobile from North Delta to her employment in Coquitlam. She crossed the Patullo Bridge from Surrey into New Westminster and drove east on Columbia Street. She noticed a tractor truck without a trailer in the lane beside her. All of a sudden, the truck pulled into her lane beside her, hit the side of her car, and dragged it in front of the truck for about 40 or 50 feet. Ms. Hocaluk was terrified that the truck would drive over her and she screamed and braked, although her brakes had no effect. At one point, she could see the grill of the truck through her front windshield. She said the truck let go of her car and her car did a 360 degree turn, ending up against the curb in the westbound curb lane. Her vehicle was crossing both lanes at an angle, neither parallel nor perpendicular to the road lanes. She said she started crying and felt panicked, emotional and in shock. Her left hand and arm were numb in a way that she had never experienced and she pulled at and pinched her skin without any relief. She was worried that she had suffered a stroke. Although she was relatively young, 37 at the time, her aunt had had a stroke and she understood the symptoms to be the same as what she was experiencing. She had also hit her head on the top of the window frame at the time of the collision and she had a headache.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She said that she could see the tractor truck stopped in the centre east bound lane about 50 or 60 feet away and that there were "a couple of cars" behind him. Traffic was stopped. She was "stressed", and it did not occur to her to get out and walk over to check the truck's licence plate number. She could not see the plate from her car; she could only see the top of the tractor cab. The truck was an off-white colour and dirty.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Ms. Hocaluk testified that the first person she talked to was a short man, apparently in his mid-70's, who appeared at her driver's window and asked if she was all right. She handed him her cell phone and asked him to call 911, but he was unable to use her phone. She didn't recall any other conversation and did not know where he had come from or where he had gone.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Next, Mr. Dube, an employee of ICBC, came to her car and gave her his business card, saying that he had seen the whole accident. He told her to call him if she had any problems. She said he did all the talking and she didn't recall saying anything to him. At trial, Mr. Dube said that he had been driving behind the Mustang and the truck and had seen the truck change into the slow lane, clipping the back half of the Mustang, causing it to spin and end up in the westbound lane facing oncoming traffic. He stopped his car in front of the truck in the fast lane and walked to the Mustang. He did not recall seeing any obvious signs of injury on Ms. Hocaluk and he quickly returned to his car. Mr. Dube said he would not have left her unless he was satisfied that she was "physically okay" to be left. He described her as composed but shaken up. She seemed coherent and did not ask him to call the police or paramedics or get any information about the truck. He estimated that brief conversation lasted 2 or 3 minutes. Ms. Hocaluk thought it had taken between 5 and 10 seconds.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On his return to his car, Mr. Dube saw the truck driver, an East Indian male, walking towards the Mustang. He assumed that the driver was going to talk to her, but he did not follow up. He did not note any details about the licence plate number or the name of the trucking company. He recalled the light level as being "pretty dull and dreary; pretty dark". When he was at the Mustang, he could see the back of the truck about 40 feet or so away and did not recall any vehicles between the Mustang and the truck.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Ms. Hocaluk next remembered phoning her boss, whose number she had on "speed dial" to tell him that she would be late for work. She thought he was irritated because he wanted to call the police and she was unable to tell him exactly where she was. She then phoned 911 and understood that an ambulance or police car would be dispatched.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Ms. Hocaluk said the truck driver then appeared at her window. He had a cell phone in his hand and said that his dispatcher had told him to move his rig down the road. The driver suggested that she should also move her car to allow traffic to flow. She told him that she had no intention of moving until the police arrived, and she told him that he should stay there as well. He mumbled something else that she missed, but she was too dazed and panicked to ask him to repeat himself. She did not ask him for his name, his driver's licence or his licence plate number. She said that he moved onto the grass on the boulevard just behind her car and she assumed that he was going to stay there. At trial, she thought the conversation had lasted 2 to 4 minutes.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The paramedics arrived next, while the truck driver remained behind her car. They put a blanket on her legs and questioned her while she was still in her car. They felt her head and calmed her down a bit as she told them what had happened. Ms. Hocaluk took her seat belt off at their request but did not get out of the car. The paramedics asked her if she wanted them to take her to the hospital or if she could drive. She indicated that she could drive herself to the hospital after she had talked to the police. She said that while the two paramedics were attending to her, they were blocking her view of the truck and her focus was upon them. When they left after about 20 minutes, she saw that the driver and the truck had both departed. She was surprised. Ms. Hocaluk then called her father. He arrived after Constable Barritt attended the scene.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Constable Barritt had been dispatched to attend the accident at about 7:35 a.m. He moved her car for her out of the traffic on Columbia Street, requested her driver's licence and registration, and asked her about the collision. She said she told him about her conversation with the truck driver and that he had been waiting on the grass boulevard with his cell phone, but that after the ambulance left, she realized that he and the truck had left. She did not say whether she thought the truck driver was coming back.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At trial, Constable Barritt was obviously confused and in error as to the resting place of the Mustang, which he placed in the eastbound lanes, and incorrectly thought that it was towed from the scene rather than driven. However, he appeared to have a clear recollection of Ms. Hocaluk's demeanour which he described as "somewhat shaken, upset, visibly rattled, and confused". He said that she had difficulty initially telling him what had happened, and he had to focus her and calm her down to get the details. He testified that when asked where the truck was, she said that the person was parking it and coming back. Eventually it became evident that the driver was not returning. Constable Barritt estimated that he had been at the scene for 20 to 30 minutes and had spent about half of that time with her. As he spent time with her, she became more composed. Ms. Hocaluk agreed that Constable Barritt was very kind and considerate and that he had calmed her down.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w:t>
      </w:r>
      <w:r>
        <w:rPr>
          <w:rFonts w:ascii="arial" w:eastAsia="arial" w:hAnsi="arial" w:cs="arial"/>
          <w:color w:val="000000"/>
          <w:sz w:val="20"/>
          <w:lang w:val="en-US" w:eastAsia="en-US" w:bidi="ar-SA"/>
        </w:rPr>
        <w:t>  In cross-examination, Constable Barritt testified that Ms. Hocaluk had told him that the truck driver said he would move his vehicle and come back. He understood that the driver was moving his vehicle out of the hazards of the road and was still going to return. He did not recall any other conversation with her about the truck driver. She did not tell him that the driver had been standing on the grass for some time behind her car. Before Constable Barritt left, he considered it apparent that the driver would not return.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w:t>
      </w:r>
      <w:r>
        <w:rPr>
          <w:rFonts w:ascii="arial" w:eastAsia="arial" w:hAnsi="arial" w:cs="arial"/>
          <w:color w:val="000000"/>
          <w:sz w:val="20"/>
          <w:lang w:val="en-US" w:eastAsia="en-US" w:bidi="ar-SA"/>
        </w:rPr>
        <w:t>  Mr. Thomas, counsel for ICBC, suggests that Constable Barritt was confused with respect to every aspect of his evidence, including his description of Ms. Hocaluk's demeanour. However, he was not challenged at all on that evidence. In fact, when asked why he said Ms. Hocaluk "eventually" gave him her driver's licence and insurance, he explained that was because she was "upset, confused, shaking, and awkward."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w:t>
      </w:r>
      <w:r>
        <w:rPr>
          <w:rFonts w:ascii="arial" w:eastAsia="arial" w:hAnsi="arial" w:cs="arial"/>
          <w:color w:val="000000"/>
          <w:sz w:val="20"/>
          <w:lang w:val="en-US" w:eastAsia="en-US" w:bidi="ar-SA"/>
        </w:rPr>
        <w:t>  After Constable Barritt left, Ms. Hocaluk said she followed her father's car to the hospital.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w:t>
      </w:r>
      <w:r>
        <w:rPr>
          <w:rFonts w:ascii="arial" w:eastAsia="arial" w:hAnsi="arial" w:cs="arial"/>
          <w:color w:val="000000"/>
          <w:sz w:val="20"/>
          <w:lang w:val="en-US" w:eastAsia="en-US" w:bidi="ar-SA"/>
        </w:rPr>
        <w:t>  The aftermath of the accident was witnessed by Mr. Komaszczuk, an acquaintance of Ms. Hocaluk's who recognized her and her car. He said that he saw the Mustang in both westbound lanes at an angle. He generally passes that point on his way to work at 7:10 a.m.. Traffic was very slow because everyone was moving around the stopped tractor truck which he described as white but dirty and muddy. He said the licence plate was also muddy. In cross examination, he said that his instinct was to get the plate number and that he tried to but was unable to because it was muddy. Because he had to keep moving with the flow of traffic, he was unable to get the front plate number.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The credibility of the plaintiff: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w:t>
      </w:r>
      <w:r>
        <w:rPr>
          <w:rFonts w:ascii="arial" w:eastAsia="arial" w:hAnsi="arial" w:cs="arial"/>
          <w:color w:val="000000"/>
          <w:sz w:val="20"/>
          <w:lang w:val="en-US" w:eastAsia="en-US" w:bidi="ar-SA"/>
        </w:rPr>
        <w:t>  The defendant asserts that Ms. Hocaluk was not a credible witness.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w:t>
      </w:r>
      <w:r>
        <w:rPr>
          <w:rFonts w:ascii="arial" w:eastAsia="arial" w:hAnsi="arial" w:cs="arial"/>
          <w:color w:val="000000"/>
          <w:sz w:val="20"/>
          <w:lang w:val="en-US" w:eastAsia="en-US" w:bidi="ar-SA"/>
        </w:rPr>
        <w:t>  At trial, Ms. Hocaluk was sure that she had gone from the scene to Royal Columbian Hospital before she went to ICBC. She agreed that at the scene of the accident, she had telephoned ICBC to report the accident and make an appointment. During the course of her evidence, counsel reached the following evidentiary agreement:</w:t>
      </w:r>
      <w:r>
        <w:rPr>
          <w:rFonts w:ascii="arial" w:eastAsia="arial" w:hAnsi="arial" w:cs="arial"/>
          <w:sz w:val="20"/>
          <w:lang w:val="en-US" w:eastAsia="en-US" w:bidi="ar-SA"/>
        </w:rPr>
        <w:cr/>
      </w:r>
    </w:p>
    <w:p>
      <w:pPr>
        <w:numPr>
          <w:numId w:val="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at 8:06 a.m., she had made the telephone call to ICBC;</w:t>
      </w:r>
    </w:p>
    <w:p>
      <w:pPr>
        <w:numPr>
          <w:numId w:val="7"/>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at 9:04 a.m., the ICBC adjuster commenced taking a statement from her;</w:t>
      </w:r>
    </w:p>
    <w:p>
      <w:pPr>
        <w:numPr>
          <w:numId w:val="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at 10:16 a.m., she was treated at the hospital.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w:t>
      </w:r>
      <w:r>
        <w:rPr>
          <w:rFonts w:ascii="arial" w:eastAsia="arial" w:hAnsi="arial" w:cs="arial"/>
          <w:color w:val="000000"/>
          <w:sz w:val="20"/>
          <w:lang w:val="en-US" w:eastAsia="en-US" w:bidi="ar-SA"/>
        </w:rPr>
        <w:t>  Ms. Hocaluk confirmed that, on the morning of the accident, she gave a statement to ICBC (the "Statement") in which she described the accident as taking place at about 7:20 a.m. She described the mechanics of the accident and then stated: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other driver came over and said he had called his dispatcher and was going to move his truck. He never came back to the accident. The police said they were going to look for him and later they said that he had reported to the police and they knew who he was.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w:t>
      </w:r>
      <w:r>
        <w:rPr>
          <w:rFonts w:ascii="arial" w:eastAsia="arial" w:hAnsi="arial" w:cs="arial"/>
          <w:color w:val="000000"/>
          <w:sz w:val="20"/>
          <w:lang w:val="en-US" w:eastAsia="en-US" w:bidi="ar-SA"/>
        </w:rPr>
        <w:t>  When she was cross-examined on her discussion with the police about them looking for the other driver, she did not recall when they told her that. She agreed that it was not after 8:00 a.m. when Constable Barritt left the scene. In re-examination, she stated that she got that information from Constable Barritt who told her they would drive around the area to find the truck. She said he told her that apparently, somebody had phoned the New Westminster police to say that they had just hit someone or been in an accident and the receptionist, Jennifer, had replied that they had to call Dial-a-Claim. She had no further conversations with any other police officers.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w:t>
      </w:r>
      <w:r>
        <w:rPr>
          <w:rFonts w:ascii="arial" w:eastAsia="arial" w:hAnsi="arial" w:cs="arial"/>
          <w:color w:val="000000"/>
          <w:sz w:val="20"/>
          <w:lang w:val="en-US" w:eastAsia="en-US" w:bidi="ar-SA"/>
        </w:rPr>
        <w:t>  Subsequently, Ms. Hocaluk consulted a lawyer and, on March 1, 2001, on the basis of the information that she gave him, he prepared an "addendum" to her statement (the "Addendum") for ICBC. The Addendum was clearly prepared for the purpose of establishing the reasonableness of her efforts to get the necessary particulars from the truck driver. It provided the following additional information:</w:t>
      </w:r>
      <w:r>
        <w:rPr>
          <w:rFonts w:ascii="arial" w:eastAsia="arial" w:hAnsi="arial" w:cs="arial"/>
          <w:sz w:val="20"/>
          <w:lang w:val="en-US" w:eastAsia="en-US" w:bidi="ar-SA"/>
        </w:rPr>
        <w:cr/>
      </w:r>
    </w:p>
    <w:p>
      <w:pPr>
        <w:numPr>
          <w:numId w:val="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After the collision, the tractor unit stopped 50-60 feet from her car in the fast east-bound lane;</w:t>
      </w:r>
    </w:p>
    <w:p>
      <w:pPr>
        <w:numPr>
          <w:numId w:val="1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traffic came to a stop and backed up behind the tractor unit;</w:t>
      </w:r>
    </w:p>
    <w:p>
      <w:pPr>
        <w:numPr>
          <w:numId w:val="1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she was unable to see the rear of the tractor unit because it was dark, because of the distance, and because of the traffic behind it;</w:t>
      </w:r>
    </w:p>
    <w:p>
      <w:pPr>
        <w:numPr>
          <w:numId w:val="1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truck driver told her his dispatcher told him to move his truck down the road and she should also move her car;</w:t>
      </w:r>
    </w:p>
    <w:p>
      <w:pPr>
        <w:numPr>
          <w:numId w:val="1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she told him that she was not going to move her car until the police arrived and he should stay there too;</w:t>
      </w:r>
    </w:p>
    <w:p>
      <w:pPr>
        <w:numPr>
          <w:numId w:val="1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her conversation with the truck driver lasted about 15 seconds;</w:t>
      </w:r>
    </w:p>
    <w:p>
      <w:pPr>
        <w:numPr>
          <w:numId w:val="1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truck driver then walked away "abruptly" from her car and she did not see him again;</w:t>
      </w:r>
    </w:p>
    <w:p>
      <w:pPr>
        <w:numPr>
          <w:numId w:val="16"/>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she did not get out of her car as she was stunned and in shock from the collision;</w:t>
      </w:r>
    </w:p>
    <w:p>
      <w:pPr>
        <w:numPr>
          <w:numId w:val="17"/>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she did not have an opportunity to inquire about the truck driver's licence or vehicle particulars because he abruptly left the vicinity of her car; and</w:t>
      </w:r>
    </w:p>
    <w:p>
      <w:pPr>
        <w:numPr>
          <w:numId w:val="18"/>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she provided a detailed description of his appearance, age and clothing.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w:t>
      </w:r>
      <w:r>
        <w:rPr>
          <w:rFonts w:ascii="arial" w:eastAsia="arial" w:hAnsi="arial" w:cs="arial"/>
          <w:color w:val="000000"/>
          <w:sz w:val="20"/>
          <w:lang w:val="en-US" w:eastAsia="en-US" w:bidi="ar-SA"/>
        </w:rPr>
        <w:t>  All of those details were missing from her Statement.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w:t>
      </w:r>
      <w:r>
        <w:rPr>
          <w:rFonts w:ascii="arial" w:eastAsia="arial" w:hAnsi="arial" w:cs="arial"/>
          <w:color w:val="000000"/>
          <w:sz w:val="20"/>
          <w:lang w:val="en-US" w:eastAsia="en-US" w:bidi="ar-SA"/>
        </w:rPr>
        <w:t>  Ms. Hocaluk could not recall whether she had told the paramedics that she was worried she had stroke-like symptoms but agreed that she had not told anyone else at the scene. The paramedics did no heart or stroke tests. Because she told them she would be able to drive, they did not fill out a Crew Report. No medical reports or information was introduced into evidence.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w:t>
      </w:r>
      <w:r>
        <w:rPr>
          <w:rFonts w:ascii="arial" w:eastAsia="arial" w:hAnsi="arial" w:cs="arial"/>
          <w:color w:val="000000"/>
          <w:sz w:val="20"/>
          <w:lang w:val="en-US" w:eastAsia="en-US" w:bidi="ar-SA"/>
        </w:rPr>
        <w:t>  Ms. Hocaluk agreed that she had not asked the older man, Mr. Dube, or the paramedics to get the truck's licence plate or the driver's particulars. She said she was "messed up", in shock, overwhelmed and very emotional. She was not thinking about the need to get the driver's information. She did not know where, on the back of the truck, the licence plate was located.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w:t>
      </w:r>
      <w:r>
        <w:rPr>
          <w:rFonts w:ascii="arial" w:eastAsia="arial" w:hAnsi="arial" w:cs="arial"/>
          <w:color w:val="000000"/>
          <w:sz w:val="20"/>
          <w:lang w:val="en-US" w:eastAsia="en-US" w:bidi="ar-SA"/>
        </w:rPr>
        <w:t>  On her examination for discovery, on May 11, 2004, Ms. Hocaluk testified that she spoke first to Mr. Dube, second to the truck driver, third to the older man, fourth to the paramedics, and fifth to the police officer. She testified that she spoke to all of those people at the scene but was confused as to whether she had spoken to Mr. Dube or the older man first.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w:t>
      </w:r>
      <w:r>
        <w:rPr>
          <w:rFonts w:ascii="arial" w:eastAsia="arial" w:hAnsi="arial" w:cs="arial"/>
          <w:color w:val="000000"/>
          <w:sz w:val="20"/>
          <w:lang w:val="en-US" w:eastAsia="en-US" w:bidi="ar-SA"/>
        </w:rPr>
        <w:t>  In cross-examination, Ms. Hocaluk agreed that the truck driver had moved to the grass boulevard about 10 or 12 feet from her car. She could have yelled over to him for his vehicle and licence information but she did not do so because she was dazed and confused. She agreed that she had used an aggressive tone with the driver when she told him that he should stay at the scene until the police arrived. She agreed that she was concerned that he would leave because he had told her initially he was going to move his truck.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w:t>
      </w:r>
      <w:r>
        <w:rPr>
          <w:rFonts w:ascii="arial" w:eastAsia="arial" w:hAnsi="arial" w:cs="arial"/>
          <w:color w:val="000000"/>
          <w:sz w:val="20"/>
          <w:lang w:val="en-US" w:eastAsia="en-US" w:bidi="ar-SA"/>
        </w:rPr>
        <w:t>  In re-examination, Ms. Hocaluk said that she had not understood she was to give a comprehensive report of every detail of the events when she gave her Statement.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The plaintiff's argument: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w:t>
      </w:r>
      <w:r>
        <w:rPr>
          <w:rFonts w:ascii="arial" w:eastAsia="arial" w:hAnsi="arial" w:cs="arial"/>
          <w:color w:val="000000"/>
          <w:sz w:val="20"/>
          <w:lang w:val="en-US" w:eastAsia="en-US" w:bidi="ar-SA"/>
        </w:rPr>
        <w:t>  Mr. Good submits that Ms. Hocaluk took all reasonable steps in the circumstances to ascertain the identity of the truck driver. She was injured and in shock. She believed that the truck driver was going to stay until the police arrived to take charge of the scene and ascertain both drivers' particulars.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The defendant's argument: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w:t>
      </w:r>
      <w:r>
        <w:rPr>
          <w:rFonts w:ascii="arial" w:eastAsia="arial" w:hAnsi="arial" w:cs="arial"/>
          <w:color w:val="000000"/>
          <w:sz w:val="20"/>
          <w:lang w:val="en-US" w:eastAsia="en-US" w:bidi="ar-SA"/>
        </w:rPr>
        <w:t>  Mr. Thomas submits that Ms. Hocaluk was not a credible witness and that she was functionally capable of getting the required information as she was obliged to do. He cites her conversations at the scene with the older man, Mr. Dube, the truck driver, the paramedics, and Constable Barritt, as well as her telephone calls to 911, her boss and her father as evidence of her functional competence. He also says that there is no medical evidence to support Ms. Hocaluk's inability to obtain the necessary particulars.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w:t>
      </w:r>
      <w:r>
        <w:rPr>
          <w:rFonts w:ascii="arial" w:eastAsia="arial" w:hAnsi="arial" w:cs="arial"/>
          <w:color w:val="000000"/>
          <w:sz w:val="20"/>
          <w:lang w:val="en-US" w:eastAsia="en-US" w:bidi="ar-SA"/>
        </w:rPr>
        <w:t>  Counsel points out that the truck driver did not abruptly leave the scene. He remained there for a significant period of time and he was close to her car for most of the time. In addition, Ms. Hocaluk failed to ask anyone at the scene to help her get the necessary information.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The Law:</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w:t>
      </w:r>
      <w:r>
        <w:rPr>
          <w:rFonts w:ascii="arial" w:eastAsia="arial" w:hAnsi="arial" w:cs="arial"/>
          <w:color w:val="000000"/>
          <w:sz w:val="20"/>
          <w:lang w:val="en-US" w:eastAsia="en-US" w:bidi="ar-SA"/>
        </w:rPr>
        <w:t xml:space="preserve">  Section 24 of the </w:t>
      </w:r>
      <w:r>
        <w:rPr>
          <w:rFonts w:ascii="arial" w:eastAsia="arial" w:hAnsi="arial" w:cs="arial"/>
          <w:b/>
          <w:i/>
          <w:color w:val="000000"/>
          <w:sz w:val="20"/>
          <w:lang w:val="en-US" w:eastAsia="en-US" w:bidi="ar-SA"/>
        </w:rPr>
        <w:t>Insurance (Motor Vehicle) Act</w:t>
      </w:r>
      <w:r>
        <w:rPr>
          <w:rFonts w:ascii="arial" w:eastAsia="arial" w:hAnsi="arial" w:cs="arial"/>
          <w:color w:val="000000"/>
          <w:sz w:val="20"/>
          <w:lang w:val="en-US" w:eastAsia="en-US" w:bidi="ar-SA"/>
        </w:rPr>
        <w:t xml:space="preserve"> provides a statutory right of action, enabling a plaintiff to sue ICBC as a nominal defendant in certain circumstances where the identity of the negligent driver is unknown. The right to recover against an unknown tortfeasor does not exist at common law. The onus is on the plaintiff to prove that her case falls within the ambit of that section. In this case, the narrow issue is whether she took "all reasonable efforts" to ascertain the identity of the truck driver.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34</w:t>
      </w:r>
      <w:r>
        <w:rPr>
          <w:rFonts w:ascii="arial" w:eastAsia="arial" w:hAnsi="arial" w:cs="arial"/>
          <w:color w:val="000000"/>
          <w:sz w:val="20"/>
          <w:lang w:val="en-US" w:eastAsia="en-US" w:bidi="ar-SA"/>
        </w:rPr>
        <w:t xml:space="preserve">  Counsel agree that the leading case on this issue is </w:t>
      </w:r>
      <w:r>
        <w:rPr>
          <w:rFonts w:ascii="arial" w:eastAsia="arial" w:hAnsi="arial" w:cs="arial"/>
          <w:b/>
          <w:i/>
          <w:color w:val="000000"/>
          <w:sz w:val="20"/>
          <w:lang w:val="en-US" w:eastAsia="en-US" w:bidi="ar-SA"/>
        </w:rPr>
        <w:t>Leggett v. Insurance Corporation of British Columbia,</w:t>
      </w:r>
      <w:r>
        <w:rPr>
          <w:rFonts w:ascii="arial" w:eastAsia="arial" w:hAnsi="arial" w:cs="arial"/>
          <w:color w:val="000000"/>
          <w:sz w:val="20"/>
          <w:lang w:val="en-US" w:eastAsia="en-US" w:bidi="ar-SA"/>
        </w:rPr>
        <w:t xml:space="preserve"> </w:t>
      </w:r>
      <w:hyperlink r:id="rId489" w:history="1">
        <w:r>
          <w:rPr>
            <w:rFonts w:ascii="arial" w:eastAsia="arial" w:hAnsi="arial" w:cs="arial"/>
            <w:i/>
            <w:color w:val="0077CC"/>
            <w:sz w:val="20"/>
            <w:u w:val="single"/>
            <w:shd w:val="clear" w:color="auto" w:fill="FFFFFF"/>
            <w:lang w:val="en-US" w:eastAsia="en-US" w:bidi="ar-SA"/>
          </w:rPr>
          <w:t>[1992] B.C.J. No. 2048</w:t>
        </w:r>
      </w:hyperlink>
      <w:r>
        <w:rPr>
          <w:rFonts w:ascii="arial" w:eastAsia="arial" w:hAnsi="arial" w:cs="arial"/>
          <w:color w:val="000000"/>
          <w:sz w:val="20"/>
          <w:lang w:val="en-US" w:eastAsia="en-US" w:bidi="ar-SA"/>
        </w:rPr>
        <w:t xml:space="preserve"> (C.A.). There, the Court noted that ICBC's exposure under the relevant section was limited to claims brought by persons who could not have ascertained the identity of the responsible person; it did not extend to claims of those who have chosen not to do so. However, that case is clearly distinguishable on its facts from the present case. There, the plaintiff formed the opinion that he had not suffered any personal injury and, after discussing some minor property damage, he and the driver of the other vehicle agreed that each would look after his own damage. The trial judge erroneously concluded that the plaintiff's ignorance of his injury until the following day made it reasonable that he would not, before that time, make any effort to obtain identification particulars of the other driver. There, the plaintiff had made a conscious decision not to pursue his claim at the material time.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35</w:t>
      </w:r>
      <w:r>
        <w:rPr>
          <w:rFonts w:ascii="arial" w:eastAsia="arial" w:hAnsi="arial" w:cs="arial"/>
          <w:color w:val="000000"/>
          <w:sz w:val="20"/>
          <w:lang w:val="en-US" w:eastAsia="en-US" w:bidi="ar-SA"/>
        </w:rPr>
        <w:t>  At paras. 11 and 12, Taylor J.A. for the Court stated: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 do not think the words "not ascertainable" should be strictly interpreted, so as to mean "could not possibly have been ascertained." I think they are to be interpreted with reference to subsection (5) so as to mean "could not have been ascertained had the claimant made all reasonable efforts, having regard to the claimant's position, to discover them." Where a person knows that he or she has been involved in a motor vehicle accident, but refrains even from recording the licence number of the other vehicle, when that number is visible and the claimant could, had he or she wished, reasonably have recorded it, such a claimant must, in my view, find it particularly difficult, and probably impossible, to establish that he or she made all reasonable efforts to discover the identity of the owner and driver of that vehicle for the purposes of the section.</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test seems to me to be subjective in the sense that the claimant must know that the vehicle has been in an accident and must have been in such a position and condition that it would be reasonable for the claimant to discover and record the appropriate information. But the claimant cannot be heard to say: "I acted reasonably in not taking the trouble to find out."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36</w:t>
      </w:r>
      <w:r>
        <w:rPr>
          <w:rFonts w:ascii="arial" w:eastAsia="arial" w:hAnsi="arial" w:cs="arial"/>
          <w:color w:val="000000"/>
          <w:sz w:val="20"/>
          <w:lang w:val="en-US" w:eastAsia="en-US" w:bidi="ar-SA"/>
        </w:rPr>
        <w:t>  The plaintiff relies on the following cases.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37</w:t>
      </w:r>
      <w:r>
        <w:rPr>
          <w:rFonts w:ascii="arial" w:eastAsia="arial" w:hAnsi="arial" w:cs="arial"/>
          <w:color w:val="000000"/>
          <w:sz w:val="20"/>
          <w:lang w:val="en-US" w:eastAsia="en-US" w:bidi="ar-SA"/>
        </w:rPr>
        <w:t xml:space="preserve">  In </w:t>
      </w:r>
      <w:r>
        <w:rPr>
          <w:rFonts w:ascii="arial" w:eastAsia="arial" w:hAnsi="arial" w:cs="arial"/>
          <w:b/>
          <w:i/>
          <w:color w:val="000000"/>
          <w:sz w:val="20"/>
          <w:lang w:val="en-US" w:eastAsia="en-US" w:bidi="ar-SA"/>
        </w:rPr>
        <w:t>Ingram v. ICBC</w:t>
      </w:r>
      <w:r>
        <w:rPr>
          <w:rFonts w:ascii="arial" w:eastAsia="arial" w:hAnsi="arial" w:cs="arial"/>
          <w:color w:val="000000"/>
          <w:sz w:val="20"/>
          <w:lang w:val="en-US" w:eastAsia="en-US" w:bidi="ar-SA"/>
        </w:rPr>
        <w:t xml:space="preserve">, </w:t>
      </w:r>
      <w:hyperlink r:id="rId490" w:history="1">
        <w:r>
          <w:rPr>
            <w:rFonts w:ascii="arial" w:eastAsia="arial" w:hAnsi="arial" w:cs="arial"/>
            <w:i/>
            <w:color w:val="0077CC"/>
            <w:sz w:val="20"/>
            <w:u w:val="single"/>
            <w:shd w:val="clear" w:color="auto" w:fill="FFFFFF"/>
            <w:lang w:val="en-US" w:eastAsia="en-US" w:bidi="ar-SA"/>
          </w:rPr>
          <w:t>[1994] B.C.J. No. 1199</w:t>
        </w:r>
      </w:hyperlink>
      <w:r>
        <w:rPr>
          <w:rFonts w:ascii="arial" w:eastAsia="arial" w:hAnsi="arial" w:cs="arial"/>
          <w:color w:val="000000"/>
          <w:sz w:val="20"/>
          <w:lang w:val="en-US" w:eastAsia="en-US" w:bidi="ar-SA"/>
        </w:rPr>
        <w:t xml:space="preserve"> (C.A.). There, the plaintiff was unable to get out of his vehicle because of his injuries. He was taken to hospital in an ambulance on a spinal board. The other driver had spoken to him briefly through the window but did not volunteer his driver's information and did not speak to him again. A police officer was present at the scene and took the plaintiff's particulars. The plaintiff assumed that the officer had obtained the other driver's particulars. The police department had no record of the accident. The chambers judge found that Ingram had not made reasonable efforts to ascertain the identity of the other driver. She noted that he had been able to talk to the other driver and the police officer, and speak on his cell phone. She did not consider it appropriate to simply rely upon the police to obtain the information necessary to make a claim under s. 24. The Court of Appeal allowed an appeal, concluding that Ingram had acted reasonably in the facts of that case in relying on the police to get the information.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38</w:t>
      </w:r>
      <w:r>
        <w:rPr>
          <w:rFonts w:ascii="arial" w:eastAsia="arial" w:hAnsi="arial" w:cs="arial"/>
          <w:color w:val="000000"/>
          <w:sz w:val="20"/>
          <w:lang w:val="en-US" w:eastAsia="en-US" w:bidi="ar-SA"/>
        </w:rPr>
        <w:t xml:space="preserve">  In </w:t>
      </w:r>
      <w:r>
        <w:rPr>
          <w:rFonts w:ascii="arial" w:eastAsia="arial" w:hAnsi="arial" w:cs="arial"/>
          <w:b/>
          <w:i/>
          <w:color w:val="000000"/>
          <w:sz w:val="20"/>
          <w:lang w:val="en-US" w:eastAsia="en-US" w:bidi="ar-SA"/>
        </w:rPr>
        <w:t>Slamaj v. ICBC</w:t>
      </w:r>
      <w:r>
        <w:rPr>
          <w:rFonts w:ascii="arial" w:eastAsia="arial" w:hAnsi="arial" w:cs="arial"/>
          <w:color w:val="000000"/>
          <w:sz w:val="20"/>
          <w:lang w:val="en-US" w:eastAsia="en-US" w:bidi="ar-SA"/>
        </w:rPr>
        <w:t xml:space="preserve">, </w:t>
      </w:r>
      <w:hyperlink r:id="rId491" w:history="1">
        <w:r>
          <w:rPr>
            <w:rFonts w:ascii="arial" w:eastAsia="arial" w:hAnsi="arial" w:cs="arial"/>
            <w:i/>
            <w:color w:val="0077CC"/>
            <w:sz w:val="20"/>
            <w:u w:val="single"/>
            <w:shd w:val="clear" w:color="auto" w:fill="FFFFFF"/>
            <w:lang w:val="en-US" w:eastAsia="en-US" w:bidi="ar-SA"/>
          </w:rPr>
          <w:t>1999 BCCA 187</w:t>
        </w:r>
      </w:hyperlink>
      <w:r>
        <w:rPr>
          <w:rFonts w:ascii="arial" w:eastAsia="arial" w:hAnsi="arial" w:cs="arial"/>
          <w:color w:val="000000"/>
          <w:sz w:val="20"/>
          <w:lang w:val="en-US" w:eastAsia="en-US" w:bidi="ar-SA"/>
        </w:rPr>
        <w:t>, Slamaj's vehicle had collided with an unidentified vehicle. Slamaj struck his head but did not lose consciousness and was able to get out of his car through the passenger door. The vehicles remained locked together after impact and a tow truck did not arrive until 30 to 60 minutes after the accident. After the cars were parted, the unidentified vehicle, although extensively damaged, drove away. Slamaj was waiting for the police, who he expected to take the particulars of the drivers. Slamaj spoke to the other driver who admitted that the accident was his fault. He showed no indication of an intention to flee the scene. The police arrived after the other driver had fled. The trial judge found that the plaintiff acted reasonably, albeit not perfectly. He had a serious incapacity due to his head injury and the impact of the accident. There was nothing to alert him to any immediate need to pin down the identity of the other driver.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39</w:t>
      </w:r>
      <w:r>
        <w:rPr>
          <w:rFonts w:ascii="arial" w:eastAsia="arial" w:hAnsi="arial" w:cs="arial"/>
          <w:color w:val="000000"/>
          <w:sz w:val="20"/>
          <w:lang w:val="en-US" w:eastAsia="en-US" w:bidi="ar-SA"/>
        </w:rPr>
        <w:t>  The Court of Appeal dismissed the appeal. It considered the plaintiff's medical condition only a marginal factor in the determination of his compliance with the statutory obligation. The real issue was whether he was entitled to reasonably assume in the circumstances that the car and the driver would remain at the scene until the police arrived and that the identification of the driver would be made routinely in that context.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40</w:t>
      </w:r>
      <w:r>
        <w:rPr>
          <w:rFonts w:ascii="arial" w:eastAsia="arial" w:hAnsi="arial" w:cs="arial"/>
          <w:color w:val="000000"/>
          <w:sz w:val="20"/>
          <w:lang w:val="en-US" w:eastAsia="en-US" w:bidi="ar-SA"/>
        </w:rPr>
        <w:t xml:space="preserve">  In </w:t>
      </w:r>
      <w:r>
        <w:rPr>
          <w:rFonts w:ascii="arial" w:eastAsia="arial" w:hAnsi="arial" w:cs="arial"/>
          <w:b/>
          <w:i/>
          <w:color w:val="000000"/>
          <w:sz w:val="20"/>
          <w:lang w:val="en-US" w:eastAsia="en-US" w:bidi="ar-SA"/>
        </w:rPr>
        <w:t>Slezak v. ICBC</w:t>
      </w:r>
      <w:r>
        <w:rPr>
          <w:rFonts w:ascii="arial" w:eastAsia="arial" w:hAnsi="arial" w:cs="arial"/>
          <w:color w:val="000000"/>
          <w:sz w:val="20"/>
          <w:lang w:val="en-US" w:eastAsia="en-US" w:bidi="ar-SA"/>
        </w:rPr>
        <w:t xml:space="preserve">, </w:t>
      </w:r>
      <w:hyperlink r:id="rId492" w:history="1">
        <w:r>
          <w:rPr>
            <w:rFonts w:ascii="arial" w:eastAsia="arial" w:hAnsi="arial" w:cs="arial"/>
            <w:i/>
            <w:color w:val="0077CC"/>
            <w:sz w:val="20"/>
            <w:u w:val="single"/>
            <w:shd w:val="clear" w:color="auto" w:fill="FFFFFF"/>
            <w:lang w:val="en-US" w:eastAsia="en-US" w:bidi="ar-SA"/>
          </w:rPr>
          <w:t>2003 BCSC 1679</w:t>
        </w:r>
      </w:hyperlink>
      <w:r>
        <w:rPr>
          <w:rFonts w:ascii="arial" w:eastAsia="arial" w:hAnsi="arial" w:cs="arial"/>
          <w:color w:val="000000"/>
          <w:sz w:val="20"/>
          <w:lang w:val="en-US" w:eastAsia="en-US" w:bidi="ar-SA"/>
        </w:rPr>
        <w:t>, the plaintiff's vehicle was struck from behind with significant force. The plaintiff was not rendered unconscious and pulled her car off the road in order to exchange information with the drivers of the vehicle which had struck her and the car that she had struck. The driver of a truck that had apparently hit her asked her if she was ok and she replied that she was "fine but in shock". She did not ask him if he was the person who had hit her because "my mind wasn't there to ask questions like that, it was still reeling from the fact that I had been in an accident." She deposed that she was trying to focus on calling 911 and believed that everyone would remain at the scene until the police arrived. She did not think to take down his licence plate number. In those circumstances, the chambers judge concluded that she had taken all reasonable efforts in the circumstances to ascertain the identity of the unknown driver. He noted that "reasonable" is synonymous with "logical, sensible, and fair" and not "absurd, whimsical or unwarranted."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41</w:t>
      </w:r>
      <w:r>
        <w:rPr>
          <w:rFonts w:ascii="arial" w:eastAsia="arial" w:hAnsi="arial" w:cs="arial"/>
          <w:color w:val="000000"/>
          <w:sz w:val="20"/>
          <w:lang w:val="en-US" w:eastAsia="en-US" w:bidi="ar-SA"/>
        </w:rPr>
        <w:t xml:space="preserve">  In </w:t>
      </w:r>
      <w:r>
        <w:rPr>
          <w:rFonts w:ascii="arial" w:eastAsia="arial" w:hAnsi="arial" w:cs="arial"/>
          <w:b/>
          <w:i/>
          <w:color w:val="000000"/>
          <w:sz w:val="20"/>
          <w:lang w:val="en-US" w:eastAsia="en-US" w:bidi="ar-SA"/>
        </w:rPr>
        <w:t>Liao v. Doe,</w:t>
      </w:r>
      <w:r>
        <w:rPr>
          <w:rFonts w:ascii="arial" w:eastAsia="arial" w:hAnsi="arial" w:cs="arial"/>
          <w:color w:val="000000"/>
          <w:sz w:val="20"/>
          <w:lang w:val="en-US" w:eastAsia="en-US" w:bidi="ar-SA"/>
        </w:rPr>
        <w:t xml:space="preserve"> </w:t>
      </w:r>
      <w:hyperlink r:id="rId493" w:history="1">
        <w:r>
          <w:rPr>
            <w:rFonts w:ascii="arial" w:eastAsia="arial" w:hAnsi="arial" w:cs="arial"/>
            <w:i/>
            <w:color w:val="0077CC"/>
            <w:sz w:val="20"/>
            <w:u w:val="single"/>
            <w:shd w:val="clear" w:color="auto" w:fill="FFFFFF"/>
            <w:lang w:val="en-US" w:eastAsia="en-US" w:bidi="ar-SA"/>
          </w:rPr>
          <w:t>2005 BCSC 431</w:t>
        </w:r>
      </w:hyperlink>
      <w:r>
        <w:rPr>
          <w:rFonts w:ascii="arial" w:eastAsia="arial" w:hAnsi="arial" w:cs="arial"/>
          <w:color w:val="000000"/>
          <w:sz w:val="20"/>
          <w:lang w:val="en-US" w:eastAsia="en-US" w:bidi="ar-SA"/>
        </w:rPr>
        <w:t>, the plaintiff's vehicle was struck in the rear by a driver who initially offered her money not to phone the police. The plaintiff declined and instead asked for identification but agreed, at the unknown driver's suggestion, to move out of rush hour traffic to another location to exchange information. The unknown driver fled. The summary trial judge found that Ms. Liao had satisfied her obligations under s. 24</w:t>
      </w:r>
      <w:r>
        <w:rPr>
          <w:rFonts w:ascii="arial" w:eastAsia="arial" w:hAnsi="arial" w:cs="arial"/>
          <w:b/>
          <w:i/>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42</w:t>
      </w:r>
      <w:r>
        <w:rPr>
          <w:rFonts w:ascii="arial" w:eastAsia="arial" w:hAnsi="arial" w:cs="arial"/>
          <w:color w:val="000000"/>
          <w:sz w:val="20"/>
          <w:lang w:val="en-US" w:eastAsia="en-US" w:bidi="ar-SA"/>
        </w:rPr>
        <w:t xml:space="preserve">  In </w:t>
      </w:r>
      <w:r>
        <w:rPr>
          <w:rFonts w:ascii="arial" w:eastAsia="arial" w:hAnsi="arial" w:cs="arial"/>
          <w:b/>
          <w:i/>
          <w:color w:val="000000"/>
          <w:sz w:val="20"/>
          <w:lang w:val="en-US" w:eastAsia="en-US" w:bidi="ar-SA"/>
        </w:rPr>
        <w:t>Holloway v. ICBC,</w:t>
      </w:r>
      <w:r>
        <w:rPr>
          <w:rFonts w:ascii="arial" w:eastAsia="arial" w:hAnsi="arial" w:cs="arial"/>
          <w:color w:val="000000"/>
          <w:sz w:val="20"/>
          <w:lang w:val="en-US" w:eastAsia="en-US" w:bidi="ar-SA"/>
        </w:rPr>
        <w:t xml:space="preserve"> </w:t>
      </w:r>
      <w:hyperlink r:id="rId494" w:history="1">
        <w:r>
          <w:rPr>
            <w:rFonts w:ascii="arial" w:eastAsia="arial" w:hAnsi="arial" w:cs="arial"/>
            <w:i/>
            <w:color w:val="0077CC"/>
            <w:sz w:val="20"/>
            <w:u w:val="single"/>
            <w:shd w:val="clear" w:color="auto" w:fill="FFFFFF"/>
            <w:lang w:val="en-US" w:eastAsia="en-US" w:bidi="ar-SA"/>
          </w:rPr>
          <w:t>2006 BCSC 135</w:t>
        </w:r>
      </w:hyperlink>
      <w:r>
        <w:rPr>
          <w:rFonts w:ascii="arial" w:eastAsia="arial" w:hAnsi="arial" w:cs="arial"/>
          <w:color w:val="000000"/>
          <w:sz w:val="20"/>
          <w:lang w:val="en-US" w:eastAsia="en-US" w:bidi="ar-SA"/>
        </w:rPr>
        <w:t>, ICBC sought to have the claim against it dismissed. There, the plaintiff was a pedestrian who was struck by a taxi. She had a brief conversation with the taxi driver but then walked away to get her composure. The taxi driver had pulled into a parking lot and got out to inspect his vehicle. When "she snapped out of her shock", the plaintiff returned to get his information but he had left. In her examination for discovery, she agreed that if she had thought about it, she would have had time to look at the writing on the side of the cab, the licence plate number and the driver's name. Nevertheless, the chambers judge found that she had made all reasonable efforts to get his identity considering her position and condition.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43</w:t>
      </w:r>
      <w:r>
        <w:rPr>
          <w:rFonts w:ascii="arial" w:eastAsia="arial" w:hAnsi="arial" w:cs="arial"/>
          <w:color w:val="000000"/>
          <w:sz w:val="20"/>
          <w:lang w:val="en-US" w:eastAsia="en-US" w:bidi="ar-SA"/>
        </w:rPr>
        <w:t xml:space="preserve">  In </w:t>
      </w:r>
      <w:r>
        <w:rPr>
          <w:rFonts w:ascii="arial" w:eastAsia="arial" w:hAnsi="arial" w:cs="arial"/>
          <w:b/>
          <w:i/>
          <w:color w:val="000000"/>
          <w:sz w:val="20"/>
          <w:lang w:val="en-US" w:eastAsia="en-US" w:bidi="ar-SA"/>
        </w:rPr>
        <w:t>Pollock v. ICBC</w:t>
      </w:r>
      <w:r>
        <w:rPr>
          <w:rFonts w:ascii="arial" w:eastAsia="arial" w:hAnsi="arial" w:cs="arial"/>
          <w:color w:val="000000"/>
          <w:sz w:val="20"/>
          <w:lang w:val="en-US" w:eastAsia="en-US" w:bidi="ar-SA"/>
        </w:rPr>
        <w:t xml:space="preserve">, </w:t>
      </w:r>
      <w:hyperlink r:id="rId495" w:history="1">
        <w:r>
          <w:rPr>
            <w:rFonts w:ascii="arial" w:eastAsia="arial" w:hAnsi="arial" w:cs="arial"/>
            <w:i/>
            <w:color w:val="0077CC"/>
            <w:sz w:val="20"/>
            <w:u w:val="single"/>
            <w:shd w:val="clear" w:color="auto" w:fill="FFFFFF"/>
            <w:lang w:val="en-US" w:eastAsia="en-US" w:bidi="ar-SA"/>
          </w:rPr>
          <w:t>2006 BCSC 791</w:t>
        </w:r>
      </w:hyperlink>
      <w:r>
        <w:rPr>
          <w:rFonts w:ascii="arial" w:eastAsia="arial" w:hAnsi="arial" w:cs="arial"/>
          <w:color w:val="000000"/>
          <w:sz w:val="20"/>
          <w:lang w:val="en-US" w:eastAsia="en-US" w:bidi="ar-SA"/>
        </w:rPr>
        <w:t>, the plaintiff's vehicle was struck from the rear at night. She called 911 and while she was on that call, a man who she assumed was the driver of the other vehicle, came up to her window and asked her to move her vehicle. She said "no" and he disappeared. The plaintiff was "in shock" and after checking on her passengers, she removed a pen and paper from the glove box to write down the particulars of the other driver and vehicle. When she got out of her car, she found the other man had left. The summary trial judge concluded that the plaintiff had acted reasonably.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44</w:t>
      </w:r>
      <w:r>
        <w:rPr>
          <w:rFonts w:ascii="arial" w:eastAsia="arial" w:hAnsi="arial" w:cs="arial"/>
          <w:color w:val="000000"/>
          <w:sz w:val="20"/>
          <w:lang w:val="en-US" w:eastAsia="en-US" w:bidi="ar-SA"/>
        </w:rPr>
        <w:t xml:space="preserve">  The defendant relies on </w:t>
      </w:r>
      <w:r>
        <w:rPr>
          <w:rFonts w:ascii="arial" w:eastAsia="arial" w:hAnsi="arial" w:cs="arial"/>
          <w:b/>
          <w:i/>
          <w:color w:val="000000"/>
          <w:sz w:val="20"/>
          <w:lang w:val="en-US" w:eastAsia="en-US" w:bidi="ar-SA"/>
        </w:rPr>
        <w:t>Leggett</w:t>
      </w:r>
      <w:r>
        <w:rPr>
          <w:rFonts w:ascii="arial" w:eastAsia="arial" w:hAnsi="arial" w:cs="arial"/>
          <w:color w:val="000000"/>
          <w:sz w:val="20"/>
          <w:lang w:val="en-US" w:eastAsia="en-US" w:bidi="ar-SA"/>
        </w:rPr>
        <w:t xml:space="preserve"> and the following cases.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45</w:t>
      </w:r>
      <w:r>
        <w:rPr>
          <w:rFonts w:ascii="arial" w:eastAsia="arial" w:hAnsi="arial" w:cs="arial"/>
          <w:color w:val="000000"/>
          <w:sz w:val="20"/>
          <w:lang w:val="en-US" w:eastAsia="en-US" w:bidi="ar-SA"/>
        </w:rPr>
        <w:t xml:space="preserve">  In </w:t>
      </w:r>
      <w:r>
        <w:rPr>
          <w:rFonts w:ascii="arial" w:eastAsia="arial" w:hAnsi="arial" w:cs="arial"/>
          <w:b/>
          <w:i/>
          <w:color w:val="000000"/>
          <w:sz w:val="20"/>
          <w:lang w:val="en-US" w:eastAsia="en-US" w:bidi="ar-SA"/>
        </w:rPr>
        <w:t>Houniet v. ICBC</w:t>
      </w:r>
      <w:r>
        <w:rPr>
          <w:rFonts w:ascii="arial" w:eastAsia="arial" w:hAnsi="arial" w:cs="arial"/>
          <w:color w:val="000000"/>
          <w:sz w:val="20"/>
          <w:lang w:val="en-US" w:eastAsia="en-US" w:bidi="ar-SA"/>
        </w:rPr>
        <w:t xml:space="preserve">, </w:t>
      </w:r>
      <w:hyperlink r:id="rId496" w:history="1">
        <w:r>
          <w:rPr>
            <w:rFonts w:ascii="arial" w:eastAsia="arial" w:hAnsi="arial" w:cs="arial"/>
            <w:i/>
            <w:color w:val="0077CC"/>
            <w:sz w:val="20"/>
            <w:u w:val="single"/>
            <w:shd w:val="clear" w:color="auto" w:fill="FFFFFF"/>
            <w:lang w:val="en-US" w:eastAsia="en-US" w:bidi="ar-SA"/>
          </w:rPr>
          <w:t>[1982] B.C.J. No. 692</w:t>
        </w:r>
      </w:hyperlink>
      <w:r>
        <w:rPr>
          <w:rFonts w:ascii="arial" w:eastAsia="arial" w:hAnsi="arial" w:cs="arial"/>
          <w:color w:val="000000"/>
          <w:sz w:val="20"/>
          <w:lang w:val="en-US" w:eastAsia="en-US" w:bidi="ar-SA"/>
        </w:rPr>
        <w:t xml:space="preserve"> (S.C.), the Court concluded that the plaintiff, who was thrown from his motorcycle and suffered serious injuries and taken to hospital after the collision, was obviously in no condition to ascertain the identity of the other driver at the time of the accident. Sheppard Co. Ct. J. described the purpose of s. 24(5) [then s. 23(5)] at paragraph 23:</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It is an attempt to discourage persons who have suffered damage or injury as a result of their own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trying to recover compensation for that damage or injury by inventing an unknown driver of another vehicle on whom they can blame the accident. In every case where a claim is made under section [24], a suspicion will exist that the unknown driver has been "invented". Where any evidence exists that supports that suspicion the Courts must be especially alert to the danger of a fraud. However in my view, subsection (5) should not be interpreted in such a manner as to deprive a plaintiff of his right to sue under subsection (1) where there is no evidence supporting the natural suspicion that might be described as inherent to the type of action and the plaintiff has made all reasonable efforts to ascertain the identity of the unknown driver.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46</w:t>
      </w:r>
      <w:r>
        <w:rPr>
          <w:rFonts w:ascii="arial" w:eastAsia="arial" w:hAnsi="arial" w:cs="arial"/>
          <w:color w:val="000000"/>
          <w:sz w:val="20"/>
          <w:lang w:val="en-US" w:eastAsia="en-US" w:bidi="ar-SA"/>
        </w:rPr>
        <w:t>  In this case, there is no suspicion that the unknown driver was "invented". Although Ms. Hocaluk's injuries were far less than those of Mr. Houniet, each case must be decided on its own facts.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47</w:t>
      </w:r>
      <w:r>
        <w:rPr>
          <w:rFonts w:ascii="arial" w:eastAsia="arial" w:hAnsi="arial" w:cs="arial"/>
          <w:color w:val="000000"/>
          <w:sz w:val="20"/>
          <w:lang w:val="en-US" w:eastAsia="en-US" w:bidi="ar-SA"/>
        </w:rPr>
        <w:t xml:space="preserve">  In </w:t>
      </w:r>
      <w:r>
        <w:rPr>
          <w:rFonts w:ascii="arial" w:eastAsia="arial" w:hAnsi="arial" w:cs="arial"/>
          <w:b/>
          <w:i/>
          <w:color w:val="000000"/>
          <w:sz w:val="20"/>
          <w:lang w:val="en-US" w:eastAsia="en-US" w:bidi="ar-SA"/>
        </w:rPr>
        <w:t>Smoluk v. ICBC</w:t>
      </w:r>
      <w:r>
        <w:rPr>
          <w:rFonts w:ascii="arial" w:eastAsia="arial" w:hAnsi="arial" w:cs="arial"/>
          <w:color w:val="000000"/>
          <w:sz w:val="20"/>
          <w:lang w:val="en-US" w:eastAsia="en-US" w:bidi="ar-SA"/>
        </w:rPr>
        <w:t xml:space="preserve">, </w:t>
      </w:r>
      <w:hyperlink r:id="rId497" w:history="1">
        <w:r>
          <w:rPr>
            <w:rFonts w:ascii="arial" w:eastAsia="arial" w:hAnsi="arial" w:cs="arial"/>
            <w:i/>
            <w:color w:val="0077CC"/>
            <w:sz w:val="20"/>
            <w:u w:val="single"/>
            <w:shd w:val="clear" w:color="auto" w:fill="FFFFFF"/>
            <w:lang w:val="en-US" w:eastAsia="en-US" w:bidi="ar-SA"/>
          </w:rPr>
          <w:t>[1993] B.C.J. 3125</w:t>
        </w:r>
      </w:hyperlink>
      <w:r>
        <w:rPr>
          <w:rFonts w:ascii="arial" w:eastAsia="arial" w:hAnsi="arial" w:cs="arial"/>
          <w:color w:val="000000"/>
          <w:sz w:val="20"/>
          <w:lang w:val="en-US" w:eastAsia="en-US" w:bidi="ar-SA"/>
        </w:rPr>
        <w:t xml:space="preserve"> (C.A.), the plaintiff was struck from behind by a small blue car on a bridge. Both drivers drove off the bridge to a nearby parking lot. The unknown driver got out of her car and, as the plaintiff was getting out, said that there was no damage and drove away. The plaintiff was unable to get her name or driver's licence number but attempted to take down the licence plate number. The fact that she wrote down the wrong number did not indicate unreasonableness in circumstances where the wrongdoer had precipitously departed. Mr. Thomas submits that in contrast to the facts in that case, the truck driver did not depart "precipitously".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48</w:t>
      </w:r>
      <w:r>
        <w:rPr>
          <w:rFonts w:ascii="arial" w:eastAsia="arial" w:hAnsi="arial" w:cs="arial"/>
          <w:color w:val="000000"/>
          <w:sz w:val="20"/>
          <w:lang w:val="en-US" w:eastAsia="en-US" w:bidi="ar-SA"/>
        </w:rPr>
        <w:t xml:space="preserve">  In </w:t>
      </w:r>
      <w:r>
        <w:rPr>
          <w:rFonts w:ascii="arial" w:eastAsia="arial" w:hAnsi="arial" w:cs="arial"/>
          <w:b/>
          <w:i/>
          <w:color w:val="000000"/>
          <w:sz w:val="20"/>
          <w:lang w:val="en-US" w:eastAsia="en-US" w:bidi="ar-SA"/>
        </w:rPr>
        <w:t>Burley v. ICBC</w:t>
      </w:r>
      <w:r>
        <w:rPr>
          <w:rFonts w:ascii="arial" w:eastAsia="arial" w:hAnsi="arial" w:cs="arial"/>
          <w:color w:val="000000"/>
          <w:sz w:val="20"/>
          <w:lang w:val="en-US" w:eastAsia="en-US" w:bidi="ar-SA"/>
        </w:rPr>
        <w:t xml:space="preserve">, </w:t>
      </w:r>
      <w:hyperlink r:id="rId498" w:history="1">
        <w:r>
          <w:rPr>
            <w:rFonts w:ascii="arial" w:eastAsia="arial" w:hAnsi="arial" w:cs="arial"/>
            <w:i/>
            <w:color w:val="0077CC"/>
            <w:sz w:val="20"/>
            <w:u w:val="single"/>
            <w:shd w:val="clear" w:color="auto" w:fill="FFFFFF"/>
            <w:lang w:val="en-US" w:eastAsia="en-US" w:bidi="ar-SA"/>
          </w:rPr>
          <w:t>2003 BCSC 1837</w:t>
        </w:r>
      </w:hyperlink>
      <w:r>
        <w:rPr>
          <w:rFonts w:ascii="arial" w:eastAsia="arial" w:hAnsi="arial" w:cs="arial"/>
          <w:color w:val="000000"/>
          <w:sz w:val="20"/>
          <w:lang w:val="en-US" w:eastAsia="en-US" w:bidi="ar-SA"/>
        </w:rPr>
        <w:t xml:space="preserve">, the plaintiff was struck and injured by a van when she was in a marked crosswalk and the van left the scene. Her claim was denied on the basis that she was in front of the van when she was struck and had the opportunity to record the licence plate at that time. She did not shout at the driver to stop or respond when he apologized. However, this case is on all fours with </w:t>
      </w:r>
      <w:r>
        <w:rPr>
          <w:rFonts w:ascii="arial" w:eastAsia="arial" w:hAnsi="arial" w:cs="arial"/>
          <w:b/>
          <w:i/>
          <w:color w:val="000000"/>
          <w:sz w:val="20"/>
          <w:lang w:val="en-US" w:eastAsia="en-US" w:bidi="ar-SA"/>
        </w:rPr>
        <w:t>Leggett</w:t>
      </w:r>
      <w:r>
        <w:rPr>
          <w:rFonts w:ascii="arial" w:eastAsia="arial" w:hAnsi="arial" w:cs="arial"/>
          <w:color w:val="000000"/>
          <w:sz w:val="20"/>
          <w:lang w:val="en-US" w:eastAsia="en-US" w:bidi="ar-SA"/>
        </w:rPr>
        <w:t>as the reason she did not take immediate steps to identify the driver was because she did not think that she had been injured.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49</w:t>
      </w:r>
      <w:r>
        <w:rPr>
          <w:rFonts w:ascii="arial" w:eastAsia="arial" w:hAnsi="arial" w:cs="arial"/>
          <w:color w:val="000000"/>
          <w:sz w:val="20"/>
          <w:lang w:val="en-US" w:eastAsia="en-US" w:bidi="ar-SA"/>
        </w:rPr>
        <w:t xml:space="preserve">  In </w:t>
      </w:r>
      <w:r>
        <w:rPr>
          <w:rFonts w:ascii="arial" w:eastAsia="arial" w:hAnsi="arial" w:cs="arial"/>
          <w:b/>
          <w:i/>
          <w:color w:val="000000"/>
          <w:sz w:val="20"/>
          <w:lang w:val="en-US" w:eastAsia="en-US" w:bidi="ar-SA"/>
        </w:rPr>
        <w:t>Podowski v. ICBC</w:t>
      </w:r>
      <w:r>
        <w:rPr>
          <w:rFonts w:ascii="arial" w:eastAsia="arial" w:hAnsi="arial" w:cs="arial"/>
          <w:color w:val="000000"/>
          <w:sz w:val="20"/>
          <w:lang w:val="en-US" w:eastAsia="en-US" w:bidi="ar-SA"/>
        </w:rPr>
        <w:t xml:space="preserve">, </w:t>
      </w:r>
      <w:hyperlink r:id="rId499" w:history="1">
        <w:r>
          <w:rPr>
            <w:rFonts w:ascii="arial" w:eastAsia="arial" w:hAnsi="arial" w:cs="arial"/>
            <w:i/>
            <w:color w:val="0077CC"/>
            <w:sz w:val="20"/>
            <w:u w:val="single"/>
            <w:shd w:val="clear" w:color="auto" w:fill="FFFFFF"/>
            <w:lang w:val="en-US" w:eastAsia="en-US" w:bidi="ar-SA"/>
          </w:rPr>
          <w:t>[1993] B.C.J. No. 2124</w:t>
        </w:r>
      </w:hyperlink>
      <w:r>
        <w:rPr>
          <w:rFonts w:ascii="arial" w:eastAsia="arial" w:hAnsi="arial" w:cs="arial"/>
          <w:color w:val="000000"/>
          <w:sz w:val="20"/>
          <w:lang w:val="en-US" w:eastAsia="en-US" w:bidi="ar-SA"/>
        </w:rPr>
        <w:t xml:space="preserve"> (S.C.), the plaintiff's vehicle was struck by another vehicle on the Georgia Viaduct in Vancouver which continued on and left the scene. The plaintiff drove to the side of the ramp and stopped. She did not try to wave down any other motorists because she was "flustered and upset". She drove off the ramp and phoned her father and the police. In dismissing her claim, the trial judge found that she had made no efforts to find witnesses at the scene of the accident and put no advertisement in any newspaper to find them, despite the police officers' advice that she should do so. In this case, there is no suggestion that Ms. Hocaluk failed to make reasonable efforts after she left the accident scene.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50</w:t>
      </w:r>
      <w:r>
        <w:rPr>
          <w:rFonts w:ascii="arial" w:eastAsia="arial" w:hAnsi="arial" w:cs="arial"/>
          <w:color w:val="000000"/>
          <w:sz w:val="20"/>
          <w:lang w:val="en-US" w:eastAsia="en-US" w:bidi="ar-SA"/>
        </w:rPr>
        <w:t xml:space="preserve">  Mr. Thomas submits that this case is significantly similar to that of </w:t>
      </w:r>
      <w:r>
        <w:rPr>
          <w:rFonts w:ascii="arial" w:eastAsia="arial" w:hAnsi="arial" w:cs="arial"/>
          <w:b/>
          <w:i/>
          <w:color w:val="000000"/>
          <w:sz w:val="20"/>
          <w:lang w:val="en-US" w:eastAsia="en-US" w:bidi="ar-SA"/>
        </w:rPr>
        <w:t>Skingsley v. ICBC</w:t>
      </w:r>
      <w:r>
        <w:rPr>
          <w:rFonts w:ascii="arial" w:eastAsia="arial" w:hAnsi="arial" w:cs="arial"/>
          <w:color w:val="000000"/>
          <w:sz w:val="20"/>
          <w:lang w:val="en-US" w:eastAsia="en-US" w:bidi="ar-SA"/>
        </w:rPr>
        <w:t xml:space="preserve">, </w:t>
      </w:r>
      <w:hyperlink r:id="rId500" w:history="1">
        <w:r>
          <w:rPr>
            <w:rFonts w:ascii="arial" w:eastAsia="arial" w:hAnsi="arial" w:cs="arial"/>
            <w:i/>
            <w:color w:val="0077CC"/>
            <w:sz w:val="20"/>
            <w:u w:val="single"/>
            <w:shd w:val="clear" w:color="auto" w:fill="FFFFFF"/>
            <w:lang w:val="en-US" w:eastAsia="en-US" w:bidi="ar-SA"/>
          </w:rPr>
          <w:t>[1995] B.C.J. No. 276</w:t>
        </w:r>
      </w:hyperlink>
      <w:r>
        <w:rPr>
          <w:rFonts w:ascii="arial" w:eastAsia="arial" w:hAnsi="arial" w:cs="arial"/>
          <w:color w:val="000000"/>
          <w:sz w:val="20"/>
          <w:lang w:val="en-US" w:eastAsia="en-US" w:bidi="ar-SA"/>
        </w:rPr>
        <w:t xml:space="preserve"> (S.C.). There, the plaintiff, a pedestrian who had been struck by a vehicle in the parking lot of a shopping mall, was found not to have made reasonable efforts to determine the name of the driver. The unidentified driver from his car asked the plaintiff if she was okay and the plaintiff replied, "no, I think I have broken my leg." She was astonished that the driver then drove off and said so several times to the people who helped her inside the mall. On the way inside, the unidentified driver came up to them and said "I'm really sorry." The plaintiff did not respond and said nothing to him. She assumed that he was going to join the people assisting her. She did not ask for his particulars or ask any of the people assisting her to get them. She had the presence of mind to have a clerk phone a friend to care for her dogs. She reported the accident to the police while she was in the hospital but made no efforts before that time to establish the driver's identity.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51</w:t>
      </w:r>
      <w:r>
        <w:rPr>
          <w:rFonts w:ascii="arial" w:eastAsia="arial" w:hAnsi="arial" w:cs="arial"/>
          <w:color w:val="000000"/>
          <w:sz w:val="20"/>
          <w:lang w:val="en-US" w:eastAsia="en-US" w:bidi="ar-SA"/>
        </w:rPr>
        <w:t>  The judge found that she had not asked him to stay and had not been duped or lulled into thinking that he would do so. She had broken her ankle and was in pain. Although she also described herself as being in shock, the judge found that there was no medical evidence of shock. Her actions bespoke an organized and functioning memory and did not suggest she was confused or disoriented.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52</w:t>
      </w:r>
      <w:r>
        <w:rPr>
          <w:rFonts w:ascii="arial" w:eastAsia="arial" w:hAnsi="arial" w:cs="arial"/>
          <w:color w:val="000000"/>
          <w:sz w:val="20"/>
          <w:lang w:val="en-US" w:eastAsia="en-US" w:bidi="ar-SA"/>
        </w:rPr>
        <w:t xml:space="preserve">  In </w:t>
      </w:r>
      <w:r>
        <w:rPr>
          <w:rFonts w:ascii="arial" w:eastAsia="arial" w:hAnsi="arial" w:cs="arial"/>
          <w:b/>
          <w:i/>
          <w:color w:val="000000"/>
          <w:sz w:val="20"/>
          <w:lang w:val="en-US" w:eastAsia="en-US" w:bidi="ar-SA"/>
        </w:rPr>
        <w:t>Liao,</w:t>
      </w:r>
      <w:r>
        <w:rPr>
          <w:rFonts w:ascii="arial" w:eastAsia="arial" w:hAnsi="arial" w:cs="arial"/>
          <w:color w:val="000000"/>
          <w:sz w:val="20"/>
          <w:lang w:val="en-US" w:eastAsia="en-US" w:bidi="ar-SA"/>
        </w:rPr>
        <w:t xml:space="preserve"> Melnick J. distinguished </w:t>
      </w:r>
      <w:r>
        <w:rPr>
          <w:rFonts w:ascii="arial" w:eastAsia="arial" w:hAnsi="arial" w:cs="arial"/>
          <w:b/>
          <w:i/>
          <w:color w:val="000000"/>
          <w:sz w:val="20"/>
          <w:lang w:val="en-US" w:eastAsia="en-US" w:bidi="ar-SA"/>
        </w:rPr>
        <w:t>Skingsley</w:t>
      </w:r>
      <w:r>
        <w:rPr>
          <w:rFonts w:ascii="arial" w:eastAsia="arial" w:hAnsi="arial" w:cs="arial"/>
          <w:color w:val="000000"/>
          <w:sz w:val="20"/>
          <w:lang w:val="en-US" w:eastAsia="en-US" w:bidi="ar-SA"/>
        </w:rPr>
        <w:t xml:space="preserve"> on the basis that in </w:t>
      </w:r>
      <w:r>
        <w:rPr>
          <w:rFonts w:ascii="arial" w:eastAsia="arial" w:hAnsi="arial" w:cs="arial"/>
          <w:b/>
          <w:i/>
          <w:color w:val="000000"/>
          <w:sz w:val="20"/>
          <w:lang w:val="en-US" w:eastAsia="en-US" w:bidi="ar-SA"/>
        </w:rPr>
        <w:t>Skingsley</w:t>
      </w:r>
      <w:r>
        <w:rPr>
          <w:rFonts w:ascii="arial" w:eastAsia="arial" w:hAnsi="arial" w:cs="arial"/>
          <w:color w:val="000000"/>
          <w:sz w:val="20"/>
          <w:lang w:val="en-US" w:eastAsia="en-US" w:bidi="ar-SA"/>
        </w:rPr>
        <w:t>, the plaintiff had a second opportunity to confront the unidentified driver and ask for his pertinent information after she had stated several times that she could not believe he had left the scene without identifying himself.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53</w:t>
      </w:r>
      <w:r>
        <w:rPr>
          <w:rFonts w:ascii="arial" w:eastAsia="arial" w:hAnsi="arial" w:cs="arial"/>
          <w:color w:val="000000"/>
          <w:sz w:val="20"/>
          <w:lang w:val="en-US" w:eastAsia="en-US" w:bidi="ar-SA"/>
        </w:rPr>
        <w:t xml:space="preserve">  In my respectful opinion, the numerous cases cited by counsel suggest that </w:t>
      </w:r>
      <w:r>
        <w:rPr>
          <w:rFonts w:ascii="arial" w:eastAsia="arial" w:hAnsi="arial" w:cs="arial"/>
          <w:b/>
          <w:i/>
          <w:color w:val="000000"/>
          <w:sz w:val="20"/>
          <w:lang w:val="en-US" w:eastAsia="en-US" w:bidi="ar-SA"/>
        </w:rPr>
        <w:t>Skingsley</w:t>
      </w:r>
      <w:r>
        <w:rPr>
          <w:rFonts w:ascii="arial" w:eastAsia="arial" w:hAnsi="arial" w:cs="arial"/>
          <w:color w:val="000000"/>
          <w:sz w:val="20"/>
          <w:lang w:val="en-US" w:eastAsia="en-US" w:bidi="ar-SA"/>
        </w:rPr>
        <w:t xml:space="preserve"> is out of step with the jurisprudence in this area.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Discussion: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54</w:t>
      </w:r>
      <w:r>
        <w:rPr>
          <w:rFonts w:ascii="arial" w:eastAsia="arial" w:hAnsi="arial" w:cs="arial"/>
          <w:color w:val="000000"/>
          <w:sz w:val="20"/>
          <w:lang w:val="en-US" w:eastAsia="en-US" w:bidi="ar-SA"/>
        </w:rPr>
        <w:t xml:space="preserve">  As our Court of Appeal stated in </w:t>
      </w:r>
      <w:r>
        <w:rPr>
          <w:rFonts w:ascii="arial" w:eastAsia="arial" w:hAnsi="arial" w:cs="arial"/>
          <w:b/>
          <w:i/>
          <w:color w:val="000000"/>
          <w:sz w:val="20"/>
          <w:lang w:val="en-US" w:eastAsia="en-US" w:bidi="ar-SA"/>
        </w:rPr>
        <w:t>Leggett</w:t>
      </w:r>
      <w:r>
        <w:rPr>
          <w:rFonts w:ascii="arial" w:eastAsia="arial" w:hAnsi="arial" w:cs="arial"/>
          <w:color w:val="000000"/>
          <w:sz w:val="20"/>
          <w:lang w:val="en-US" w:eastAsia="en-US" w:bidi="ar-SA"/>
        </w:rPr>
        <w:t>, the critical issue is whether Ms. Hocaluk "was in such a position and condition that it would be reasonable for [her] to discover and record the appropriate information". The test is not whether Ms. Hocaluk made "best efforts"; it is whether she made "reasonable efforts" to get the information.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55</w:t>
      </w:r>
      <w:r>
        <w:rPr>
          <w:rFonts w:ascii="arial" w:eastAsia="arial" w:hAnsi="arial" w:cs="arial"/>
          <w:color w:val="000000"/>
          <w:sz w:val="20"/>
          <w:lang w:val="en-US" w:eastAsia="en-US" w:bidi="ar-SA"/>
        </w:rPr>
        <w:t>  I find that Ms. Hocaluk was in shock and was confused and disoriented as a result of the accident. There were numerous indicia of that condition:</w:t>
      </w:r>
      <w:r>
        <w:rPr>
          <w:rFonts w:ascii="arial" w:eastAsia="arial" w:hAnsi="arial" w:cs="arial"/>
          <w:sz w:val="20"/>
          <w:lang w:val="en-US" w:eastAsia="en-US" w:bidi="ar-SA"/>
        </w:rPr>
        <w:cr/>
      </w:r>
    </w:p>
    <w:p>
      <w:pPr>
        <w:numPr>
          <w:numId w:val="1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accident she described was horrifying - being dragged out of her lane by the truck tractor, swung around in front of it, and spun around, ending up in the opposite lanes of traffic facing in the wrong direction;</w:t>
      </w:r>
    </w:p>
    <w:p>
      <w:pPr>
        <w:numPr>
          <w:numId w:val="2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She unwisely stayed in her car until the police arrived despite the fact that her car was facing the wrong way, blocking at least one lane of oncoming rush hour traffic;</w:t>
      </w:r>
    </w:p>
    <w:p>
      <w:pPr>
        <w:numPr>
          <w:numId w:val="2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She asked the elderly man to make a 911 call on her cell phone;</w:t>
      </w:r>
    </w:p>
    <w:p>
      <w:pPr>
        <w:numPr>
          <w:numId w:val="2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She thought she might have had a stroke; and</w:t>
      </w:r>
    </w:p>
    <w:p>
      <w:pPr>
        <w:numPr>
          <w:numId w:val="2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Constable Barritt described her as "somewhat shaken, upset, visibly rattled, and confused".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56</w:t>
      </w:r>
      <w:r>
        <w:rPr>
          <w:rFonts w:ascii="arial" w:eastAsia="arial" w:hAnsi="arial" w:cs="arial"/>
          <w:color w:val="000000"/>
          <w:sz w:val="20"/>
          <w:lang w:val="en-US" w:eastAsia="en-US" w:bidi="ar-SA"/>
        </w:rPr>
        <w:t xml:space="preserve">  Defence counsel asserts that here, as in </w:t>
      </w:r>
      <w:r>
        <w:rPr>
          <w:rFonts w:ascii="arial" w:eastAsia="arial" w:hAnsi="arial" w:cs="arial"/>
          <w:b/>
          <w:i/>
          <w:color w:val="000000"/>
          <w:sz w:val="20"/>
          <w:lang w:val="en-US" w:eastAsia="en-US" w:bidi="ar-SA"/>
        </w:rPr>
        <w:t>Skingsley</w:t>
      </w:r>
      <w:r>
        <w:rPr>
          <w:rFonts w:ascii="arial" w:eastAsia="arial" w:hAnsi="arial" w:cs="arial"/>
          <w:color w:val="000000"/>
          <w:sz w:val="20"/>
          <w:lang w:val="en-US" w:eastAsia="en-US" w:bidi="ar-SA"/>
        </w:rPr>
        <w:t xml:space="preserve">, there is no medical evidence of shock. However, I adopt the reasoning of the learned judge in </w:t>
      </w:r>
      <w:r>
        <w:rPr>
          <w:rFonts w:ascii="arial" w:eastAsia="arial" w:hAnsi="arial" w:cs="arial"/>
          <w:b/>
          <w:i/>
          <w:color w:val="000000"/>
          <w:sz w:val="20"/>
          <w:lang w:val="en-US" w:eastAsia="en-US" w:bidi="ar-SA"/>
        </w:rPr>
        <w:t>Pollock</w:t>
      </w:r>
      <w:r>
        <w:rPr>
          <w:rFonts w:ascii="arial" w:eastAsia="arial" w:hAnsi="arial" w:cs="arial"/>
          <w:color w:val="000000"/>
          <w:sz w:val="20"/>
          <w:lang w:val="en-US" w:eastAsia="en-US" w:bidi="ar-SA"/>
        </w:rPr>
        <w:t>, who made the following observation at paragraph 16, which I consider applicable here: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plaintiff has deposed that at the time she was in shock and did not know whether her car was driveable. Counsel for the defendant says that on the evidence she wasn't in shock; she was "merely shaken up." I do not consider this significant. I conclude that when the plaintiff says she was in shock she means that in a common sense of the word, that is to say, taken by surprise and confused. It would not be unusual that there would be a few moments before she pulled herself together.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57</w:t>
      </w:r>
      <w:r>
        <w:rPr>
          <w:rFonts w:ascii="arial" w:eastAsia="arial" w:hAnsi="arial" w:cs="arial"/>
          <w:color w:val="000000"/>
          <w:sz w:val="20"/>
          <w:lang w:val="en-US" w:eastAsia="en-US" w:bidi="ar-SA"/>
        </w:rPr>
        <w:t>  Ms. Hocaluk was injured. She had banged her head on the window frame and had a headache. Her hand and arm were completely numb and she could not regain feeling in them.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58</w:t>
      </w:r>
      <w:r>
        <w:rPr>
          <w:rFonts w:ascii="arial" w:eastAsia="arial" w:hAnsi="arial" w:cs="arial"/>
          <w:color w:val="000000"/>
          <w:sz w:val="20"/>
          <w:lang w:val="en-US" w:eastAsia="en-US" w:bidi="ar-SA"/>
        </w:rPr>
        <w:t>  The lighting conditions were dark between 7 and 8 a.m. in January, and the truck and its plate were dirty. I find that Ms. Hocaluk could not have seen the plate number from her position in the Mustang.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59</w:t>
      </w:r>
      <w:r>
        <w:rPr>
          <w:rFonts w:ascii="arial" w:eastAsia="arial" w:hAnsi="arial" w:cs="arial"/>
          <w:color w:val="000000"/>
          <w:sz w:val="20"/>
          <w:lang w:val="en-US" w:eastAsia="en-US" w:bidi="ar-SA"/>
        </w:rPr>
        <w:t>  I agree with Mr. Thomas that her versions of events at trial, in her Statement, and in her Addendum are inconsistent. In the Statement, she said that the truck driver told her that his dispatcher had told him to move his rig; he never came back. In the Addendum, she said that after he told her he would move his truck, he suggested that she also move her car; in response, she told him that she would stay where she was until the police arrived and he should stay at the scene as well. She said that he then "abruptly" walked away and she did not see him again. At trial, she testified that after she told him he should stay, he stood behind her car for a considerable period of time but he and his truck disappeared while the paramedics were attending to her.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60</w:t>
      </w:r>
      <w:r>
        <w:rPr>
          <w:rFonts w:ascii="arial" w:eastAsia="arial" w:hAnsi="arial" w:cs="arial"/>
          <w:color w:val="000000"/>
          <w:sz w:val="20"/>
          <w:lang w:val="en-US" w:eastAsia="en-US" w:bidi="ar-SA"/>
        </w:rPr>
        <w:t>  Any one of these three versions of events would, in my view, constitute reasonable efforts to ascertain his identity. In the first scenario, she expected the truck driver to return but he did not. In the second scenario, he left too abruptly for her to get his particulars. In the third scenario, she was duped or lulled into believing he would stay until the police arrived. The question is whether those three versions can all stand together.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61</w:t>
      </w:r>
      <w:r>
        <w:rPr>
          <w:rFonts w:ascii="arial" w:eastAsia="arial" w:hAnsi="arial" w:cs="arial"/>
          <w:color w:val="000000"/>
          <w:sz w:val="20"/>
          <w:lang w:val="en-US" w:eastAsia="en-US" w:bidi="ar-SA"/>
        </w:rPr>
        <w:t>  There is no doubt that the truck driver left his truck to go over and talk to Ms. Hocaluk in her car. That is confirmed by Mr. Dube who passed him on the roadway as he was returning to his vehicle. Neither the Statement nor the Addendum referred to all of the people with whom she talked at the scene. However, there is no question that she spoke to all of the people she described at trial.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62</w:t>
      </w:r>
      <w:r>
        <w:rPr>
          <w:rFonts w:ascii="arial" w:eastAsia="arial" w:hAnsi="arial" w:cs="arial"/>
          <w:color w:val="000000"/>
          <w:sz w:val="20"/>
          <w:lang w:val="en-US" w:eastAsia="en-US" w:bidi="ar-SA"/>
        </w:rPr>
        <w:t>  The circumstances regarding the taking of the Statement were not fully developed in evidence and the adjuster was not called to provide further detail. When Ms. Hocaluk gave her Statement, she had not yet been to the hospital and was still affected by the aftermath of the accident. She testified that she just answered the questions she was asked. It is not surprising that she did not volunteer a more fulsome description of the events. It is obvious that she was focused on the mechanics of the accident and her injuries. The Addendum, prepared by her and her lawyer two weeks later, describes the incident and its aftermath in more detail than the Statement. She agreed that it was based on information she had given her lawyer (who was not counsel at trial). It is not surprising that she was able to describe the events more fully in her discussions with her lawyer at a time when she was not in shock or distressed.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63</w:t>
      </w:r>
      <w:r>
        <w:rPr>
          <w:rFonts w:ascii="arial" w:eastAsia="arial" w:hAnsi="arial" w:cs="arial"/>
          <w:color w:val="000000"/>
          <w:sz w:val="20"/>
          <w:lang w:val="en-US" w:eastAsia="en-US" w:bidi="ar-SA"/>
        </w:rPr>
        <w:t>  The discrepancies between the Addendum and her evidence at trial relating to her interaction with the truck driver after the collision are troubling. No satisfactory explanation for those discrepancies emerged at trial. Nevertheless, I find her evidence at trial credible for a number of reasons.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64</w:t>
      </w:r>
      <w:r>
        <w:rPr>
          <w:rFonts w:ascii="arial" w:eastAsia="arial" w:hAnsi="arial" w:cs="arial"/>
          <w:color w:val="000000"/>
          <w:sz w:val="20"/>
          <w:lang w:val="en-US" w:eastAsia="en-US" w:bidi="ar-SA"/>
        </w:rPr>
        <w:t>  I observed Ms. Hocaluk testify at trial and conclude that she was a truthful witness. She was cross-examined extensively and defence counsel clearly appeared to have accepted or preferred the explanation she gave at trial. In argument, Mr. Thomas several times emphasized the fact that, after Ms. Hocaluk forcefully told the truck driver to stay and wait for the police, he had waited on the grass behind her car for a lengthy period of time. As a result, counsel's primary submission was that the plaintiff had ample time to obtain his particulars. However, in my opinion, her evidence at trial establishes that Ms. Hocaluk was "lulled or duped" into believing that the truck driver was going to stay until the police arrived.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65</w:t>
      </w:r>
      <w:r>
        <w:rPr>
          <w:rFonts w:ascii="arial" w:eastAsia="arial" w:hAnsi="arial" w:cs="arial"/>
          <w:color w:val="000000"/>
          <w:sz w:val="20"/>
          <w:lang w:val="en-US" w:eastAsia="en-US" w:bidi="ar-SA"/>
        </w:rPr>
        <w:t xml:space="preserve">  Further, the first scenario would entitle her to relief under s. 24 of the </w:t>
      </w:r>
      <w:r>
        <w:rPr>
          <w:rFonts w:ascii="arial" w:eastAsia="arial" w:hAnsi="arial" w:cs="arial"/>
          <w:b/>
          <w:i/>
          <w:color w:val="000000"/>
          <w:sz w:val="20"/>
          <w:lang w:val="en-US" w:eastAsia="en-US" w:bidi="ar-SA"/>
        </w:rPr>
        <w:t>Act</w:t>
      </w:r>
      <w:r>
        <w:rPr>
          <w:rFonts w:ascii="arial" w:eastAsia="arial" w:hAnsi="arial" w:cs="arial"/>
          <w:color w:val="000000"/>
          <w:sz w:val="20"/>
          <w:lang w:val="en-US" w:eastAsia="en-US" w:bidi="ar-SA"/>
        </w:rPr>
        <w:t>, as would the second scenario, which adds further supplementary detail. Accordingly, there would be no reason for Ms. Hocaluk to "make up" or fabricate a third version of events at trial.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66</w:t>
      </w:r>
      <w:r>
        <w:rPr>
          <w:rFonts w:ascii="arial" w:eastAsia="arial" w:hAnsi="arial" w:cs="arial"/>
          <w:color w:val="000000"/>
          <w:sz w:val="20"/>
          <w:lang w:val="en-US" w:eastAsia="en-US" w:bidi="ar-SA"/>
        </w:rPr>
        <w:t>  After considering all of the evidence, I find as a fact that Ms. Hocaluk believed that the truck driver was going to remain at the scene until the police arrived to take the particulars of both parties. Considering those circumstances, and Ms. Hocaluk's emotional and physical condition, I find that she was reasonably excused from taking more proactive steps to obtain the truck driver's particulars.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Conclusion: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67</w:t>
      </w:r>
      <w:r>
        <w:rPr>
          <w:rFonts w:ascii="arial" w:eastAsia="arial" w:hAnsi="arial" w:cs="arial"/>
          <w:color w:val="000000"/>
          <w:sz w:val="20"/>
          <w:lang w:val="en-US" w:eastAsia="en-US" w:bidi="ar-SA"/>
        </w:rPr>
        <w:t>  Ms. Hocaluk is entitled to judgment. Counsel advise that they have settled the issues of both liability and quantum. Ms. Hocaluk is entitled to her costs.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ALLAN J.</w:t>
      </w:r>
      <w:r>
        <w:rPr>
          <w:rFonts w:ascii="arial" w:eastAsia="arial" w:hAnsi="arial" w:cs="arial"/>
          <w:sz w:val="20"/>
          <w:lang w:val="en-US" w:eastAsia="en-US" w:bidi="ar-SA"/>
        </w:rPr>
        <w:cr/>
      </w:r>
    </w:p>
    <w:p>
      <w:pPr>
        <w:rPr>
          <w:rFonts w:ascii="arial" w:eastAsia="arial" w:hAnsi="arial" w:cs="arial"/>
          <w:sz w:val="20"/>
          <w:lang w:val="en-US" w:eastAsia="en-US" w:bidi="ar-SA"/>
        </w:rPr>
      </w:pPr>
    </w:p>
    <w:p>
      <w:pPr>
        <w:ind w:left="200"/>
        <w:rPr>
          <w:rFonts w:ascii="arial" w:eastAsia="arial" w:hAnsi="arial" w:cs="arial"/>
          <w:sz w:val="20"/>
          <w:lang w:val="en-US" w:eastAsia="en-US" w:bidi="ar-SA"/>
        </w:rPr>
        <w:sectPr>
          <w:type w:val="continuous"/>
          <w:pgMar w:top="840" w:right="1000" w:bottom="840" w:left="1000" w:header="400" w:footer="400"/>
          <w:pgNumType w:fmt="decimal"/>
          <w:cols w:space="720"/>
        </w:sectPr>
      </w:pPr>
      <w:r>
        <w:rPr>
          <w:rFonts w:ascii="arial" w:eastAsia="arial" w:hAnsi="arial" w:cs="arial"/>
          <w:sz w:val="20"/>
          <w:lang w:val="en-US" w:eastAsia="en-US" w:bidi="ar-SA"/>
        </w:rPr>
        <w:br/>
      </w:r>
      <w:r>
        <w:pict>
          <v:line id="_x0000_s1140" style="position:absolute;z-index:251877376" from="0,10pt" to="512pt,10pt" strokecolor="black" strokeweight="1pt">
            <v:stroke linestyle="single"/>
          </v:line>
        </w:pict>
      </w:r>
      <w:r>
        <w:rPr>
          <w:b/>
          <w:color w:val="767676"/>
          <w:sz w:val="16"/>
          <w:lang w:val="en-US" w:eastAsia="en-US" w:bidi="ar-SA"/>
        </w:rPr>
        <w:t>End of Document</w:t>
      </w:r>
    </w:p>
    <w:p>
      <w:pPr>
        <w:rPr>
          <w:rFonts w:ascii="arial" w:eastAsia="arial" w:hAnsi="arial" w:cs="arial"/>
          <w:sz w:val="20"/>
          <w:lang w:val="en-US" w:eastAsia="en-US" w:bidi="ar-SA"/>
        </w:rPr>
        <w:sectPr>
          <w:headerReference w:type="even" r:id="rId501"/>
          <w:headerReference w:type="default" r:id="rId502"/>
          <w:footerReference w:type="even" r:id="rId503"/>
          <w:footerReference w:type="default" r:id="rId504"/>
          <w:headerReference w:type="first" r:id="rId505"/>
          <w:footerReference w:type="first" r:id="rId506"/>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eastAsia="arial" w:hAnsi="Arial" w:cs="Arial"/>
          <w:b/>
          <w:bCs/>
          <w:kern w:val="32"/>
          <w:sz w:val="32"/>
          <w:szCs w:val="32"/>
          <w:lang w:val="en-US" w:eastAsia="en-US" w:bidi="ar-SA"/>
        </w:rPr>
      </w:pPr>
      <w:hyperlink r:id="rId507" w:history="1">
        <w:r>
          <w:rPr>
            <w:rFonts w:ascii="arial" w:eastAsia="arial" w:hAnsi="arial" w:cs="arial"/>
            <w:b/>
            <w:bCs/>
            <w:i/>
            <w:color w:val="0077CC"/>
            <w:kern w:val="32"/>
            <w:sz w:val="28"/>
            <w:szCs w:val="32"/>
            <w:u w:val="single"/>
            <w:shd w:val="clear" w:color="auto" w:fill="FFFFFF"/>
            <w:lang w:val="en-US" w:eastAsia="en-US" w:bidi="ar-SA"/>
          </w:rPr>
          <w:t>J.C. Creations Ltd. (c.o.b. Heavenly Bodies) v. Vancouver City Savings Credit Union, [2000] B.C.J. No. 2135</w:t>
        </w:r>
      </w:hyperlink>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Judgments</w:t>
      </w:r>
    </w:p>
    <w:p>
      <w:pPr>
        <w:rPr>
          <w:rFonts w:ascii="arial" w:eastAsia="arial" w:hAnsi="arial" w:cs="arial"/>
          <w:sz w:val="20"/>
          <w:lang w:val="en-US" w:eastAsia="en-US" w:bidi="ar-SA"/>
        </w:rPr>
      </w:pP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Vancouver, British Columbia</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Collver J.</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Heard: June 2, 2000.</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Judgment: October 25, 2000.</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Vancouver Registry No. C993830</w:t>
      </w:r>
    </w:p>
    <w:p>
      <w:pPr>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r>
        <w:rPr>
          <w:rFonts w:ascii="arial" w:eastAsia="arial" w:hAnsi="arial" w:cs="arial"/>
          <w:b/>
          <w:color w:val="000000"/>
          <w:sz w:val="20"/>
          <w:lang w:val="en-US" w:eastAsia="en-US" w:bidi="ar-SA"/>
        </w:rPr>
        <w:t>[2000] B.C.J. No. 2135</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2000 BCSC 1562</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100 A.C.W.S. (3d) 460</w:t>
      </w:r>
    </w:p>
    <w:p>
      <w:pPr>
        <w:spacing w:before="120" w:line="260" w:lineRule="atLeast"/>
        <w:rPr>
          <w:rFonts w:ascii="arial" w:eastAsia="arial" w:hAnsi="arial" w:cs="arial"/>
          <w:sz w:val="20"/>
          <w:lang w:val="en-US" w:eastAsia="en-US" w:bidi="ar-SA"/>
        </w:rPr>
      </w:pPr>
      <w:r>
        <w:rPr>
          <w:rFonts w:ascii="arial" w:eastAsia="arial" w:hAnsi="arial" w:cs="arial"/>
          <w:color w:val="000000"/>
          <w:sz w:val="20"/>
          <w:lang w:val="en-US" w:eastAsia="en-US" w:bidi="ar-SA"/>
        </w:rPr>
        <w:t>Between J.C. Creations Ltd. d.b.a. Heavenly Bodies, plaintiff, and Vancouver City Savings Credit Union, defendant, and Giselle Southworth a.k.a. Giselle Krone and H.B.M. Industries Ltd., third parties</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(18 paras.)</w:t>
      </w:r>
    </w:p>
    <w:p>
      <w:pPr>
        <w:keepNext/>
        <w:spacing w:before="12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Case Summary</w:t>
      </w:r>
    </w:p>
    <w:p>
      <w:pPr>
        <w:spacing w:line="60" w:lineRule="exact"/>
        <w:rPr>
          <w:rFonts w:ascii="arial" w:eastAsia="arial" w:hAnsi="arial" w:cs="arial"/>
          <w:sz w:val="20"/>
          <w:lang w:val="en-US" w:eastAsia="en-US" w:bidi="ar-SA"/>
        </w:rPr>
      </w:pPr>
      <w:r>
        <w:pict>
          <v:line id="_x0000_s1141" style="position:absolute;z-index:251682816"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bookmarkStart w:id="149" w:name="Keywords_22"/>
      <w:bookmarkEnd w:id="149"/>
      <w:r>
        <w:rPr>
          <w:rFonts w:ascii="arial" w:eastAsia="arial" w:hAnsi="arial" w:cs="arial"/>
          <w:b/>
          <w:color w:val="000000"/>
          <w:sz w:val="20"/>
          <w:lang w:val="en-US" w:eastAsia="en-US" w:bidi="ar-SA"/>
        </w:rPr>
        <w:t>Banks and banking — Cheques and orders drawn on deposits — Forged drawing of cheques — Liability of bank.</w:t>
      </w:r>
    </w:p>
    <w:p>
      <w:pPr>
        <w:rPr>
          <w:rFonts w:ascii="arial" w:eastAsia="arial" w:hAnsi="arial" w:cs="arial"/>
          <w:sz w:val="20"/>
          <w:lang w:val="en-US" w:eastAsia="en-US" w:bidi="ar-SA"/>
        </w:rPr>
      </w:pPr>
    </w:p>
    <w:tbl>
      <w:tblPr>
        <w:tblStyle w:val="TableNormal"/>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
      <w:tblGrid>
        <w:gridCol w:w="10225"/>
      </w:tblGrid>
      <w:tr>
        <w:tblPrEx>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Ex>
        <w:tc>
          <w:tcPr/>
          <w:p>
            <w:pPr>
              <w:rPr>
                <w:rFonts w:ascii="arial" w:eastAsia="arial" w:hAnsi="arial" w:cs="arial"/>
                <w:sz w:val="20"/>
                <w:lang w:val="en-US" w:eastAsia="en-US" w:bidi="ar-SA"/>
              </w:rPr>
            </w:pPr>
            <w:bookmarkStart w:id="150" w:name="Case Summary_21"/>
            <w:bookmarkEnd w:id="150"/>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Action by JC Creations against Vancouver City Savings Credit Union for damages for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breach of fiduciary duty, conversion and wrongful deprivation. One of Creations' labels was Heavenly Bodies. Creations' bookkeeper owned HBM Industries. She opened an account for this company at the Credit Union. She stamped Creations' cheques with the Heavenly Bodies address stamp and deposited them into this account. The amount misappropriated was $95,000. Creations claimed that the Credit Union was liable for conversion because it accepted these cheques for deposit into the bookkeeper's account. The Credit Union was strictly liable since it collected money for someone who was not entitled to it. </w:t>
            </w:r>
            <w:r>
              <w:rPr>
                <w:rFonts w:ascii="arial" w:eastAsia="arial" w:hAnsi="arial" w:cs="arial"/>
                <w:sz w:val="20"/>
                <w:lang w:val="en-US" w:eastAsia="en-US" w:bidi="ar-SA"/>
              </w:rPr>
              <w:cr/>
            </w:r>
          </w:p>
          <w:p>
            <w:pPr>
              <w:spacing w:before="120" w:line="260" w:lineRule="atLeast"/>
              <w:ind w:left="240"/>
              <w:jc w:val="both"/>
              <w:rPr>
                <w:rFonts w:ascii="arial" w:eastAsia="arial" w:hAnsi="arial" w:cs="arial"/>
                <w:sz w:val="20"/>
                <w:lang w:val="en-US" w:eastAsia="en-US" w:bidi="ar-SA"/>
              </w:rPr>
            </w:pPr>
            <w:bookmarkStart w:id="151" w:name="Holdings of Court_16"/>
            <w:bookmarkEnd w:id="151"/>
            <w:r>
              <w:rPr>
                <w:rFonts w:ascii="arial" w:eastAsia="arial" w:hAnsi="arial" w:cs="arial"/>
                <w:color w:val="000000"/>
                <w:sz w:val="20"/>
                <w:lang w:val="en-US" w:eastAsia="en-US" w:bidi="ar-SA"/>
              </w:rPr>
              <w:t>HELD: Action dismissed.</w:t>
            </w:r>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The issue in this case was not the common law tort of conversion. It was whether the Credit Union was entitled to the protection of the Bills of Exchange Act. The Act protected banks from liability for cheques received for deposit into customer's accounts. It gave the bank the status of a holder in due course even though it might not have given value to the customer. The Credit Union was not required to determine whether the bookkeeper was a legitimate endorser. There was no reason for the Credit Union to suspect that the bookkeeper engaged in sinister conduct. </w:t>
            </w:r>
            <w:r>
              <w:rPr>
                <w:rFonts w:ascii="arial" w:eastAsia="arial" w:hAnsi="arial" w:cs="arial"/>
                <w:sz w:val="20"/>
                <w:lang w:val="en-US" w:eastAsia="en-US" w:bidi="ar-SA"/>
              </w:rPr>
              <w:cr/>
            </w:r>
          </w:p>
          <w:p>
            <w:pPr>
              <w:rPr>
                <w:rFonts w:ascii="arial" w:eastAsia="arial" w:hAnsi="arial" w:cs="arial"/>
                <w:sz w:val="20"/>
                <w:lang w:val="en-US" w:eastAsia="en-US" w:bidi="ar-SA"/>
              </w:rPr>
            </w:pPr>
          </w:p>
        </w:tc>
      </w:tr>
    </w:tbl>
    <w:p>
      <w:pPr>
        <w:jc w:val="both"/>
        <w:rPr>
          <w:rFonts w:ascii="arial" w:eastAsia="arial" w:hAnsi="arial" w:cs="arial"/>
          <w:sz w:val="20"/>
          <w:lang w:val="en-US" w:eastAsia="en-US" w:bidi="ar-SA"/>
        </w:rPr>
      </w:pPr>
      <w:bookmarkStart w:id="152" w:name="Legislation Cited_16"/>
      <w:bookmarkEnd w:id="152"/>
      <w:r>
        <w:rPr>
          <w:rFonts w:ascii="arial" w:eastAsia="arial" w:hAnsi="arial" w:cs="arial"/>
          <w:sz w:val="20"/>
          <w:lang w:val="en-US" w:eastAsia="en-US" w:bidi="ar-SA"/>
        </w:rPr>
        <w:br/>
      </w:r>
    </w:p>
    <w:p>
      <w:pPr>
        <w:keepNext/>
        <w:spacing w:before="24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Statutes, Regulations and Rules Cited:</w:t>
      </w:r>
    </w:p>
    <w:p>
      <w:pPr>
        <w:spacing w:line="60" w:lineRule="exact"/>
        <w:rPr>
          <w:rFonts w:ascii="arial" w:eastAsia="arial" w:hAnsi="arial" w:cs="arial"/>
          <w:sz w:val="20"/>
          <w:lang w:val="en-US" w:eastAsia="en-US" w:bidi="ar-SA"/>
        </w:rPr>
      </w:pPr>
      <w:r>
        <w:pict>
          <v:line id="_x0000_s1142" style="position:absolute;z-index:251734016"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Bills of Exchange Act, </w:t>
      </w:r>
      <w:hyperlink r:id="rId508" w:history="1">
        <w:r>
          <w:rPr>
            <w:rFonts w:ascii="arial" w:eastAsia="arial" w:hAnsi="arial" w:cs="arial"/>
            <w:i/>
            <w:color w:val="0077CC"/>
            <w:sz w:val="20"/>
            <w:u w:val="single"/>
            <w:shd w:val="clear" w:color="auto" w:fill="FFFFFF"/>
            <w:lang w:val="en-US" w:eastAsia="en-US" w:bidi="ar-SA"/>
          </w:rPr>
          <w:t>R.S.C. 1985, c. B4, ss. 73</w:t>
        </w:r>
      </w:hyperlink>
      <w:r>
        <w:rPr>
          <w:rFonts w:ascii="arial" w:eastAsia="arial" w:hAnsi="arial" w:cs="arial"/>
          <w:color w:val="000000"/>
          <w:sz w:val="20"/>
          <w:lang w:val="en-US" w:eastAsia="en-US" w:bidi="ar-SA"/>
        </w:rPr>
        <w:t>(b), 165(3).</w:t>
      </w:r>
      <w:r>
        <w:rPr>
          <w:rFonts w:ascii="arial" w:eastAsia="arial" w:hAnsi="arial" w:cs="arial"/>
          <w:sz w:val="20"/>
          <w:lang w:val="en-US" w:eastAsia="en-US" w:bidi="ar-SA"/>
        </w:rPr>
        <w:cr/>
      </w:r>
    </w:p>
    <w:p>
      <w:pPr>
        <w:keepNext/>
        <w:spacing w:before="240" w:line="340" w:lineRule="atLeast"/>
        <w:rPr>
          <w:rFonts w:ascii="arial" w:eastAsia="arial" w:hAnsi="arial" w:cs="arial"/>
          <w:sz w:val="20"/>
          <w:lang w:val="en-US" w:eastAsia="en-US" w:bidi="ar-SA"/>
        </w:rPr>
      </w:pPr>
      <w:bookmarkStart w:id="153" w:name="Counsel_22"/>
      <w:bookmarkEnd w:id="153"/>
      <w:r>
        <w:rPr>
          <w:rFonts w:ascii="arial" w:eastAsia="arial" w:hAnsi="arial" w:cs="arial"/>
          <w:b/>
          <w:color w:val="000000"/>
          <w:sz w:val="28"/>
          <w:lang w:val="en-US" w:eastAsia="en-US" w:bidi="ar-SA"/>
        </w:rPr>
        <w:t>Counsel</w:t>
      </w:r>
    </w:p>
    <w:p>
      <w:pPr>
        <w:spacing w:line="60" w:lineRule="exact"/>
        <w:rPr>
          <w:rFonts w:ascii="arial" w:eastAsia="arial" w:hAnsi="arial" w:cs="arial"/>
          <w:sz w:val="20"/>
          <w:lang w:val="en-US" w:eastAsia="en-US" w:bidi="ar-SA"/>
        </w:rPr>
      </w:pPr>
      <w:r>
        <w:pict>
          <v:line id="_x0000_s1143" style="position:absolute;z-index:251785216"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W. Bryce Cabott, for the plaintiff. Scarlett R. McGladery, for the defendant.</w:t>
      </w:r>
      <w:r>
        <w:rPr>
          <w:rFonts w:ascii="arial" w:eastAsia="arial" w:hAnsi="arial" w:cs="arial"/>
          <w:sz w:val="20"/>
          <w:lang w:val="en-US" w:eastAsia="en-US" w:bidi="ar-SA"/>
        </w:rPr>
        <w:cr/>
      </w:r>
    </w:p>
    <w:p>
      <w:pPr>
        <w:spacing w:after="240"/>
        <w:rPr>
          <w:rFonts w:ascii="arial" w:eastAsia="arial" w:hAnsi="arial" w:cs="arial"/>
          <w:sz w:val="20"/>
          <w:lang w:val="en-US" w:eastAsia="en-US" w:bidi="ar-SA"/>
        </w:rPr>
      </w:pPr>
      <w:bookmarkStart w:id="154" w:name="Judgment_23"/>
      <w:bookmarkEnd w:id="154"/>
      <w:r>
        <w:pict>
          <v:line id="_x0000_s1144" style="position:absolute;z-index:251834368" from="0,12pt" to="512pt,12pt" strokecolor="#009ddb" strokeweight="1.5pt">
            <v:stroke linestyle="single"/>
          </v:line>
        </w:pict>
      </w:r>
    </w:p>
    <w:p>
      <w:pPr>
        <w:rPr>
          <w:rFonts w:ascii="arial" w:eastAsia="arial" w:hAnsi="arial" w:cs="arial"/>
          <w:sz w:val="20"/>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2037"/>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rFonts w:ascii="arial" w:eastAsia="arial" w:hAnsi="arial" w:cs="arial"/>
                <w:sz w:val="20"/>
                <w:lang w:val="en-US" w:eastAsia="en-US" w:bidi="ar-SA"/>
              </w:rPr>
            </w:pPr>
            <w:bookmarkStart w:id="155" w:name="COLLVER J."/>
            <w:bookmarkEnd w:id="155"/>
            <w:r>
              <w:rPr>
                <w:rFonts w:ascii="arial" w:eastAsia="arial" w:hAnsi="arial" w:cs="arial"/>
                <w:b/>
                <w:color w:val="000000"/>
                <w:sz w:val="30"/>
                <w:lang w:val="en-US" w:eastAsia="en-US" w:bidi="ar-SA"/>
              </w:rPr>
              <w:t>COLLVER J.</w:t>
            </w:r>
          </w:p>
        </w:tc>
      </w:tr>
    </w:tbl>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xml:space="preserve">   A bookkeeper wrongfully deposited to her own account numerous trade account cheques made payable to her employer. In a summary trial, the employer seeks damages from the credit union which accepted the deposits, alleging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breach of fiduciary duty, conversion, and wrongful deprivation.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THE EMPLOYEE'S MISCONDUCT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J.C. Creations Ltd. ("Creations"), manufactures sportswear under the following labels: Heavenly Bodies Sport; Media; 2Exel; Softwear and HB Golf.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Giselle Southworth was Creation's bookkeeper from May, 1997 to September, 1998 and, using a "Heavenly Bodies" address stamp, deposited more than 100 cheques (most made payable to "Heavenly Bodies") into a business account she opened at the Vancouver City Savings Credit Union ("the credit union"). The account was in the name "H.B.M. Industries Ltd.", a company which Ms. Southworth owned and controlled.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Although Jane Cotter, President of Creations, can only guess at the total number of cheques wrongfully deposited, the credit union's security officer deposed that there were about 150. Correspondence exhibited to Ms. Cotter's affidavit suggests that $95,106.77 was thus misappropriated.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THE ISSUE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xml:space="preserve">  Do the provisions of s. 165(3) of the Bills of Exchange Act, </w:t>
      </w:r>
      <w:hyperlink r:id="rId509" w:history="1">
        <w:r>
          <w:rPr>
            <w:rFonts w:ascii="arial" w:eastAsia="arial" w:hAnsi="arial" w:cs="arial"/>
            <w:i/>
            <w:color w:val="0077CC"/>
            <w:sz w:val="20"/>
            <w:u w:val="single"/>
            <w:shd w:val="clear" w:color="auto" w:fill="FFFFFF"/>
            <w:lang w:val="en-US" w:eastAsia="en-US" w:bidi="ar-SA"/>
          </w:rPr>
          <w:t>R.S.C. 1985, c. B-4</w:t>
        </w:r>
      </w:hyperlink>
      <w:r>
        <w:rPr>
          <w:rFonts w:ascii="arial" w:eastAsia="arial" w:hAnsi="arial" w:cs="arial"/>
          <w:color w:val="000000"/>
          <w:sz w:val="20"/>
          <w:lang w:val="en-US" w:eastAsia="en-US" w:bidi="ar-SA"/>
        </w:rPr>
        <w:t xml:space="preserve"> ("the Act") defeat Creation's claim of conversion? That section provides as follows:</w:t>
      </w:r>
      <w:r>
        <w:rPr>
          <w:rFonts w:ascii="arial" w:eastAsia="arial" w:hAnsi="arial" w:cs="arial"/>
          <w:sz w:val="20"/>
          <w:lang w:val="en-US" w:eastAsia="en-US" w:bidi="ar-SA"/>
        </w:rPr>
        <w:cr/>
      </w:r>
    </w:p>
    <w:p>
      <w:pPr>
        <w:numPr>
          <w:numId w:val="9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Where a cheque is delivered to a bank for deposit to the credit of a person and the bank credits him with the amount of the cheque, the bank acquires all the rights and powers of a holder in due course of the cheque.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DISCUSSION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With respect to conversion, counsel for Creations makes two assertions.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xml:space="preserve">  First, the credit union converted the cheques by dealing with them under the direction of someone not authorized to so deal with them and by making the proceeds available to someone other than "the person" rightfully entitled to possession: Boma Manufacturing Ltd. v. C.I.B.C., </w:t>
      </w:r>
      <w:hyperlink r:id="rId510" w:history="1">
        <w:r>
          <w:rPr>
            <w:rFonts w:ascii="arial" w:eastAsia="arial" w:hAnsi="arial" w:cs="arial"/>
            <w:i/>
            <w:color w:val="0077CC"/>
            <w:sz w:val="20"/>
            <w:u w:val="single"/>
            <w:shd w:val="clear" w:color="auto" w:fill="FFFFFF"/>
            <w:lang w:val="en-US" w:eastAsia="en-US" w:bidi="ar-SA"/>
          </w:rPr>
          <w:t>[1996] 3 S.C.R. 727</w:t>
        </w:r>
      </w:hyperlink>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xml:space="preserve">  Second, liability of the credit union is strict if conversion takes place, without regard to whether due care was taken: Groves-Raffin Construction Ltd. et al. v. Bank of Nova Scotia et al., </w:t>
      </w:r>
      <w:r>
        <w:rPr>
          <w:rFonts w:ascii="arial" w:eastAsia="arial" w:hAnsi="arial" w:cs="arial"/>
          <w:i/>
          <w:color w:val="000000"/>
          <w:sz w:val="20"/>
          <w:lang w:val="en-US" w:eastAsia="en-US" w:bidi="ar-SA"/>
        </w:rPr>
        <w:t>[1976] 2 W.W.R. 673</w:t>
      </w:r>
      <w:r>
        <w:rPr>
          <w:rFonts w:ascii="arial" w:eastAsia="arial" w:hAnsi="arial" w:cs="arial"/>
          <w:color w:val="000000"/>
          <w:sz w:val="20"/>
          <w:lang w:val="en-US" w:eastAsia="en-US" w:bidi="ar-SA"/>
        </w:rPr>
        <w:t xml:space="preserve"> (B.C.C.A.).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Counsel for Creations submits that the credit union is liable in conversion because it accepted accepting for deposit into Ms. Southworth's account cheques payable to Creations and its various divisions which were not validly endorsed over to Ms. Southworth. Therefore, the credit union is strictly liable for collecting money for a person or entity not entitled to it. Furthermore, it is immaterial whether the impugned act was committed in all innocence, or whether the credit union was diligent: Boma, supra, at par.30.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At common law, Creations has a prima facie case for conversion: A.L. Underwood Ltd. v. Bank of Liverpool, [1924] 1 K.B.775, at 790-1 (C.A.). In Underwood, a company director had deposited cheques made out to the company into his own account without making entries in the company's books. Scrutton L.J. observed, "the only motive for these omissions must have been a desire to conceal transactions he knew to be improper", and held that by placing the cheques in the private account the bank converted them as against the company.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However, the issue in this case is not the common law tort of conversion but whether the credit union is protected by s. 156(3) of the Act, said to give collecting institutions "the greatest protection possible": M.H. Ogilvie, Canadian Banking Law, 2d ed. (Toronto: Carswell, 1998) at p. 636.</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The rights and duties of a holder in due course are set out in s. 73(b) of the Act, as follows:</w:t>
      </w:r>
      <w:r>
        <w:rPr>
          <w:rFonts w:ascii="arial" w:eastAsia="arial" w:hAnsi="arial" w:cs="arial"/>
          <w:sz w:val="20"/>
          <w:lang w:val="en-US" w:eastAsia="en-US" w:bidi="ar-SA"/>
        </w:rPr>
        <w:cr/>
      </w:r>
    </w:p>
    <w:p>
      <w:pPr>
        <w:numPr>
          <w:numId w:val="2"/>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where he is a holder in due course, he holds the bill free from any defect of title of prior parties, as well as from mere personal defences available to prior parties among themselves, and may enforce payment against all parties liable on the bill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In Groves-Raffin Construction Ltd., supra, Mr. Justice Bull stated, a pp. 696-7:</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Section 165(3) when passed in 1966 was framed in the broadest of terms and was clearly an effort of Parliament to protect banks from liability for cheques received for deposit to customers' accounts. It was the very antithesis of the former law, and without making the bank a holder in due course (which it might well not be for various reasons including that it had not given value to the customer although perhaps entering a reversible credit to him), it gave the bank the rights of such a holder.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For the credit union to avail itself of the protection of s. 165(3), the following factors must be satisfied: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the instruments must be cheques;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the cheques must have been delivered;</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parties claiming s. 165(3) protection must be banks;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deposit(s) must be to the credit of the person;</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the "person" must be a person entitled to the cheque;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the credit union must have acted in good faith.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w:t>
      </w:r>
      <w:r>
        <w:rPr>
          <w:rFonts w:ascii="arial" w:eastAsia="arial" w:hAnsi="arial" w:cs="arial"/>
          <w:color w:val="000000"/>
          <w:sz w:val="20"/>
          <w:lang w:val="en-US" w:eastAsia="en-US" w:bidi="ar-SA"/>
        </w:rPr>
        <w:t>  In Boma, supra, the Supreme Court of Canada held that s. 165(3) did not apply because the miscreant bookkeeper was not a "person" within the meaning of the provision. At par.75 Mr. Justice Iacobucci explained that "only the payee or the legitimate endorsee of the payee would qualify as a 'person' for the purposes of s. 165(3)".</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w:t>
      </w:r>
      <w:r>
        <w:rPr>
          <w:rFonts w:ascii="arial" w:eastAsia="arial" w:hAnsi="arial" w:cs="arial"/>
          <w:color w:val="000000"/>
          <w:sz w:val="20"/>
          <w:lang w:val="en-US" w:eastAsia="en-US" w:bidi="ar-SA"/>
        </w:rPr>
        <w:t>  Here, however, Ms. Southworth, who was authorized to endorse cheques, stamped them with "Heavenly Bodies" before depositing them to her "H.B.M. Industries Ltd." account. In those circumstances I cannot agree that the credit union had any duty to determine whether she was a legitimate endorser. It would not be reasonable to suggest that the credit union should have suspected that something sinister was happening.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DECISION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w:t>
      </w:r>
      <w:r>
        <w:rPr>
          <w:rFonts w:ascii="arial" w:eastAsia="arial" w:hAnsi="arial" w:cs="arial"/>
          <w:color w:val="000000"/>
          <w:sz w:val="20"/>
          <w:lang w:val="en-US" w:eastAsia="en-US" w:bidi="ar-SA"/>
        </w:rPr>
        <w:t>  While there is a prima facie case for finding conversion here, s. 165(3) of the Act provides the credit union with a full defence, and the claim of Creations is dismissed.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w:t>
      </w:r>
      <w:r>
        <w:rPr>
          <w:rFonts w:ascii="arial" w:eastAsia="arial" w:hAnsi="arial" w:cs="arial"/>
          <w:color w:val="000000"/>
          <w:sz w:val="20"/>
          <w:lang w:val="en-US" w:eastAsia="en-US" w:bidi="ar-SA"/>
        </w:rPr>
        <w:t>  The credit union is entitled to Scale 3 costs.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COLLVER J.</w:t>
      </w:r>
      <w:r>
        <w:rPr>
          <w:rFonts w:ascii="arial" w:eastAsia="arial" w:hAnsi="arial" w:cs="arial"/>
          <w:sz w:val="20"/>
          <w:lang w:val="en-US" w:eastAsia="en-US" w:bidi="ar-SA"/>
        </w:rPr>
        <w:cr/>
      </w:r>
    </w:p>
    <w:p>
      <w:pPr>
        <w:rPr>
          <w:rFonts w:ascii="arial" w:eastAsia="arial" w:hAnsi="arial" w:cs="arial"/>
          <w:sz w:val="20"/>
          <w:lang w:val="en-US" w:eastAsia="en-US" w:bidi="ar-SA"/>
        </w:rPr>
      </w:pPr>
    </w:p>
    <w:p>
      <w:pPr>
        <w:ind w:left="200"/>
        <w:rPr>
          <w:rFonts w:ascii="arial" w:eastAsia="arial" w:hAnsi="arial" w:cs="arial"/>
          <w:sz w:val="20"/>
          <w:lang w:val="en-US" w:eastAsia="en-US" w:bidi="ar-SA"/>
        </w:rPr>
        <w:sectPr>
          <w:type w:val="continuous"/>
          <w:pgMar w:top="840" w:right="1000" w:bottom="840" w:left="1000" w:header="400" w:footer="400"/>
          <w:pgNumType w:fmt="decimal"/>
          <w:cols w:space="720"/>
        </w:sectPr>
      </w:pPr>
      <w:r>
        <w:rPr>
          <w:rFonts w:ascii="arial" w:eastAsia="arial" w:hAnsi="arial" w:cs="arial"/>
          <w:sz w:val="20"/>
          <w:lang w:val="en-US" w:eastAsia="en-US" w:bidi="ar-SA"/>
        </w:rPr>
        <w:br/>
      </w:r>
      <w:r>
        <w:pict>
          <v:line id="_x0000_s1145" style="position:absolute;z-index:251878400"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511"/>
          <w:headerReference w:type="default" r:id="rId512"/>
          <w:footerReference w:type="even" r:id="rId513"/>
          <w:footerReference w:type="default" r:id="rId514"/>
          <w:headerReference w:type="first" r:id="rId515"/>
          <w:footerReference w:type="first" r:id="rId516"/>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hAnsi="Arial" w:cs="Arial"/>
          <w:b/>
          <w:bCs/>
          <w:kern w:val="32"/>
          <w:sz w:val="32"/>
          <w:szCs w:val="32"/>
          <w:lang w:val="en-US" w:eastAsia="en-US" w:bidi="ar-SA"/>
        </w:rPr>
      </w:pPr>
      <w:hyperlink r:id="rId517" w:history="1">
        <w:r>
          <w:rPr>
            <w:rFonts w:ascii="arial" w:eastAsia="arial" w:hAnsi="arial" w:cs="arial"/>
            <w:b/>
            <w:bCs/>
            <w:i/>
            <w:color w:val="0077CC"/>
            <w:kern w:val="32"/>
            <w:sz w:val="28"/>
            <w:szCs w:val="32"/>
            <w:u w:val="single"/>
            <w:shd w:val="clear" w:color="auto" w:fill="FFFFFF"/>
            <w:lang w:val="en-US" w:eastAsia="en-US" w:bidi="ar-SA"/>
          </w:rPr>
          <w:t>Knott v. Doe, [2005] B.C.J. No. 326</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British Columbia Judgments</w:t>
      </w:r>
    </w:p>
    <w:p>
      <w:pPr>
        <w:rPr>
          <w:lang w:val="en-US" w:eastAsia="en-US" w:bidi="ar-SA"/>
        </w:rPr>
      </w:pPr>
    </w:p>
    <w:p>
      <w:pPr>
        <w:spacing w:before="120" w:line="260" w:lineRule="atLeast"/>
        <w:jc w:val="center"/>
        <w:rPr>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lang w:val="en-US" w:eastAsia="en-US" w:bidi="ar-SA"/>
        </w:rPr>
      </w:pPr>
      <w:r>
        <w:rPr>
          <w:rFonts w:ascii="arial" w:eastAsia="arial" w:hAnsi="arial" w:cs="arial"/>
          <w:color w:val="000000"/>
          <w:sz w:val="20"/>
          <w:lang w:val="en-US" w:eastAsia="en-US" w:bidi="ar-SA"/>
        </w:rPr>
        <w:t xml:space="preserve"> Vancouver, British Columbia</w:t>
      </w:r>
    </w:p>
    <w:p>
      <w:pPr>
        <w:spacing w:before="120" w:line="260" w:lineRule="atLeast"/>
        <w:jc w:val="center"/>
        <w:rPr>
          <w:lang w:val="en-US" w:eastAsia="en-US" w:bidi="ar-SA"/>
        </w:rPr>
      </w:pPr>
      <w:r>
        <w:rPr>
          <w:rFonts w:ascii="arial" w:eastAsia="arial" w:hAnsi="arial" w:cs="arial"/>
          <w:color w:val="000000"/>
          <w:sz w:val="20"/>
          <w:lang w:val="en-US" w:eastAsia="en-US" w:bidi="ar-SA"/>
        </w:rPr>
        <w:t>Satanove J.</w:t>
      </w:r>
    </w:p>
    <w:p>
      <w:pPr>
        <w:spacing w:before="120" w:line="260" w:lineRule="atLeast"/>
        <w:jc w:val="center"/>
        <w:rPr>
          <w:lang w:val="en-US" w:eastAsia="en-US" w:bidi="ar-SA"/>
        </w:rPr>
      </w:pPr>
      <w:r>
        <w:rPr>
          <w:rFonts w:ascii="arial" w:eastAsia="arial" w:hAnsi="arial" w:cs="arial"/>
          <w:color w:val="000000"/>
          <w:sz w:val="20"/>
          <w:lang w:val="en-US" w:eastAsia="en-US" w:bidi="ar-SA"/>
        </w:rPr>
        <w:t>Heard: November 1, 2004.</w:t>
      </w:r>
    </w:p>
    <w:p>
      <w:pPr>
        <w:spacing w:before="120" w:line="260" w:lineRule="atLeast"/>
        <w:jc w:val="center"/>
        <w:rPr>
          <w:lang w:val="en-US" w:eastAsia="en-US" w:bidi="ar-SA"/>
        </w:rPr>
      </w:pPr>
      <w:r>
        <w:rPr>
          <w:rFonts w:ascii="arial" w:eastAsia="arial" w:hAnsi="arial" w:cs="arial"/>
          <w:color w:val="000000"/>
          <w:sz w:val="20"/>
          <w:lang w:val="en-US" w:eastAsia="en-US" w:bidi="ar-SA"/>
        </w:rPr>
        <w:t>Judgment: February 22, 2005.</w:t>
      </w:r>
    </w:p>
    <w:p>
      <w:pPr>
        <w:spacing w:before="120" w:line="260" w:lineRule="atLeast"/>
        <w:jc w:val="center"/>
        <w:rPr>
          <w:lang w:val="en-US" w:eastAsia="en-US" w:bidi="ar-SA"/>
        </w:rPr>
      </w:pPr>
      <w:r>
        <w:rPr>
          <w:rFonts w:ascii="arial" w:eastAsia="arial" w:hAnsi="arial" w:cs="arial"/>
          <w:color w:val="000000"/>
          <w:sz w:val="20"/>
          <w:lang w:val="en-US" w:eastAsia="en-US" w:bidi="ar-SA"/>
        </w:rPr>
        <w:t>Vancouver Registry No. S033744</w:t>
      </w:r>
    </w:p>
    <w:p>
      <w:pPr>
        <w:rPr>
          <w:lang w:val="en-US" w:eastAsia="en-US" w:bidi="ar-SA"/>
        </w:rPr>
      </w:pPr>
    </w:p>
    <w:p>
      <w:pPr>
        <w:spacing w:before="120" w:line="260" w:lineRule="atLeast"/>
        <w:rPr>
          <w:lang w:val="en-US" w:eastAsia="en-US" w:bidi="ar-SA"/>
        </w:rPr>
      </w:pPr>
      <w:r>
        <w:rPr>
          <w:rFonts w:ascii="arial" w:eastAsia="arial" w:hAnsi="arial" w:cs="arial"/>
          <w:b/>
          <w:color w:val="000000"/>
          <w:sz w:val="20"/>
          <w:lang w:val="en-US" w:eastAsia="en-US" w:bidi="ar-SA"/>
        </w:rPr>
        <w:t>[2005] B.C.J. No. 326</w:t>
      </w:r>
      <w:r>
        <w:rPr>
          <w:lang w:val="en-US" w:eastAsia="en-US" w:bidi="ar-SA"/>
        </w:rPr>
        <w:t xml:space="preserve"> </w:t>
      </w:r>
      <w:r>
        <w:rPr>
          <w:lang w:val="en-US" w:eastAsia="en-US" w:bidi="ar-SA"/>
        </w:rPr>
        <w:t xml:space="preserve"> </w:t>
      </w:r>
      <w:r>
        <w:rPr>
          <w:lang w:val="en-US" w:eastAsia="en-US" w:bidi="ar-SA"/>
        </w:rPr>
        <w:t xml:space="preserve"> </w:t>
      </w:r>
      <w:r>
        <w:rPr>
          <w:rFonts w:ascii="arial" w:eastAsia="arial" w:hAnsi="arial" w:cs="arial"/>
          <w:color w:val="BCBEC0"/>
          <w:sz w:val="20"/>
          <w:lang w:val="en-US" w:eastAsia="en-US" w:bidi="ar-SA"/>
        </w:rPr>
        <w:t>|</w:t>
      </w:r>
      <w:r>
        <w:rPr>
          <w:lang w:val="en-US" w:eastAsia="en-US" w:bidi="ar-SA"/>
        </w:rPr>
        <w:t xml:space="preserve"> </w:t>
      </w:r>
      <w:r>
        <w:rPr>
          <w:lang w:val="en-US" w:eastAsia="en-US" w:bidi="ar-SA"/>
        </w:rPr>
        <w:t xml:space="preserve"> </w:t>
      </w:r>
      <w:r>
        <w:rPr>
          <w:lang w:val="en-US" w:eastAsia="en-US" w:bidi="ar-SA"/>
        </w:rPr>
        <w:t xml:space="preserve"> </w:t>
      </w:r>
      <w:r>
        <w:rPr>
          <w:rFonts w:ascii="arial" w:eastAsia="arial" w:hAnsi="arial" w:cs="arial"/>
          <w:color w:val="000000"/>
          <w:sz w:val="20"/>
          <w:lang w:val="en-US" w:eastAsia="en-US" w:bidi="ar-SA"/>
        </w:rPr>
        <w:t>2005 BCSC 240</w:t>
      </w:r>
      <w:r>
        <w:rPr>
          <w:lang w:val="en-US" w:eastAsia="en-US" w:bidi="ar-SA"/>
        </w:rPr>
        <w:t xml:space="preserve"> </w:t>
      </w:r>
      <w:r>
        <w:rPr>
          <w:lang w:val="en-US" w:eastAsia="en-US" w:bidi="ar-SA"/>
        </w:rPr>
        <w:t xml:space="preserve"> </w:t>
      </w:r>
      <w:r>
        <w:rPr>
          <w:lang w:val="en-US" w:eastAsia="en-US" w:bidi="ar-SA"/>
        </w:rPr>
        <w:t xml:space="preserve"> </w:t>
      </w:r>
      <w:r>
        <w:rPr>
          <w:rFonts w:ascii="arial" w:eastAsia="arial" w:hAnsi="arial" w:cs="arial"/>
          <w:color w:val="BCBEC0"/>
          <w:sz w:val="20"/>
          <w:lang w:val="en-US" w:eastAsia="en-US" w:bidi="ar-SA"/>
        </w:rPr>
        <w:t>|</w:t>
      </w:r>
      <w:r>
        <w:rPr>
          <w:lang w:val="en-US" w:eastAsia="en-US" w:bidi="ar-SA"/>
        </w:rPr>
        <w:t xml:space="preserve"> </w:t>
      </w:r>
      <w:r>
        <w:rPr>
          <w:lang w:val="en-US" w:eastAsia="en-US" w:bidi="ar-SA"/>
        </w:rPr>
        <w:t xml:space="preserve"> </w:t>
      </w:r>
      <w:r>
        <w:rPr>
          <w:lang w:val="en-US" w:eastAsia="en-US" w:bidi="ar-SA"/>
        </w:rPr>
        <w:t xml:space="preserve"> </w:t>
      </w:r>
      <w:r>
        <w:rPr>
          <w:rFonts w:ascii="arial" w:eastAsia="arial" w:hAnsi="arial" w:cs="arial"/>
          <w:color w:val="000000"/>
          <w:sz w:val="20"/>
          <w:lang w:val="en-US" w:eastAsia="en-US" w:bidi="ar-SA"/>
        </w:rPr>
        <w:t>137 A.C.W.S. (3d) 302</w:t>
      </w:r>
    </w:p>
    <w:p>
      <w:pPr>
        <w:spacing w:before="120" w:line="260" w:lineRule="atLeast"/>
        <w:rPr>
          <w:lang w:val="en-US" w:eastAsia="en-US" w:bidi="ar-SA"/>
        </w:rPr>
      </w:pPr>
      <w:r>
        <w:rPr>
          <w:rFonts w:ascii="arial" w:eastAsia="arial" w:hAnsi="arial" w:cs="arial"/>
          <w:color w:val="000000"/>
          <w:sz w:val="20"/>
          <w:lang w:val="en-US" w:eastAsia="en-US" w:bidi="ar-SA"/>
        </w:rPr>
        <w:t>Between Susan Knott, plaintiff, and John Doe, John Doe Inc., Leslie Hannig, defendants</w:t>
      </w:r>
    </w:p>
    <w:p>
      <w:pPr>
        <w:spacing w:before="120" w:line="260" w:lineRule="atLeast"/>
        <w:rPr>
          <w:lang w:val="en-US" w:eastAsia="en-US" w:bidi="ar-SA"/>
        </w:rPr>
      </w:pPr>
      <w:r>
        <w:rPr>
          <w:lang w:val="en-US" w:eastAsia="en-US" w:bidi="ar-SA"/>
        </w:rPr>
        <w:br/>
      </w:r>
      <w:r>
        <w:rPr>
          <w:rFonts w:ascii="arial" w:eastAsia="arial" w:hAnsi="arial" w:cs="arial"/>
          <w:color w:val="000000"/>
          <w:sz w:val="20"/>
          <w:lang w:val="en-US" w:eastAsia="en-US" w:bidi="ar-SA"/>
        </w:rPr>
        <w:t>(13 paras.)</w:t>
      </w:r>
    </w:p>
    <w:p>
      <w:pPr>
        <w:keepNext/>
        <w:spacing w:before="120" w:line="340" w:lineRule="atLeast"/>
        <w:rPr>
          <w:lang w:val="en-US" w:eastAsia="en-US" w:bidi="ar-SA"/>
        </w:rPr>
      </w:pPr>
      <w:r>
        <w:rPr>
          <w:rFonts w:ascii="arial" w:eastAsia="arial" w:hAnsi="arial" w:cs="arial"/>
          <w:b/>
          <w:color w:val="000000"/>
          <w:sz w:val="28"/>
          <w:lang w:val="en-US" w:eastAsia="en-US" w:bidi="ar-SA"/>
        </w:rPr>
        <w:t>Case Summary</w:t>
      </w:r>
    </w:p>
    <w:p>
      <w:pPr>
        <w:spacing w:line="60" w:lineRule="exact"/>
        <w:rPr>
          <w:lang w:val="en-US" w:eastAsia="en-US" w:bidi="ar-SA"/>
        </w:rPr>
      </w:pPr>
      <w:r>
        <w:pict>
          <v:line id="_x0000_s1146" style="position:absolute;z-index:251683840" from="0,2pt" to="512pt,2pt" strokecolor="#009ddb" strokeweight="2pt">
            <v:stroke linestyle="single"/>
          </v:line>
        </w:pict>
      </w:r>
    </w:p>
    <w:p>
      <w:pPr>
        <w:spacing w:line="240" w:lineRule="exact"/>
        <w:rPr>
          <w:lang w:val="en-US" w:eastAsia="en-US" w:bidi="ar-SA"/>
        </w:rPr>
      </w:pPr>
    </w:p>
    <w:p>
      <w:pPr>
        <w:spacing w:before="120" w:line="260" w:lineRule="atLeast"/>
        <w:rPr>
          <w:lang w:val="en-US" w:eastAsia="en-US" w:bidi="ar-SA"/>
        </w:rPr>
      </w:pPr>
      <w:bookmarkStart w:id="156" w:name="Keywords_23"/>
      <w:bookmarkEnd w:id="156"/>
      <w:r>
        <w:rPr>
          <w:rFonts w:ascii="arial" w:eastAsia="arial" w:hAnsi="arial" w:cs="arial"/>
          <w:b/>
          <w:color w:val="000000"/>
          <w:sz w:val="20"/>
          <w:lang w:val="en-US" w:eastAsia="en-US" w:bidi="ar-SA"/>
        </w:rPr>
        <w:t xml:space="preserve">Civil procedure — Judgments and orders — Summary judgments — To dismiss action — Commercial law — Consumer protection — Contracts — Formation — Express terms — Waiver — Consensus, lack of — Misrepresentation — Silence or non-disclosure — Tort law — </w:t>
      </w:r>
      <w:r>
        <w:rPr>
          <w:rFonts w:ascii="arial" w:eastAsia="arial" w:hAnsi="arial" w:cs="arial"/>
          <w:b/>
          <w:i/>
          <w:color w:val="000000"/>
          <w:sz w:val="20"/>
          <w:u w:val="single"/>
          <w:lang w:val="en-US" w:eastAsia="en-US" w:bidi="ar-SA"/>
        </w:rPr>
        <w:t>Negligence</w:t>
      </w:r>
      <w:r>
        <w:rPr>
          <w:rFonts w:ascii="arial" w:eastAsia="arial" w:hAnsi="arial" w:cs="arial"/>
          <w:b/>
          <w:color w:val="000000"/>
          <w:sz w:val="20"/>
          <w:lang w:val="en-US" w:eastAsia="en-US" w:bidi="ar-SA"/>
        </w:rPr>
        <w:t xml:space="preserve"> — Defences — Disclaimer or exclusion of risk.</w:t>
      </w:r>
    </w:p>
    <w:p>
      <w:pPr>
        <w:rPr>
          <w:lang w:val="en-US" w:eastAsia="en-US" w:bidi="ar-SA"/>
        </w:rPr>
      </w:pPr>
    </w:p>
    <w:tbl>
      <w:tblPr>
        <w:tblStyle w:val="TableNormal"/>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
      <w:tblGrid>
        <w:gridCol w:w="10225"/>
      </w:tblGrid>
      <w:tr>
        <w:tblPrEx>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Ex>
        <w:tc>
          <w:tcPr/>
          <w:p>
            <w:pPr>
              <w:rPr>
                <w:lang w:val="en-US" w:eastAsia="en-US" w:bidi="ar-SA"/>
              </w:rPr>
            </w:pPr>
            <w:bookmarkStart w:id="157" w:name="Case Summary_22"/>
            <w:bookmarkEnd w:id="157"/>
          </w:p>
          <w:p>
            <w:pPr>
              <w:spacing w:before="120" w:line="260" w:lineRule="atLeast"/>
              <w:ind w:left="240"/>
              <w:jc w:val="both"/>
              <w:rPr>
                <w:lang w:val="en-US" w:eastAsia="en-US" w:bidi="ar-SA"/>
              </w:rPr>
            </w:pPr>
            <w:r>
              <w:rPr>
                <w:rFonts w:ascii="arial" w:eastAsia="arial" w:hAnsi="arial" w:cs="arial"/>
                <w:color w:val="000000"/>
                <w:sz w:val="20"/>
                <w:lang w:val="en-US" w:eastAsia="en-US" w:bidi="ar-SA"/>
              </w:rPr>
              <w:t xml:space="preserve">Application by the defendants, Hannig, Doe and Doe Inc., for dismissal of the action of the plaintiff, Knott, for injuries sustained while riding a horse at the defendants' stables, on the basis of a waiver of liability signed by the plaintiff. The plaintiff argued that the defendants failed to disclose that the riding instructor was not certified and that this was an actionable misrepresentation which abrogated the waiver. The instructor made no express representation of her qualifications other than the years she taught riding. </w:t>
            </w:r>
            <w:r>
              <w:rPr>
                <w:lang w:val="en-US" w:eastAsia="en-US" w:bidi="ar-SA"/>
              </w:rPr>
              <w:cr/>
            </w:r>
          </w:p>
          <w:p>
            <w:pPr>
              <w:spacing w:before="120" w:line="260" w:lineRule="atLeast"/>
              <w:ind w:left="240"/>
              <w:jc w:val="both"/>
              <w:rPr>
                <w:lang w:val="en-US" w:eastAsia="en-US" w:bidi="ar-SA"/>
              </w:rPr>
            </w:pPr>
            <w:bookmarkStart w:id="158" w:name="Holdings of Court_17"/>
            <w:bookmarkEnd w:id="158"/>
            <w:r>
              <w:rPr>
                <w:rFonts w:ascii="arial" w:eastAsia="arial" w:hAnsi="arial" w:cs="arial"/>
                <w:color w:val="000000"/>
                <w:sz w:val="20"/>
                <w:lang w:val="en-US" w:eastAsia="en-US" w:bidi="ar-SA"/>
              </w:rPr>
              <w:t>HELD: Motion allowed.</w:t>
            </w:r>
          </w:p>
          <w:p>
            <w:pPr>
              <w:spacing w:before="120" w:line="260" w:lineRule="atLeast"/>
              <w:ind w:left="240"/>
              <w:jc w:val="both"/>
              <w:rPr>
                <w:lang w:val="en-US" w:eastAsia="en-US" w:bidi="ar-SA"/>
              </w:rPr>
            </w:pPr>
            <w:r>
              <w:rPr>
                <w:rFonts w:ascii="arial" w:eastAsia="arial" w:hAnsi="arial" w:cs="arial"/>
                <w:color w:val="000000"/>
                <w:sz w:val="20"/>
                <w:lang w:val="en-US" w:eastAsia="en-US" w:bidi="ar-SA"/>
              </w:rPr>
              <w:t xml:space="preserve"> The plaintiff's action was dismissed. The waiver was valid and binding, and its terms encompassed the plaintiff's injuries. The plaintiff did not establish an actionable misrepresentation that could abrogate the waiver. The evidence did not support a finding that certification was a reasonable qualification to assume in a riding instructor. Certification was not industry standard for purely dressage coaches who did not teach jumping or for instructors of beginner students. The plaintiff did not know a coach certification program existed before the litigation. She did not establish that any of the instructors expressly or impliedly represented that they had completed the certification program. The failure to disclose the lack of certification was not material. There was no breach of the Trade Practices Act given that certification was not a usual accreditation. There was a technical breach of s. 10 of the Consumer Protection Act which was not sufficient to abrogate the effect of the waiver. </w:t>
            </w:r>
            <w:r>
              <w:rPr>
                <w:lang w:val="en-US" w:eastAsia="en-US" w:bidi="ar-SA"/>
              </w:rPr>
              <w:cr/>
            </w:r>
          </w:p>
          <w:p>
            <w:pPr>
              <w:rPr>
                <w:lang w:val="en-US" w:eastAsia="en-US" w:bidi="ar-SA"/>
              </w:rPr>
            </w:pPr>
          </w:p>
        </w:tc>
      </w:tr>
    </w:tbl>
    <w:p>
      <w:pPr>
        <w:jc w:val="both"/>
        <w:rPr>
          <w:lang w:val="en-US" w:eastAsia="en-US" w:bidi="ar-SA"/>
        </w:rPr>
      </w:pPr>
      <w:bookmarkStart w:id="159" w:name="Legislation Cited_17"/>
      <w:bookmarkEnd w:id="159"/>
      <w:r>
        <w:rPr>
          <w:lang w:val="en-US" w:eastAsia="en-US" w:bidi="ar-SA"/>
        </w:rPr>
        <w:br/>
      </w:r>
    </w:p>
    <w:p>
      <w:pPr>
        <w:keepNext/>
        <w:spacing w:before="240" w:line="340" w:lineRule="atLeast"/>
        <w:rPr>
          <w:lang w:val="en-US" w:eastAsia="en-US" w:bidi="ar-SA"/>
        </w:rPr>
      </w:pPr>
      <w:r>
        <w:rPr>
          <w:rFonts w:ascii="arial" w:eastAsia="arial" w:hAnsi="arial" w:cs="arial"/>
          <w:b/>
          <w:color w:val="000000"/>
          <w:sz w:val="28"/>
          <w:lang w:val="en-US" w:eastAsia="en-US" w:bidi="ar-SA"/>
        </w:rPr>
        <w:t>Statutes, Regulations and Rules Cited:</w:t>
      </w:r>
    </w:p>
    <w:p>
      <w:pPr>
        <w:spacing w:line="60" w:lineRule="exact"/>
        <w:rPr>
          <w:lang w:val="en-US" w:eastAsia="en-US" w:bidi="ar-SA"/>
        </w:rPr>
      </w:pPr>
      <w:r>
        <w:pict>
          <v:line id="_x0000_s1147" style="position:absolute;z-index:251735040" from="0,2pt" to="512pt,2pt" strokecolor="#009ddb" strokeweight="2pt">
            <v:stroke linestyle="single"/>
          </v:line>
        </w:pict>
      </w:r>
    </w:p>
    <w:p>
      <w:pPr>
        <w:spacing w:line="240" w:lineRule="exact"/>
        <w:rPr>
          <w:lang w:val="en-US" w:eastAsia="en-US" w:bidi="ar-SA"/>
        </w:rPr>
      </w:pPr>
    </w:p>
    <w:p>
      <w:pPr>
        <w:spacing w:line="260" w:lineRule="atLeast"/>
        <w:jc w:val="both"/>
        <w:rPr>
          <w:lang w:val="en-US" w:eastAsia="en-US" w:bidi="ar-SA"/>
        </w:rPr>
      </w:pPr>
      <w:r>
        <w:rPr>
          <w:rFonts w:ascii="arial" w:eastAsia="arial" w:hAnsi="arial" w:cs="arial"/>
          <w:color w:val="000000"/>
          <w:sz w:val="20"/>
          <w:lang w:val="en-US" w:eastAsia="en-US" w:bidi="ar-SA"/>
        </w:rPr>
        <w:t>British Columbia Supreme Court Rules, Rule 18A.</w:t>
      </w:r>
    </w:p>
    <w:p>
      <w:pPr>
        <w:spacing w:line="260" w:lineRule="atLeast"/>
        <w:jc w:val="both"/>
        <w:rPr>
          <w:lang w:val="en-US" w:eastAsia="en-US" w:bidi="ar-SA"/>
        </w:rPr>
      </w:pPr>
      <w:r>
        <w:rPr>
          <w:lang w:val="en-US" w:eastAsia="en-US" w:bidi="ar-SA"/>
        </w:rPr>
        <w:br/>
      </w:r>
      <w:r>
        <w:rPr>
          <w:rFonts w:ascii="arial" w:eastAsia="arial" w:hAnsi="arial" w:cs="arial"/>
          <w:color w:val="000000"/>
          <w:sz w:val="20"/>
          <w:lang w:val="en-US" w:eastAsia="en-US" w:bidi="ar-SA"/>
        </w:rPr>
        <w:t xml:space="preserve">Business Practices and Consumer Protection Act, </w:t>
      </w:r>
      <w:hyperlink r:id="rId518" w:history="1">
        <w:r>
          <w:rPr>
            <w:rFonts w:ascii="arial" w:eastAsia="arial" w:hAnsi="arial" w:cs="arial"/>
            <w:i/>
            <w:color w:val="0077CC"/>
            <w:sz w:val="20"/>
            <w:u w:val="single"/>
            <w:shd w:val="clear" w:color="auto" w:fill="FFFFFF"/>
            <w:lang w:val="en-US" w:eastAsia="en-US" w:bidi="ar-SA"/>
          </w:rPr>
          <w:t>S.B.C. 2004, c. 2, s. 203</w:t>
        </w:r>
      </w:hyperlink>
      <w:r>
        <w:rPr>
          <w:rFonts w:ascii="arial" w:eastAsia="arial" w:hAnsi="arial" w:cs="arial"/>
          <w:color w:val="000000"/>
          <w:sz w:val="20"/>
          <w:lang w:val="en-US" w:eastAsia="en-US" w:bidi="ar-SA"/>
        </w:rPr>
        <w:t>.</w:t>
      </w:r>
    </w:p>
    <w:p>
      <w:pPr>
        <w:spacing w:line="260" w:lineRule="atLeast"/>
        <w:jc w:val="both"/>
        <w:rPr>
          <w:lang w:val="en-US" w:eastAsia="en-US" w:bidi="ar-SA"/>
        </w:rPr>
      </w:pPr>
      <w:r>
        <w:rPr>
          <w:lang w:val="en-US" w:eastAsia="en-US" w:bidi="ar-SA"/>
        </w:rPr>
        <w:br/>
      </w:r>
      <w:r>
        <w:rPr>
          <w:rFonts w:ascii="arial" w:eastAsia="arial" w:hAnsi="arial" w:cs="arial"/>
          <w:color w:val="000000"/>
          <w:sz w:val="20"/>
          <w:lang w:val="en-US" w:eastAsia="en-US" w:bidi="ar-SA"/>
        </w:rPr>
        <w:t>Consumer Protection Act, R.S.B.C. 1996, s. 69, s. 10.</w:t>
      </w:r>
    </w:p>
    <w:p>
      <w:pPr>
        <w:spacing w:line="260" w:lineRule="atLeast"/>
        <w:jc w:val="both"/>
        <w:rPr>
          <w:lang w:val="en-US" w:eastAsia="en-US" w:bidi="ar-SA"/>
        </w:rPr>
      </w:pPr>
      <w:r>
        <w:rPr>
          <w:lang w:val="en-US" w:eastAsia="en-US" w:bidi="ar-SA"/>
        </w:rPr>
        <w:br/>
      </w:r>
      <w:r>
        <w:rPr>
          <w:rFonts w:ascii="arial" w:eastAsia="arial" w:hAnsi="arial" w:cs="arial"/>
          <w:color w:val="000000"/>
          <w:sz w:val="20"/>
          <w:lang w:val="en-US" w:eastAsia="en-US" w:bidi="ar-SA"/>
        </w:rPr>
        <w:t>Trade Practices Act, R.S.B.C. 1996, c. 457, s. 3.</w:t>
      </w:r>
      <w:r>
        <w:rPr>
          <w:lang w:val="en-US" w:eastAsia="en-US" w:bidi="ar-SA"/>
        </w:rPr>
        <w:cr/>
      </w:r>
    </w:p>
    <w:p>
      <w:pPr>
        <w:keepNext/>
        <w:spacing w:before="240" w:line="340" w:lineRule="atLeast"/>
        <w:rPr>
          <w:lang w:val="en-US" w:eastAsia="en-US" w:bidi="ar-SA"/>
        </w:rPr>
      </w:pPr>
      <w:bookmarkStart w:id="160" w:name="Counsel_23"/>
      <w:bookmarkEnd w:id="160"/>
      <w:r>
        <w:rPr>
          <w:rFonts w:ascii="arial" w:eastAsia="arial" w:hAnsi="arial" w:cs="arial"/>
          <w:b/>
          <w:color w:val="000000"/>
          <w:sz w:val="28"/>
          <w:lang w:val="en-US" w:eastAsia="en-US" w:bidi="ar-SA"/>
        </w:rPr>
        <w:t>Counsel</w:t>
      </w:r>
    </w:p>
    <w:p>
      <w:pPr>
        <w:spacing w:line="60" w:lineRule="exact"/>
        <w:rPr>
          <w:lang w:val="en-US" w:eastAsia="en-US" w:bidi="ar-SA"/>
        </w:rPr>
      </w:pPr>
      <w:r>
        <w:pict>
          <v:line id="_x0000_s1148" style="position:absolute;z-index:251786240" from="0,2pt" to="512pt,2pt" strokecolor="#009ddb" strokeweight="2pt">
            <v:stroke linestyle="single"/>
          </v:line>
        </w:pict>
      </w:r>
    </w:p>
    <w:p>
      <w:pPr>
        <w:spacing w:line="240" w:lineRule="exact"/>
        <w:rPr>
          <w:lang w:val="en-US" w:eastAsia="en-US" w:bidi="ar-SA"/>
        </w:rPr>
      </w:pPr>
    </w:p>
    <w:p>
      <w:pPr>
        <w:spacing w:line="260" w:lineRule="atLeast"/>
        <w:jc w:val="both"/>
        <w:rPr>
          <w:lang w:val="en-US" w:eastAsia="en-US" w:bidi="ar-SA"/>
        </w:rPr>
      </w:pPr>
      <w:r>
        <w:rPr>
          <w:rFonts w:ascii="arial" w:eastAsia="arial" w:hAnsi="arial" w:cs="arial"/>
          <w:color w:val="000000"/>
          <w:sz w:val="20"/>
          <w:lang w:val="en-US" w:eastAsia="en-US" w:bidi="ar-SA"/>
        </w:rPr>
        <w:t>Counsel for the Plaintiff: David Brown</w:t>
      </w:r>
    </w:p>
    <w:p>
      <w:pPr>
        <w:spacing w:line="260" w:lineRule="atLeast"/>
        <w:jc w:val="both"/>
        <w:rPr>
          <w:lang w:val="en-US" w:eastAsia="en-US" w:bidi="ar-SA"/>
        </w:rPr>
      </w:pPr>
      <w:r>
        <w:rPr>
          <w:lang w:val="en-US" w:eastAsia="en-US" w:bidi="ar-SA"/>
        </w:rPr>
        <w:br/>
      </w:r>
      <w:r>
        <w:rPr>
          <w:rFonts w:ascii="arial" w:eastAsia="arial" w:hAnsi="arial" w:cs="arial"/>
          <w:color w:val="000000"/>
          <w:sz w:val="20"/>
          <w:lang w:val="en-US" w:eastAsia="en-US" w:bidi="ar-SA"/>
        </w:rPr>
        <w:t>Counsel for the Defendant, Leslie Hannig: R. Hatch</w:t>
      </w:r>
      <w:r>
        <w:rPr>
          <w:lang w:val="en-US" w:eastAsia="en-US" w:bidi="ar-SA"/>
        </w:rPr>
        <w:cr/>
      </w:r>
    </w:p>
    <w:p>
      <w:pPr>
        <w:spacing w:after="240"/>
        <w:rPr>
          <w:lang w:val="en-US" w:eastAsia="en-US" w:bidi="ar-SA"/>
        </w:rPr>
      </w:pPr>
      <w:bookmarkStart w:id="161" w:name="Judgment_24"/>
      <w:bookmarkEnd w:id="161"/>
      <w:r>
        <w:pict>
          <v:line id="_x0000_s1149" style="position:absolute;z-index:251835392" from="0,12pt" to="512pt,12pt" strokecolor="#009ddb" strokeweight="1.5pt">
            <v:stroke linestyle="single"/>
          </v:line>
        </w:pict>
      </w:r>
    </w:p>
    <w:p>
      <w:pPr>
        <w:rPr>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2270"/>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lang w:val="en-US" w:eastAsia="en-US" w:bidi="ar-SA"/>
              </w:rPr>
            </w:pPr>
            <w:bookmarkStart w:id="162" w:name="SATANOVE J."/>
            <w:bookmarkEnd w:id="162"/>
            <w:r>
              <w:rPr>
                <w:rFonts w:ascii="arial" w:eastAsia="arial" w:hAnsi="arial" w:cs="arial"/>
                <w:b/>
                <w:color w:val="000000"/>
                <w:sz w:val="30"/>
                <w:lang w:val="en-US" w:eastAsia="en-US" w:bidi="ar-SA"/>
              </w:rPr>
              <w:t>SATANOVE J.</w:t>
            </w:r>
          </w:p>
        </w:tc>
      </w:tr>
    </w:tbl>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xml:space="preserve">   On November 15, 2002, the plaintiff suffered injury when she was unseated from a horse while warming up for her riding lessons at Shannon Stables, owned and operated by the defendant Leslie Hannig. The plaintiff sued the defendant and others in breach of contract and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claiming that the defendant had selected a wholly unsuitable horse for the plaintiff to ride, failed to give proper instruction, and failed to supervise the plaintiff when riding the horse.</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xml:space="preserve">  The defendant relied on a Waiver of Liability executed by the plaintiff on September 9, 2002 (the "Waiver") as a complete defence to the plaintiff's claim. The plaintiff then amended her statement of claim to allege that the defendant Hannig failed to comply with section 10 of the Consumer Protection Act, </w:t>
      </w:r>
      <w:hyperlink r:id="rId519" w:history="1">
        <w:r>
          <w:rPr>
            <w:rFonts w:ascii="arial" w:eastAsia="arial" w:hAnsi="arial" w:cs="arial"/>
            <w:i/>
            <w:color w:val="0077CC"/>
            <w:sz w:val="20"/>
            <w:u w:val="single"/>
            <w:shd w:val="clear" w:color="auto" w:fill="FFFFFF"/>
            <w:lang w:val="en-US" w:eastAsia="en-US" w:bidi="ar-SA"/>
          </w:rPr>
          <w:t>R.S.B.C. 1996, c. 69</w:t>
        </w:r>
      </w:hyperlink>
      <w:r>
        <w:rPr>
          <w:rFonts w:ascii="arial" w:eastAsia="arial" w:hAnsi="arial" w:cs="arial"/>
          <w:color w:val="000000"/>
          <w:sz w:val="20"/>
          <w:lang w:val="en-US" w:eastAsia="en-US" w:bidi="ar-SA"/>
        </w:rPr>
        <w:t xml:space="preserve"> ("CPA") breached section 3 of the Trade Practice Act, </w:t>
      </w:r>
      <w:hyperlink r:id="rId520" w:history="1">
        <w:r>
          <w:rPr>
            <w:rFonts w:ascii="arial" w:eastAsia="arial" w:hAnsi="arial" w:cs="arial"/>
            <w:i/>
            <w:color w:val="0077CC"/>
            <w:sz w:val="20"/>
            <w:u w:val="single"/>
            <w:shd w:val="clear" w:color="auto" w:fill="FFFFFF"/>
            <w:lang w:val="en-US" w:eastAsia="en-US" w:bidi="ar-SA"/>
          </w:rPr>
          <w:t>R.S.B.C. 1996, c. 457</w:t>
        </w:r>
      </w:hyperlink>
      <w:r>
        <w:rPr>
          <w:rFonts w:ascii="arial" w:eastAsia="arial" w:hAnsi="arial" w:cs="arial"/>
          <w:color w:val="000000"/>
          <w:sz w:val="20"/>
          <w:lang w:val="en-US" w:eastAsia="en-US" w:bidi="ar-SA"/>
        </w:rPr>
        <w:t xml:space="preserve"> ("TPA") and obtained the Waiver based on her failure to disclose that she and her instructors were not certified as horse riding teachers.</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On June 24, 2004 the defendant brought an application under Rule 18A for dismissal of the plaintiff's claim based on the Waiver. I granted the plaintiff an adjournment until November 1, 2004 in order to provide evidence regarding the issue of certification of riding instructors.</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xml:space="preserve">  The narrow issue before me is whether the defendant's failure to disclose that she was not certified constitutes an actionable misrepresentation sufficient to abrogate the Waiver either at common law, or under either the TPA or the Business Practices and Consumer Protection Act, </w:t>
      </w:r>
      <w:r>
        <w:rPr>
          <w:rFonts w:ascii="arial" w:eastAsia="arial" w:hAnsi="arial" w:cs="arial"/>
          <w:i/>
          <w:color w:val="000000"/>
          <w:sz w:val="20"/>
          <w:lang w:val="en-US" w:eastAsia="en-US" w:bidi="ar-SA"/>
        </w:rPr>
        <w:t>S.B.C. 2004, c. 2</w:t>
      </w:r>
      <w:r>
        <w:rPr>
          <w:rFonts w:ascii="arial" w:eastAsia="arial" w:hAnsi="arial" w:cs="arial"/>
          <w:color w:val="000000"/>
          <w:sz w:val="20"/>
          <w:lang w:val="en-US" w:eastAsia="en-US" w:bidi="ar-SA"/>
        </w:rPr>
        <w:t xml:space="preserve"> ("BPCPA"). The plaintiff concedes that if the Waiver is found by me to be valid and enforceable, the wording of it is effective to bar her claim. The defendant concedes that if the Waiver is struck down, then the plaintiff's original claim should proceed to trial. The parties agree that the issue of the enforceability of the Waiver can be decided on a Rule 18A hearing.</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xml:space="preserve">  The defendant submits that the plaintiff signed the Waiver knowing it was a legal document affecting her rights. Therefore, she is bound by its terms unless she can show that it was obtained through fraud or active misrepresentation (Karroll v. Silver Star Mountain Resorts Ltd. </w:t>
      </w:r>
      <w:hyperlink r:id="rId174" w:history="1">
        <w:r>
          <w:rPr>
            <w:rFonts w:ascii="arial" w:eastAsia="arial" w:hAnsi="arial" w:cs="arial"/>
            <w:i/>
            <w:color w:val="0077CC"/>
            <w:sz w:val="20"/>
            <w:u w:val="single"/>
            <w:shd w:val="clear" w:color="auto" w:fill="FFFFFF"/>
            <w:lang w:val="en-US" w:eastAsia="en-US" w:bidi="ar-SA"/>
          </w:rPr>
          <w:t>(1988), 33 B.C.L.R. (2d) 160</w:t>
        </w:r>
      </w:hyperlink>
      <w:r>
        <w:rPr>
          <w:rFonts w:ascii="arial" w:eastAsia="arial" w:hAnsi="arial" w:cs="arial"/>
          <w:color w:val="000000"/>
          <w:sz w:val="20"/>
          <w:lang w:val="en-US" w:eastAsia="en-US" w:bidi="ar-SA"/>
        </w:rPr>
        <w:t xml:space="preserve"> (S.C.)). The defendant further submits that the Waiver is entirely separate from and collateral to the contract for riding lessons. It is not subject to the TPA because it is not a consumer transaction, the defendant has committed no deceptive act or practice; and in any event, the TPA has been repealed by the BPCPA. The Waiver is not subject to s. 10 of the CPA because that section has also been repealed by the BPCPA. It is not illegal by virtue of any breach of the TPA or BPCPA. Finally, the defendant submits that there is no factual basis to find an implied term that the defendant and her instructors were certified, and that the plaintiff was never misled by the absence of this information in any material way.</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The evidence regarding certification of riding instructors does not support a finding that without certification, one is not qualified to teach horse riding. The organizations known as Equine Canada and the Horse Council of British Columbia govern the conduct of equine competitions and shows. Equine Canada and the Pony Club offer a rider or coach certification program that includes jumping and dressage. Certification is not required, nor is it the industry standard, for purely dressage coaches who do not teach jumping. The plaintiff has not established on the affidavit evidence that certification was a reasonable qualification to assume in a riding instructor. The plaintiff herself did not even know that a coach certification program existed before this litigation. She was not able to establish that the defendant or any of the other instructors at the defendant's stables represented, expressly or impliedly, that they had completed the certification program. Furthermore, it does not appear to be the industry norm that certification is promoted as either necessary or desirable for instructors of beginner students such as the plaintiff. Certified teachers are not necessarily considered more competent than un-certified ones.</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xml:space="preserve">  Materiality is a key ingredient for failure to disclose to constitute an actionable misrepresentation at common law. Silence, or a failure to disclose or correct information is only actionable if, by remaining silent, the representor is taken to have confirmed that inaccurate information is true (Sidhu Estate v. Bains </w:t>
      </w:r>
      <w:hyperlink r:id="rId521" w:history="1">
        <w:r>
          <w:rPr>
            <w:rFonts w:ascii="arial" w:eastAsia="arial" w:hAnsi="arial" w:cs="arial"/>
            <w:i/>
            <w:color w:val="0077CC"/>
            <w:sz w:val="20"/>
            <w:u w:val="single"/>
            <w:shd w:val="clear" w:color="auto" w:fill="FFFFFF"/>
            <w:lang w:val="en-US" w:eastAsia="en-US" w:bidi="ar-SA"/>
          </w:rPr>
          <w:t>(1996), 25 B.C.L.R. (3d) 41</w:t>
        </w:r>
      </w:hyperlink>
      <w:r>
        <w:rPr>
          <w:rFonts w:ascii="arial" w:eastAsia="arial" w:hAnsi="arial" w:cs="arial"/>
          <w:color w:val="000000"/>
          <w:sz w:val="20"/>
          <w:lang w:val="en-US" w:eastAsia="en-US" w:bidi="ar-SA"/>
        </w:rPr>
        <w:t xml:space="preserve"> (C.A.)). In light of the evidence on certification, I do not consider that the defendant's lack of certification, or her failure to disclose that she lacked certification, is material in this case.</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In the case at bar, the defendant made no representation as to her qualifications, other than the years she had taught horse riding. The plaintiff did not ask about and the defendant did not mention, certification programs or the organizations that offer them. I find that the plaintiff has not established on actionable misrepresentation that could abrogate the waiver.</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Similarly, I find that there has been no breach of the TPA. Under the TPA, the test for a deceptive practice arising from a failure to disclose is that the conduct has the "capability, tendency or effect of deceiving or misleading" the consumer. If certification is neither a necessary or usual accreditation for a teacher of beginner dressage students, then it is unlikely the students will be misled by the teacher's failure to mention it.</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xml:space="preserve">  The defendant submits that the TPA has been repealed and the plaintiff's cause of action must be governed by the BPCPA, which does not include a failure to disclose in its definition of a deceptive act or practice. Due to my finding above, it is not necessary for me to deal with this submission, but as I asked counsel to file written submissions on the effect of the BPCPA on actions commenced under the TPA, I feel it is incumbent upon me to refer them to my decision in Knight v. Imperial Tobacco Canada Limited, </w:t>
      </w:r>
      <w:hyperlink r:id="rId522" w:history="1">
        <w:r>
          <w:rPr>
            <w:rFonts w:ascii="arial" w:eastAsia="arial" w:hAnsi="arial" w:cs="arial"/>
            <w:i/>
            <w:color w:val="0077CC"/>
            <w:sz w:val="20"/>
            <w:u w:val="single"/>
            <w:shd w:val="clear" w:color="auto" w:fill="FFFFFF"/>
            <w:lang w:val="en-US" w:eastAsia="en-US" w:bidi="ar-SA"/>
          </w:rPr>
          <w:t>[2005] B.C.J. No. 216</w:t>
        </w:r>
      </w:hyperlink>
      <w:r>
        <w:rPr>
          <w:rFonts w:ascii="arial" w:eastAsia="arial" w:hAnsi="arial" w:cs="arial"/>
          <w:color w:val="000000"/>
          <w:sz w:val="20"/>
          <w:lang w:val="en-US" w:eastAsia="en-US" w:bidi="ar-SA"/>
        </w:rPr>
        <w:t xml:space="preserve">, </w:t>
      </w:r>
      <w:hyperlink r:id="rId522" w:history="1">
        <w:r>
          <w:rPr>
            <w:rFonts w:ascii="arial" w:eastAsia="arial" w:hAnsi="arial" w:cs="arial"/>
            <w:i/>
            <w:color w:val="0077CC"/>
            <w:sz w:val="20"/>
            <w:u w:val="single"/>
            <w:shd w:val="clear" w:color="auto" w:fill="FFFFFF"/>
            <w:lang w:val="en-US" w:eastAsia="en-US" w:bidi="ar-SA"/>
          </w:rPr>
          <w:t>2005 BCSC 172</w:t>
        </w:r>
      </w:hyperlink>
      <w:r>
        <w:rPr>
          <w:rFonts w:ascii="arial" w:eastAsia="arial" w:hAnsi="arial" w:cs="arial"/>
          <w:color w:val="000000"/>
          <w:sz w:val="20"/>
          <w:lang w:val="en-US" w:eastAsia="en-US" w:bidi="ar-SA"/>
        </w:rPr>
        <w:t>. I have concluded that s. 203 of the BPCPA does not operate to extinguish actions that have been commenced under the TPA before July 4, 2004.</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As I have found no actionable misrepresentation or breach of statute by the defendant, it is also not necessary to consider whether the Waiver is a separate collateral contract. However, from my review of the cases cited to me and the fact that the defendant would not have agreed to teach the plaintiff without her signing the Waiver, I would treat the Waiver as an inextricable term of the contract between the parties for riding lessons, and not a collateral contract.</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xml:space="preserve">  Finally, with respect to s. 10 of the CPA, it appears that the defendant did technically breach this provision because the only written document evidencing the contract between the parties is the Waiver, and it does not expressly include the detailed information required by that section. However, I do not find this technical breach sufficient to render the contract void for illegality or abrogate the effect of the Waiver (Still v. M.N.R., </w:t>
      </w:r>
      <w:hyperlink r:id="rId523" w:history="1">
        <w:r>
          <w:rPr>
            <w:rFonts w:ascii="arial" w:eastAsia="arial" w:hAnsi="arial" w:cs="arial"/>
            <w:i/>
            <w:color w:val="0077CC"/>
            <w:sz w:val="20"/>
            <w:u w:val="single"/>
            <w:shd w:val="clear" w:color="auto" w:fill="FFFFFF"/>
            <w:lang w:val="en-US" w:eastAsia="en-US" w:bidi="ar-SA"/>
          </w:rPr>
          <w:t>[1998] 1 F.C. 549</w:t>
        </w:r>
      </w:hyperlink>
      <w:r>
        <w:rPr>
          <w:rFonts w:ascii="arial" w:eastAsia="arial" w:hAnsi="arial" w:cs="arial"/>
          <w:color w:val="000000"/>
          <w:sz w:val="20"/>
          <w:lang w:val="en-US" w:eastAsia="en-US" w:bidi="ar-SA"/>
        </w:rPr>
        <w:t xml:space="preserve"> (C.A.)).</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In conclusion, I find the defendants Waiver to be valid and binding between the parties and that its terms encompass the injuries suffered by the plaintiff. The inevitable result is that the plaintiff's claim must be dismissed.</w:t>
      </w:r>
    </w:p>
    <w:p>
      <w:pPr>
        <w:spacing w:line="260" w:lineRule="atLeast"/>
        <w:jc w:val="both"/>
        <w:rPr>
          <w:lang w:val="en-US" w:eastAsia="en-US" w:bidi="ar-SA"/>
        </w:rPr>
      </w:pPr>
      <w:r>
        <w:rPr>
          <w:lang w:val="en-US" w:eastAsia="en-US" w:bidi="ar-SA"/>
        </w:rPr>
        <w:br/>
      </w:r>
      <w:r>
        <w:rPr>
          <w:rFonts w:ascii="arial" w:eastAsia="arial" w:hAnsi="arial" w:cs="arial"/>
          <w:color w:val="000000"/>
          <w:sz w:val="20"/>
          <w:lang w:val="en-US" w:eastAsia="en-US" w:bidi="ar-SA"/>
        </w:rPr>
        <w:t>SATANOVE J.</w:t>
      </w:r>
      <w:r>
        <w:rPr>
          <w:lang w:val="en-US" w:eastAsia="en-US" w:bidi="ar-SA"/>
        </w:rPr>
        <w:cr/>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50" style="position:absolute;z-index:251879424" from="0,10pt" to="512pt,10pt" strokecolor="black" strokeweight="1pt">
            <v:stroke linestyle="single"/>
          </v:line>
        </w:pict>
      </w:r>
      <w:r>
        <w:rPr>
          <w:b/>
          <w:color w:val="767676"/>
          <w:sz w:val="16"/>
          <w:lang w:val="en-US" w:eastAsia="en-US" w:bidi="ar-SA"/>
        </w:rPr>
        <w:t>End of Document</w:t>
      </w:r>
    </w:p>
    <w:p>
      <w:pPr>
        <w:rPr>
          <w:rFonts w:ascii="arial" w:eastAsia="arial" w:hAnsi="arial" w:cs="arial"/>
          <w:sz w:val="20"/>
          <w:lang w:val="en-US" w:eastAsia="en-US" w:bidi="ar-SA"/>
        </w:rPr>
        <w:sectPr>
          <w:headerReference w:type="even" r:id="rId524"/>
          <w:headerReference w:type="default" r:id="rId525"/>
          <w:footerReference w:type="even" r:id="rId526"/>
          <w:footerReference w:type="default" r:id="rId527"/>
          <w:headerReference w:type="first" r:id="rId528"/>
          <w:footerReference w:type="first" r:id="rId529"/>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eastAsia="arial" w:hAnsi="Arial" w:cs="Arial"/>
          <w:b/>
          <w:bCs/>
          <w:kern w:val="32"/>
          <w:sz w:val="32"/>
          <w:szCs w:val="32"/>
          <w:lang w:val="en-US" w:eastAsia="en-US" w:bidi="ar-SA"/>
        </w:rPr>
      </w:pPr>
      <w:hyperlink r:id="rId530" w:history="1">
        <w:r>
          <w:rPr>
            <w:rFonts w:ascii="arial" w:eastAsia="arial" w:hAnsi="arial" w:cs="arial"/>
            <w:b/>
            <w:bCs/>
            <w:i/>
            <w:color w:val="0077CC"/>
            <w:kern w:val="32"/>
            <w:sz w:val="28"/>
            <w:szCs w:val="32"/>
            <w:u w:val="single"/>
            <w:shd w:val="clear" w:color="auto" w:fill="FFFFFF"/>
            <w:lang w:val="en-US" w:eastAsia="en-US" w:bidi="ar-SA"/>
          </w:rPr>
          <w:t>MacEachern (Committee of) v. Rennie, [2009] B.C.J. No. 1412</w:t>
        </w:r>
      </w:hyperlink>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Judgments</w:t>
      </w:r>
    </w:p>
    <w:p>
      <w:pPr>
        <w:rPr>
          <w:rFonts w:ascii="arial" w:eastAsia="arial" w:hAnsi="arial" w:cs="arial"/>
          <w:sz w:val="20"/>
          <w:lang w:val="en-US" w:eastAsia="en-US" w:bidi="ar-SA"/>
        </w:rPr>
      </w:pP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Vancouver, British Columbia</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W. Ehrcke J.</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Heard: March 23-27, 30, 31, April 1-3, 5-9, 14-17, 20, 21,</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23, 24, 27-30, May 4-8, 11-15, 19, 25-29, June 15-19, 29, 30,</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July 2 and 3, 2009.</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Judgment: July 14, 2009.</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Docket: M072923</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Registry: Vancouver</w:t>
      </w:r>
    </w:p>
    <w:p>
      <w:pPr>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r>
        <w:rPr>
          <w:rFonts w:ascii="arial" w:eastAsia="arial" w:hAnsi="arial" w:cs="arial"/>
          <w:b/>
          <w:color w:val="000000"/>
          <w:sz w:val="20"/>
          <w:lang w:val="en-US" w:eastAsia="en-US" w:bidi="ar-SA"/>
        </w:rPr>
        <w:t>[2009] B.C.J. No. 1412</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2009 BCSC 955</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1 B.C.L.R. (5th) 107</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2009 CarswellBC 1852</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179 A.C.W.S. (3d) 618</w:t>
      </w:r>
    </w:p>
    <w:p>
      <w:pPr>
        <w:spacing w:before="120" w:line="260" w:lineRule="atLeast"/>
        <w:rPr>
          <w:rFonts w:ascii="arial" w:eastAsia="arial" w:hAnsi="arial" w:cs="arial"/>
          <w:sz w:val="20"/>
          <w:lang w:val="en-US" w:eastAsia="en-US" w:bidi="ar-SA"/>
        </w:rPr>
      </w:pPr>
      <w:r>
        <w:rPr>
          <w:rFonts w:ascii="arial" w:eastAsia="arial" w:hAnsi="arial" w:cs="arial"/>
          <w:color w:val="000000"/>
          <w:sz w:val="20"/>
          <w:lang w:val="en-US" w:eastAsia="en-US" w:bidi="ar-SA"/>
        </w:rPr>
        <w:t>Between Christina Marie MacEachern, by her committee, William James MacEachern, Plaintiff, and John Gardner Rennie, Canadian National Transportation Limited, also doing business as Canadian Nat'l Trans Ltd., Canadian National Railway Company, All Weather Products Ltd., Richard Allan Duncan and John Doe, Defendants, and John Gardner Rennie, Canadian National Transportation Limited, also doing business as Canadian Nat'l Trans Ltd., Canadian National Railway Company, All Weather Products Ltd., and Richard Allan Duncan, Third Parties</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(95 paras.)</w:t>
      </w:r>
    </w:p>
    <w:p>
      <w:pPr>
        <w:keepNext/>
        <w:spacing w:before="12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Case Summary</w:t>
      </w:r>
    </w:p>
    <w:p>
      <w:pPr>
        <w:spacing w:line="60" w:lineRule="exact"/>
        <w:rPr>
          <w:rFonts w:ascii="arial" w:eastAsia="arial" w:hAnsi="arial" w:cs="arial"/>
          <w:sz w:val="20"/>
          <w:lang w:val="en-US" w:eastAsia="en-US" w:bidi="ar-SA"/>
        </w:rPr>
      </w:pPr>
      <w:r>
        <w:pict>
          <v:line id="_x0000_s1151" style="position:absolute;z-index:251684864"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bookmarkStart w:id="163" w:name="Keywords_24"/>
      <w:bookmarkEnd w:id="163"/>
      <w:r>
        <w:rPr>
          <w:rFonts w:ascii="arial" w:eastAsia="arial" w:hAnsi="arial" w:cs="arial"/>
          <w:b/>
          <w:color w:val="000000"/>
          <w:sz w:val="20"/>
          <w:lang w:val="en-US" w:eastAsia="en-US" w:bidi="ar-SA"/>
        </w:rPr>
        <w:t>Civil litigation — Civil evidence — Admissibility — Opinion evidence — Expert evidence — Admission of reports — Criteria for admissibility — Application by the CN defendants for leave to admit new expert opinion evidence dismissed — MacEachern was struck by a tractor-trailer and suffered a traumatic brain injury — Purssell, a medical doctor, opined that MacEachern was cognitively impaired at the time of the accident due to ingestion of drugs — The information upon which the new opinions were based was not obtained with due diligence — The admission of the evidence would cause serious prejudice to MacEachern which would far outweigh any potential prejudice to the CN defendants — Furthermore, admitting the evidence would significantly disrupt the trial process.</w:t>
      </w:r>
    </w:p>
    <w:p>
      <w:pPr>
        <w:rPr>
          <w:rFonts w:ascii="arial" w:eastAsia="arial" w:hAnsi="arial" w:cs="arial"/>
          <w:sz w:val="20"/>
          <w:lang w:val="en-US" w:eastAsia="en-US" w:bidi="ar-SA"/>
        </w:rPr>
      </w:pPr>
    </w:p>
    <w:tbl>
      <w:tblPr>
        <w:tblStyle w:val="TableNormal"/>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
      <w:tblGrid>
        <w:gridCol w:w="10225"/>
      </w:tblGrid>
      <w:tr>
        <w:tblPrEx>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Ex>
        <w:tc>
          <w:tcPr/>
          <w:p>
            <w:pPr>
              <w:rPr>
                <w:rFonts w:ascii="arial" w:eastAsia="arial" w:hAnsi="arial" w:cs="arial"/>
                <w:sz w:val="20"/>
                <w:lang w:val="en-US" w:eastAsia="en-US" w:bidi="ar-SA"/>
              </w:rPr>
            </w:pPr>
            <w:bookmarkStart w:id="164" w:name="Case Summary_23"/>
            <w:bookmarkEnd w:id="164"/>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Application by the CN defendants for leave to admit the new expert opinion evidence of a medical doctor. While walking or riding her bicycle along the edge of a highway, MacEachern was struck by a tractor-trailer and suffered a traumatic brain injury. Her committee commenced an action against the various defendants for damages for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Purssell, a medical doctor with specialties in toxicology and emergency medicine, prepared a report for the CN defendants in which he opined that MacEachern was cognitively impaired at the time of the accident due to ingestion of drugs and that she had permanent brain damage prior to the accident as a result of drug abuse. However, MacEachern's committee took the position that the opinion was inadmissible because the internal inquiry documents upon which the opinion was based were improperly obtained and were not disclosed as required. Furthermore, Purssell's report was served out of time. The CN defendants took the position that the evidence was so substantially significant that it should not be excluded as a result of any procedural irregularity. </w:t>
            </w:r>
            <w:r>
              <w:rPr>
                <w:rFonts w:ascii="arial" w:eastAsia="arial" w:hAnsi="arial" w:cs="arial"/>
                <w:sz w:val="20"/>
                <w:lang w:val="en-US" w:eastAsia="en-US" w:bidi="ar-SA"/>
              </w:rPr>
              <w:cr/>
            </w:r>
          </w:p>
          <w:p>
            <w:pPr>
              <w:spacing w:before="120" w:line="260" w:lineRule="atLeast"/>
              <w:ind w:left="240"/>
              <w:jc w:val="both"/>
              <w:rPr>
                <w:rFonts w:ascii="arial" w:eastAsia="arial" w:hAnsi="arial" w:cs="arial"/>
                <w:sz w:val="20"/>
                <w:lang w:val="en-US" w:eastAsia="en-US" w:bidi="ar-SA"/>
              </w:rPr>
            </w:pPr>
            <w:bookmarkStart w:id="165" w:name="Holdings of Court_18"/>
            <w:bookmarkEnd w:id="165"/>
            <w:r>
              <w:rPr>
                <w:rFonts w:ascii="arial" w:eastAsia="arial" w:hAnsi="arial" w:cs="arial"/>
                <w:color w:val="000000"/>
                <w:sz w:val="20"/>
                <w:lang w:val="en-US" w:eastAsia="en-US" w:bidi="ar-SA"/>
              </w:rPr>
              <w:t>HELD: Application dismissed.</w:t>
            </w:r>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All of the opinions expressed in Purssell's report were new opinions and the information upon which the opinions were based was not obtained with due diligence. If admitted, the evidence would cause serious and irremediable prejudice to MacEachern which would far outweigh any potential prejudice to the CN defendants from the evidence's exclusion. Furthermore, the admission of the evidence would significantly disrupt the trial process. </w:t>
            </w:r>
            <w:r>
              <w:rPr>
                <w:rFonts w:ascii="arial" w:eastAsia="arial" w:hAnsi="arial" w:cs="arial"/>
                <w:sz w:val="20"/>
                <w:lang w:val="en-US" w:eastAsia="en-US" w:bidi="ar-SA"/>
              </w:rPr>
              <w:cr/>
            </w:r>
          </w:p>
          <w:p>
            <w:pPr>
              <w:rPr>
                <w:rFonts w:ascii="arial" w:eastAsia="arial" w:hAnsi="arial" w:cs="arial"/>
                <w:sz w:val="20"/>
                <w:lang w:val="en-US" w:eastAsia="en-US" w:bidi="ar-SA"/>
              </w:rPr>
            </w:pPr>
          </w:p>
        </w:tc>
      </w:tr>
    </w:tbl>
    <w:p>
      <w:pPr>
        <w:jc w:val="both"/>
        <w:rPr>
          <w:rFonts w:ascii="arial" w:eastAsia="arial" w:hAnsi="arial" w:cs="arial"/>
          <w:sz w:val="20"/>
          <w:lang w:val="en-US" w:eastAsia="en-US" w:bidi="ar-SA"/>
        </w:rPr>
      </w:pPr>
      <w:bookmarkStart w:id="166" w:name="Legislation Cited_18"/>
      <w:bookmarkEnd w:id="166"/>
      <w:r>
        <w:rPr>
          <w:rFonts w:ascii="arial" w:eastAsia="arial" w:hAnsi="arial" w:cs="arial"/>
          <w:sz w:val="20"/>
          <w:lang w:val="en-US" w:eastAsia="en-US" w:bidi="ar-SA"/>
        </w:rPr>
        <w:br/>
      </w:r>
    </w:p>
    <w:p>
      <w:pPr>
        <w:keepNext/>
        <w:spacing w:before="24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Statutes, Regulations and Rules Cited:</w:t>
      </w:r>
    </w:p>
    <w:p>
      <w:pPr>
        <w:spacing w:line="60" w:lineRule="exact"/>
        <w:rPr>
          <w:rFonts w:ascii="arial" w:eastAsia="arial" w:hAnsi="arial" w:cs="arial"/>
          <w:sz w:val="20"/>
          <w:lang w:val="en-US" w:eastAsia="en-US" w:bidi="ar-SA"/>
        </w:rPr>
      </w:pPr>
      <w:r>
        <w:pict>
          <v:line id="_x0000_s1152" style="position:absolute;z-index:251736064"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Freedom of Information And Protection of Privacy Act, </w:t>
      </w:r>
      <w:r>
        <w:rPr>
          <w:rFonts w:ascii="arial" w:eastAsia="arial" w:hAnsi="arial" w:cs="arial"/>
          <w:i/>
          <w:color w:val="000000"/>
          <w:sz w:val="20"/>
          <w:lang w:val="en-US" w:eastAsia="en-US" w:bidi="ar-SA"/>
        </w:rPr>
        <w:t>RSBC 1996, CHAPTER 165</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Rules of Court, Rule 1(5), Rule 26(1), Rule 26(13), Rule 26(14) R, Rule 40A, Rule 40A(2), Rule 40A(3), Rule 40A(4), Rule 40A(5), Rule 40A(5)(c), Rule 40A(15), Rule 40A(16), Rule 40A(16)(a), Rule 40A(16)(c), Rule 40A(17)</w:t>
      </w:r>
      <w:r>
        <w:rPr>
          <w:rFonts w:ascii="arial" w:eastAsia="arial" w:hAnsi="arial" w:cs="arial"/>
          <w:sz w:val="20"/>
          <w:lang w:val="en-US" w:eastAsia="en-US" w:bidi="ar-SA"/>
        </w:rPr>
        <w:cr/>
      </w:r>
    </w:p>
    <w:p>
      <w:pPr>
        <w:keepNext/>
        <w:spacing w:before="240" w:line="340" w:lineRule="atLeast"/>
        <w:rPr>
          <w:rFonts w:ascii="arial" w:eastAsia="arial" w:hAnsi="arial" w:cs="arial"/>
          <w:sz w:val="20"/>
          <w:lang w:val="en-US" w:eastAsia="en-US" w:bidi="ar-SA"/>
        </w:rPr>
      </w:pPr>
      <w:bookmarkStart w:id="167" w:name="Counsel_24"/>
      <w:bookmarkEnd w:id="167"/>
      <w:r>
        <w:rPr>
          <w:rFonts w:ascii="arial" w:eastAsia="arial" w:hAnsi="arial" w:cs="arial"/>
          <w:b/>
          <w:color w:val="000000"/>
          <w:sz w:val="28"/>
          <w:lang w:val="en-US" w:eastAsia="en-US" w:bidi="ar-SA"/>
        </w:rPr>
        <w:t>Counsel</w:t>
      </w:r>
    </w:p>
    <w:p>
      <w:pPr>
        <w:spacing w:line="60" w:lineRule="exact"/>
        <w:rPr>
          <w:rFonts w:ascii="arial" w:eastAsia="arial" w:hAnsi="arial" w:cs="arial"/>
          <w:sz w:val="20"/>
          <w:lang w:val="en-US" w:eastAsia="en-US" w:bidi="ar-SA"/>
        </w:rPr>
      </w:pPr>
      <w:r>
        <w:pict>
          <v:line id="_x0000_s1153" style="position:absolute;z-index:251787264"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Counsel for the Plaintiff: R.B. Webster, Q.C., B. Webster-Evans, D. Corrin.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Counsel for the Defendants J. Rennie, Canadian National Transportation: E.A. Dolden, K.S. Duffield.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Counsel for the Defendant All Weather Products: R. McLennan, J.A. Dowler.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Counsel for the Defendant R.A. Duncan: C. Hickey, J. Kandola.</w:t>
      </w:r>
      <w:r>
        <w:rPr>
          <w:rFonts w:ascii="arial" w:eastAsia="arial" w:hAnsi="arial" w:cs="arial"/>
          <w:sz w:val="20"/>
          <w:lang w:val="en-US" w:eastAsia="en-US" w:bidi="ar-SA"/>
        </w:rPr>
        <w:cr/>
      </w:r>
    </w:p>
    <w:p>
      <w:pPr>
        <w:spacing w:after="240"/>
        <w:rPr>
          <w:rFonts w:ascii="arial" w:eastAsia="arial" w:hAnsi="arial" w:cs="arial"/>
          <w:sz w:val="20"/>
          <w:lang w:val="en-US" w:eastAsia="en-US" w:bidi="ar-SA"/>
        </w:rPr>
      </w:pPr>
      <w:bookmarkStart w:id="168" w:name="Judgment_25"/>
      <w:bookmarkEnd w:id="168"/>
      <w:r>
        <w:pict>
          <v:line id="_x0000_s1154" style="position:absolute;z-index:251836416" from="0,12pt" to="512pt,12pt" strokecolor="#009ddb" strokeweight="1.5pt">
            <v:stroke linestyle="single"/>
          </v:line>
        </w:pict>
      </w:r>
    </w:p>
    <w:p>
      <w:pPr>
        <w:spacing w:before="120" w:line="260" w:lineRule="atLeast"/>
        <w:jc w:val="center"/>
        <w:rPr>
          <w:rFonts w:ascii="arial" w:eastAsia="arial" w:hAnsi="arial" w:cs="arial"/>
          <w:sz w:val="20"/>
          <w:lang w:val="en-US" w:eastAsia="en-US" w:bidi="ar-SA"/>
        </w:rPr>
      </w:pPr>
      <w:r>
        <w:rPr>
          <w:rFonts w:ascii="arial" w:eastAsia="arial" w:hAnsi="arial" w:cs="arial"/>
          <w:b/>
          <w:color w:val="000000"/>
          <w:sz w:val="20"/>
          <w:lang w:val="en-US" w:eastAsia="en-US" w:bidi="ar-SA"/>
        </w:rPr>
        <w:t>Reasons for Judgment</w:t>
      </w:r>
      <w:r>
        <w:rPr>
          <w:rFonts w:ascii="arial" w:eastAsia="arial" w:hAnsi="arial" w:cs="arial"/>
          <w:sz w:val="20"/>
          <w:lang w:val="en-US" w:eastAsia="en-US" w:bidi="ar-SA"/>
        </w:rPr>
        <w:cr/>
      </w:r>
    </w:p>
    <w:p>
      <w:pPr>
        <w:rPr>
          <w:rFonts w:ascii="arial" w:eastAsia="arial" w:hAnsi="arial" w:cs="arial"/>
          <w:sz w:val="20"/>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2320"/>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rFonts w:ascii="arial" w:eastAsia="arial" w:hAnsi="arial" w:cs="arial"/>
                <w:sz w:val="20"/>
                <w:lang w:val="en-US" w:eastAsia="en-US" w:bidi="ar-SA"/>
              </w:rPr>
            </w:pPr>
            <w:bookmarkStart w:id="169" w:name="W. EHRCKE J."/>
            <w:bookmarkEnd w:id="169"/>
            <w:r>
              <w:rPr>
                <w:rFonts w:ascii="arial" w:eastAsia="arial" w:hAnsi="arial" w:cs="arial"/>
                <w:b/>
                <w:color w:val="000000"/>
                <w:sz w:val="30"/>
                <w:lang w:val="en-US" w:eastAsia="en-US" w:bidi="ar-SA"/>
              </w:rPr>
              <w:t>W. EHRCKE J.</w:t>
            </w:r>
          </w:p>
        </w:tc>
      </w:tr>
    </w:tbl>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INTRODUCTION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xml:space="preserve">  On September 12, 2005, the plaintiff suffered traumatic brain injury when her head struck the side of a large tractor-trailer as she was walking or riding a bicycle along the side of King George Highway. The present action claiming damages for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against the various defendants was commenced by the plaintiff's committee on June 21, 2007. All defendants deny liability and allege contributory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on the part of the plaintiff. Damages are also in issue.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The trial began March 23, 2009, and the plaintiff has completed her case. The case for Mr. Rennie, Canadian National Transportation Limited, also doing business as Canadian Nat'l Trans Ltd., and Canadian National Railway Company (hereafter collectively referred to as the "CN Defendants") commenced on May 15, 2009 and is continuing.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The CN Defendants seek to introduce expert evidence from Dr. Roy Purssell, as set out in his report dated May 22, 2009, that the plaintiff was cognitively impaired from the ingestion of drugs at the time of the accident, and that she had permanent brain damage from drug abuse prior to the accident. Dr. Purssell is a medical doctor with specialties in both toxicology and emergency medicine. Because of the late delivery of his May 22, 2009 report, the CN Defendants apply under Rule 40A(16) and 40A(17) for leave to admit his expert opinion evidence.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The plaintiff opposes that application, and has brought her own application for an order that Dr. Purssell's May 22, 2009 opinion is inadmissible as well as certain evidence of Dr. Chiman Chow. The plaintiff relies on Rules 1(5), 40A, 26(1), 26(13), 26(14) and the inherent jurisdiction of the court.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The CN Defendants' application is supported by Affidavit #1 of Dr. Purssell, sworn June 22, 2009, and Affidavits #6 and #7 of Christine Becker, sworn June 23 and July 2, 2009. Christine Becker is a lawyer with Dolden Wallace Folick LLP, the solicitors for the CN Defendants.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The plaintiff's application is supported by Affidavits #3, #4, and #5 of Barbara Webster-Evans, sworn June 9, June 12, and June 28, 2009. Ms. Webster-Evans is a lawyer with Webster &amp; Associates, the solicitors for the plaintiff.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FACTS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xml:space="preserve">  The opinions set out in Dr. Purssell's May 22, 2009 report relate to a urine drug screen test that was carried out at Royal Columbian Hospital ("RCH") on a sample of the plaintiff's urine taken at 13:45 hours on September 12, 2005, just over one hour after the accident. That test was not conducted for forensic purposes or in preparation for litigation, but rather to assist medical personnel in the emergency treatment of the plaintiff when she was admitted to hospital. The results of that test were reported in a one-page document that is at page 990 of the RCH records, and was entered into evidence at this trial as tab 58 of Exhibit 5. That document, which for ease of reference I shall call "RCH page 990", was delivered to the CN Defendants as part of the normal pre-trial document disclosure process on November 8, 2007. It is covered by the Agreement Regarding Documents that was entered as Exhibit 2, whereby the parties agreed, </w:t>
      </w:r>
      <w:r>
        <w:rPr>
          <w:rFonts w:ascii="arial" w:eastAsia="arial" w:hAnsi="arial" w:cs="arial"/>
          <w:i/>
          <w:color w:val="000000"/>
          <w:sz w:val="20"/>
          <w:lang w:val="en-US" w:eastAsia="en-US" w:bidi="ar-SA"/>
        </w:rPr>
        <w:t>inter alia</w:t>
      </w:r>
      <w:r>
        <w:rPr>
          <w:rFonts w:ascii="arial" w:eastAsia="arial" w:hAnsi="arial" w:cs="arial"/>
          <w:color w:val="000000"/>
          <w:sz w:val="20"/>
          <w:lang w:val="en-US" w:eastAsia="en-US" w:bidi="ar-SA"/>
        </w:rPr>
        <w:t>, that subject to proof to the contrary:</w:t>
      </w:r>
      <w:r>
        <w:rPr>
          <w:rFonts w:ascii="arial" w:eastAsia="arial" w:hAnsi="arial" w:cs="arial"/>
          <w:sz w:val="20"/>
          <w:lang w:val="en-US" w:eastAsia="en-US" w:bidi="ar-SA"/>
        </w:rPr>
        <w:cr/>
      </w:r>
    </w:p>
    <w:p>
      <w:pPr>
        <w:numPr>
          <w:numId w:val="9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Any medical procedures, treatments or tests were conducted or administered as stated in the Documents.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RCH page 990 lists seven categories of drugs and states either "Detected" or "Not Detected" for each category. It does not set out numerical levels. It states "Not Detected" for Cocaine and for Barbiturates. It states "Detected" for Benzodiazepines, Methadone, Cannabinoids, Amphetamines, and Opiates. A box at the top of the report warns: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CAUTION: A "POSITIVE" result does not necessarily indicate an overdose.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 "Negative" result may indicate either an absence of a drug or a level below the sensitivity of the assay.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As part of her case, the plaintiff called Dr. Shao-Hua Lu on April 15, 2009, to give expert opinion evidence as to the interpretation of RCH page 990. Dr. Lu is a medical doctor, licensed to practice in British Columbia, with a specialty in psychiatry and a sub-specialty in addiction. His opinion is contained in a report dated September 10, 2008, that was delivered to the defendants in accordance with the pre-trial case management orders on November 27, 2008, and was marked as tab 24 of Exhibit 23.</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Dr. Lu testified as to the clinical purpose of the urine drug screen:</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For clinical evaluation it's important to be aware of potential withdrawal symptoms or other intoxications in terms of possible interference with medication management and so on. A urine drug screen is a basic screening tool that physicians order to see whether or not there are metabolites of various different drugs and those metabolic indications might have some bearing on future care and evaluation.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Dr. Lu gave evidence about the limitations of the information provided by a urine drug screen:</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Urine drug screens are an essential screening tool. They are semi-quantitative. It's either positive or negative. You can't really - because some factors affect urine drug screen such as the amount of hydrate, the degree of hydration, urine output, how salty or how acidic the urine is at any point. Those things affect the urine drug production. When it comes to the quantitative effects, so exactly how many nanograms per millilitre in the blood, usually we don't measure those because it's difficult to get. And also it's time consuming. Usually it gets sent [unintelligible], they have a specialized unit and usually it takes - the turnaround time for sending that information out and receiving it back is too long from a clinical standpoint for us to really use. And also cocaine, for example, has a half-life of three to four hours. Half-life meaning if one takes X amount of drugs, in three to four hours the blood concentration will be half of that. And another three hours, another half of that. So within 24 hours since last use the blood concentration of cocaine can be negligible, even though it might have some withdrawal impact. So from a clinical standpoint we don't do sort of blood tests. Almost always use urine drug screens.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Dr. Lu testified that it is impossible to determine from the plaintiff's urine drug screen whether or not she was impaired at the time of the accident: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It is impossible to determine if Ms. MacEachern was impaired in her function at the time of the accident on September 12th, 2005.</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In cross-examination by counsel for the CN Defendants, Dr. Lu emphasized that the test cannot be used to determine the levels of a drug in the subject's blood, but rather, the level of a drug metabolite in the urine: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6"/>
        <w:gridCol w:w="521"/>
        <w:gridCol w:w="240"/>
        <w:gridCol w:w="8027"/>
        <w:gridCol w:w="104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205"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Yes. So that is intended to depict the volume of drug in a particular quantity of plasma or blood?</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732"/>
        <w:gridCol w:w="8051"/>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17"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No. It's urine.</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6"/>
        <w:gridCol w:w="521"/>
        <w:gridCol w:w="240"/>
        <w:gridCol w:w="8027"/>
        <w:gridCol w:w="104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205"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Sorry, yes. Sorry, I am getting ahead. Yes, you are correct. The quantity of a particular detectable drug in a defined quantity of urine?</w:t>
            </w:r>
          </w:p>
        </w:tc>
        <w:tc>
          <w:tcPr>
            <w:tcW w:w="102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205"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No. It is the quantity of metabolites associated with those drugs in the urine based on concentration for volume.</w:t>
            </w:r>
          </w:p>
        </w:tc>
        <w:tc>
          <w:tcPr>
            <w:tcW w:w="102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205"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Yes. Yes, you are very precise. Metabolized in the sense that the kidney has taken the drug and metabolized it and processed it through the kidney, to be in the urine?</w:t>
            </w:r>
          </w:p>
        </w:tc>
        <w:tc>
          <w:tcPr>
            <w:tcW w:w="102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205"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It's metabolized in the liver but excreted in the kidney. And so the metabolite is - for example cocaine is metabolized in the liver, but it's excreted through the urine.</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Dr. Lu went on to explain that the urine drug screen test uses a cut-off limit which determines whether a given category of drug will be reported as "Detected" or "Not Detected":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6"/>
        <w:gridCol w:w="521"/>
        <w:gridCol w:w="240"/>
        <w:gridCol w:w="8027"/>
        <w:gridCol w:w="104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205"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Okay. Now, the words "cut-off limits" is intended to designate the amount that the laboratory uses as their minimum threshold limit for a detection level; is that correct?</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732"/>
        <w:gridCol w:w="8051"/>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17"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Yes.</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6"/>
        <w:gridCol w:w="521"/>
        <w:gridCol w:w="240"/>
        <w:gridCol w:w="8027"/>
        <w:gridCol w:w="104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205"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In other words - if I can put this in non-medical parlance. For example, if we take cocaine, this test does not indicate, for example, that she had 150 nanograms per millilitre, it merely indicates she had 150 nanograms, or some other amount in excess of that amount, thus the laboratory indicates it is detected; is that correct?</w:t>
            </w:r>
          </w:p>
        </w:tc>
        <w:tc>
          <w:tcPr>
            <w:tcW w:w="102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205"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Correct. The cut-off limit is essentially a reflection of the sensitivity of that test on that particular day and the reagents used. And so it only - it's what we call a semi-quantitative measure, meaning it's positive or negative. But you can't really say - for example, let's say the cut-off limit is 150. The test would not be accurate to say it's definitely 155 or 165. It only can say, you know that above 150 is positive. But I can't really say it's 210 or 212. It does not have that level of precision. So it's a semi-quantitative analysis.</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6"/>
        <w:gridCol w:w="521"/>
        <w:gridCol w:w="240"/>
        <w:gridCol w:w="8027"/>
        <w:gridCol w:w="104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205"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Okay. Now, the converse of that is - and this will be a -- we will come back to this when we look at the results from the day of the accident - when it says not detected, the corollary is that that does not mean, am I correct, zero? That simply means in terms of the cut-off limits, if we take methadone on this particular sheet, it means that they could have registered 99 nanograms per millilitre, or less, on that particular day; is that correct?</w:t>
            </w:r>
          </w:p>
        </w:tc>
        <w:tc>
          <w:tcPr>
            <w:tcW w:w="102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205"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Not precisely in the sense that it is calibrated in such a way that it provides adequate sensitivity without providing too much negative - false negative. So one can always set the limit further down, but we might get a false negative. The cut-off for any particular laboratory is aimed to state that for period of time that we generally worry that an individual might get into withdrawal-type symptoms. Anything below that is probably not relevant. And so the - the term 99 would be positive, it would be no different that this test does not have the precision to distinguish 100 versus 99 versus 98. That's the level of sensitivity. Anything below that's unknown. You can't say she might have 75, so it doesn't get detected. You can't go to that because it's either positive or negative. So it doesn't give a - if it's negative - you cannot say, well, maybe she's 99 and it's positive. Because that is a -- that's indeterminable. Any more than when it's positive it's 154 versus 150 because the test doesn't have that degree of specificity.</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15</w:t>
      </w:r>
      <w:r>
        <w:rPr>
          <w:rFonts w:ascii="arial" w:eastAsia="arial" w:hAnsi="arial" w:cs="arial"/>
          <w:color w:val="000000"/>
          <w:sz w:val="20"/>
          <w:lang w:val="en-US" w:eastAsia="en-US" w:bidi="ar-SA"/>
        </w:rPr>
        <w:t>  The evidence of Dr. Lu that the urine drug screen test did not show the plaintiff to be impaired at the time of the accident was consistent with the original expert report of Dr. Purssell dated November 24, 2008, in that Dr. Purssell did not offer an opinion that the plaintiff was cognitively impaired at the time of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w:t>
      </w:r>
      <w:r>
        <w:rPr>
          <w:rFonts w:ascii="arial" w:eastAsia="arial" w:hAnsi="arial" w:cs="arial"/>
          <w:color w:val="000000"/>
          <w:sz w:val="20"/>
          <w:lang w:val="en-US" w:eastAsia="en-US" w:bidi="ar-SA"/>
        </w:rPr>
        <w:t>  The evidence is also consistent with the eyewitnesses who saw the plaintiff and her companions on the morning of the accident. None of those persons said that the plaintiff either was or appeared to be intoxicated or impaired.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w:t>
      </w:r>
      <w:r>
        <w:rPr>
          <w:rFonts w:ascii="arial" w:eastAsia="arial" w:hAnsi="arial" w:cs="arial"/>
          <w:color w:val="000000"/>
          <w:sz w:val="20"/>
          <w:lang w:val="en-US" w:eastAsia="en-US" w:bidi="ar-SA"/>
        </w:rPr>
        <w:t>  The plaintiff does not dispute she was on methadone and was also using other drugs in the months leading up to the accident, but she does not admit that she was impaired by drugs at the time of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w:t>
      </w:r>
      <w:r>
        <w:rPr>
          <w:rFonts w:ascii="arial" w:eastAsia="arial" w:hAnsi="arial" w:cs="arial"/>
          <w:color w:val="000000"/>
          <w:sz w:val="20"/>
          <w:lang w:val="en-US" w:eastAsia="en-US" w:bidi="ar-SA"/>
        </w:rPr>
        <w:t>  In light of the evidence of the eyewitnesses, the opinion of Dr. Lu, and the opinion of Dr. Purssell in his November 24, 2008 report, plaintiff's counsel prepared their case on the basis that there was no evidence that the plaintiff was impaired at the time of the accident. Although the statement of defence of the CN Defendants alleged at paragraph 16 that the plaintiff's injuries were attributable to "pre-existing conditions which include but are not limited to the effects of, or conditions related to, methadone use ...", no evidence had been disclosed to plaintiff's counsel to support that proposition.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w:t>
      </w:r>
      <w:r>
        <w:rPr>
          <w:rFonts w:ascii="arial" w:eastAsia="arial" w:hAnsi="arial" w:cs="arial"/>
          <w:color w:val="000000"/>
          <w:sz w:val="20"/>
          <w:lang w:val="en-US" w:eastAsia="en-US" w:bidi="ar-SA"/>
        </w:rPr>
        <w:t>  This case had been subject to case management prior to trial. The case management order dated July 3, 2008, required all parties to serve their original expert reports on the other parties by November 30, 2008, to serve their rebuttal or reply reports by January 21, 2009, and to serve any final rebuttal reports by February 4, 2009. In subsequent case management orders, some of those deadlines were extended. At the request of the CN Defendants, they were permitted to deliver some of their reports as late as February 23, 2009. Nevertheless, it was clear that the CN Defendants were required to serve all of their expert reports, whether original or reply, well before the start of trial.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w:t>
      </w:r>
      <w:r>
        <w:rPr>
          <w:rFonts w:ascii="arial" w:eastAsia="arial" w:hAnsi="arial" w:cs="arial"/>
          <w:color w:val="000000"/>
          <w:sz w:val="20"/>
          <w:lang w:val="en-US" w:eastAsia="en-US" w:bidi="ar-SA"/>
        </w:rPr>
        <w:t>  Thus, when the plaintiff opened her case on March 23, 2009, she and her counsel were entitled to assume that they knew what experts the CN Defendants would be calling and what opinions they were going to offer, including reply or rebuttal reports. After all, in compliance with the case management orders, the plaintiff had delivered all her expert reports to the CN Defendants by November 28, 2008, so the CN Defendants had ample time to prepare and deliver all their reports.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w:t>
      </w:r>
      <w:r>
        <w:rPr>
          <w:rFonts w:ascii="arial" w:eastAsia="arial" w:hAnsi="arial" w:cs="arial"/>
          <w:color w:val="000000"/>
          <w:sz w:val="20"/>
          <w:lang w:val="en-US" w:eastAsia="en-US" w:bidi="ar-SA"/>
        </w:rPr>
        <w:t>  The plaintiff presented her case at trial on that basis. That is, she proceeded on the assumption that the defendants would not be leading any expert evidence purporting to show that the plaintiff was impaired by drugs at the time of the accident or that she had brain damage prior to the accident, because she had been given no notice of any such expert opinion evidence prior to the start of trial.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w:t>
      </w:r>
      <w:r>
        <w:rPr>
          <w:rFonts w:ascii="arial" w:eastAsia="arial" w:hAnsi="arial" w:cs="arial"/>
          <w:color w:val="000000"/>
          <w:sz w:val="20"/>
          <w:lang w:val="en-US" w:eastAsia="en-US" w:bidi="ar-SA"/>
        </w:rPr>
        <w:t>  The plaintiff closed her case, and the CN Defendants opened their case on May 15, 2009. The CN Defendants now seek to lead from Dr. Purssell his new opinion set out in his report dated May 22, 2009.</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The Basis for Dr. Purssell's New Opinion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w:t>
      </w:r>
      <w:r>
        <w:rPr>
          <w:rFonts w:ascii="arial" w:eastAsia="arial" w:hAnsi="arial" w:cs="arial"/>
          <w:color w:val="000000"/>
          <w:sz w:val="20"/>
          <w:lang w:val="en-US" w:eastAsia="en-US" w:bidi="ar-SA"/>
        </w:rPr>
        <w:t>  Dr. Purssell was asked by the CN Defendants to prepare a new opinion based on Internal Inquiry documents (the "Internal Inquiry documents") furnished to him by counsel for the CN Defendants on April 29, 2009. The manner in which those Internal Inquiry documents were obtained by counsel for the CN Defendants is set out in the affidavits of Christine Becker.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w:t>
      </w:r>
      <w:r>
        <w:rPr>
          <w:rFonts w:ascii="arial" w:eastAsia="arial" w:hAnsi="arial" w:cs="arial"/>
          <w:color w:val="000000"/>
          <w:sz w:val="20"/>
          <w:lang w:val="en-US" w:eastAsia="en-US" w:bidi="ar-SA"/>
        </w:rPr>
        <w:t>  On February 24, 2009, Christine Becker was reviewing the RCH page 990 drug screen that had been delivered to the CN Defendants more than fifteen months earlier. She said she believed that "Not Detected" meant no amount of the drug was present, but she decided to contact RCH to confirm that understanding. She was referred to Dr. Chiman Chow, a biochemist and associate director of the biochemistry section of the RCH laboratory. On February 27, 2009, she spoke to him on the telephone and he told her that "Not Detected" meant either that no drug was present or it was present in only trace amounts. She spoke with Dr. Chow again on April 14, 2009, and during that conversation he said the RCH drug screen produces only qualitative, not quantitative readings.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w:t>
      </w:r>
      <w:r>
        <w:rPr>
          <w:rFonts w:ascii="arial" w:eastAsia="arial" w:hAnsi="arial" w:cs="arial"/>
          <w:color w:val="000000"/>
          <w:sz w:val="20"/>
          <w:lang w:val="en-US" w:eastAsia="en-US" w:bidi="ar-SA"/>
        </w:rPr>
        <w:t>  Dr. Chow was served with a subpoena to testify for the CN Defendants on April 16, 2009.</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w:t>
      </w:r>
      <w:r>
        <w:rPr>
          <w:rFonts w:ascii="arial" w:eastAsia="arial" w:hAnsi="arial" w:cs="arial"/>
          <w:color w:val="000000"/>
          <w:sz w:val="20"/>
          <w:lang w:val="en-US" w:eastAsia="en-US" w:bidi="ar-SA"/>
        </w:rPr>
        <w:t>  On April 17, 2009, Ms. Becker contacted Richard Cleve, a medical biochemist with B.C. Biomedical, and later met with him on April 20, 2009. He informed her that "Not Detected" means that the amount is below the cut-off level. He also told her that "actual results are produced and recorded with each toxicology drug screen performed; however, B.C. Biomedical discards their records after three years." He referred her to Dr. John Heathcote, who held an equivalent position with B.C. Biomedical in 2005.</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w:t>
      </w:r>
      <w:r>
        <w:rPr>
          <w:rFonts w:ascii="arial" w:eastAsia="arial" w:hAnsi="arial" w:cs="arial"/>
          <w:color w:val="000000"/>
          <w:sz w:val="20"/>
          <w:lang w:val="en-US" w:eastAsia="en-US" w:bidi="ar-SA"/>
        </w:rPr>
        <w:t>  On April 21, 2009, Ms. Becker spoke with Dr. Chow on the telephone to ascertain how long the RCH laboratory maintains their records, and whether they had any results in relation to the plaintiff from the day of the accident. She asked if he would be willing to meet with them to discuss what evidence he had, and he agreed to a meeting on April 29, 2009.</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w:t>
      </w:r>
      <w:r>
        <w:rPr>
          <w:rFonts w:ascii="arial" w:eastAsia="arial" w:hAnsi="arial" w:cs="arial"/>
          <w:color w:val="000000"/>
          <w:sz w:val="20"/>
          <w:lang w:val="en-US" w:eastAsia="en-US" w:bidi="ar-SA"/>
        </w:rPr>
        <w:t>  At 2:00 p.m. on April 29, 2009, Dr. Chow met with Christine Becker at the offices of Dolden Wallace Folick LLP. According to Ms. Becker:</w:t>
      </w:r>
      <w:r>
        <w:rPr>
          <w:rFonts w:ascii="arial" w:eastAsia="arial" w:hAnsi="arial" w:cs="arial"/>
          <w:sz w:val="20"/>
          <w:lang w:val="en-US" w:eastAsia="en-US" w:bidi="ar-SA"/>
        </w:rPr>
        <w:cr/>
      </w:r>
    </w:p>
    <w:p>
      <w:pPr>
        <w:numPr>
          <w:numId w:val="2"/>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Approximately one hour into the meeting after describing the type of equipment used at the RCH Laboratory and their testing procedures, Dr. Chow confirmed, for the first time, that the RCH Laboratory still had the Plaintiff's Drug Screen Results.</w:t>
      </w:r>
    </w:p>
    <w:p>
      <w:pPr>
        <w:numPr>
          <w:numId w:val="3"/>
        </w:numPr>
        <w:tabs>
          <w:tab w:val="num" w:pos="1120"/>
          <w:tab w:val="clear" w:pos="184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Dr. Chow explained to me (and Mr. Dolden who was present in the meeting) that the actual quantitative readings were stored electronically, and he (or other employees at the RCH Laboratory) had been able to retrieve it electronically so as to be able now to produce it in paper form which he now had in his file.</w:t>
      </w:r>
    </w:p>
    <w:p>
      <w:pPr>
        <w:numPr>
          <w:numId w:val="4"/>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As I understood from what Dr. Chow said, the information had not historically been in "hard copy" form, but instead he had taken the electronic information and turned it into "paper form" following one of my telephone calls requesting what information he had.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w:t>
      </w:r>
      <w:r>
        <w:rPr>
          <w:rFonts w:ascii="arial" w:eastAsia="arial" w:hAnsi="arial" w:cs="arial"/>
          <w:color w:val="000000"/>
          <w:sz w:val="20"/>
          <w:lang w:val="en-US" w:eastAsia="en-US" w:bidi="ar-SA"/>
        </w:rPr>
        <w:t>  Dr. Chow then produced a two-page Internal Inquiry document bearing a run date of April 14, 2009 and one-page Internal Inquiry document bearing a run date of April 21, 2009. He was at first reluctant to show these to counsel for the CN Defendants, but after Ms. Becker told him that because he was under subpoena, he was obliged to produce the plaintiff's drug screen results if he had them in his file and would be required to produce them when he took the witness stand, he permitted her to make photocopies of them. She told him that their office would furnish copies to all other parties forthwith.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w:t>
      </w:r>
      <w:r>
        <w:rPr>
          <w:rFonts w:ascii="arial" w:eastAsia="arial" w:hAnsi="arial" w:cs="arial"/>
          <w:color w:val="000000"/>
          <w:sz w:val="20"/>
          <w:lang w:val="en-US" w:eastAsia="en-US" w:bidi="ar-SA"/>
        </w:rPr>
        <w:t>  Consistent with the RCH page 990 document, these Internal Inquiry documents list the same seven categories of drugs and state whether they were Detected or Not Detected, but they also contain the following notations: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Cocaine Not Detected @ Specimen Rate: 354.63 Cut-off Rate: 390.14</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Benzodiazepines Detected @ Specimen Rate: 608.60 Cut-off Rate: 424.30</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Methadone Detected @ Specimen Rate: 609.83 Cut-off Rate: 465.52</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Cannabinoids Detected @ Specimen Rate: 574.03 Cut-off Rate: 512.31</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Barbiturates Not Detected @ Specimen Rate: 342.87 Cut-off Rate: 392.63</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Amphetamines Detected @ Specimen Rate: 811.57 Cut-off Rate: 384.18</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Opiates Detected @ Specimen Rate: 667.81 Cut-off Rate: 493.68</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w:t>
      </w:r>
      <w:r>
        <w:rPr>
          <w:rFonts w:ascii="arial" w:eastAsia="arial" w:hAnsi="arial" w:cs="arial"/>
          <w:color w:val="000000"/>
          <w:sz w:val="20"/>
          <w:lang w:val="en-US" w:eastAsia="en-US" w:bidi="ar-SA"/>
        </w:rPr>
        <w:t>  At the end of the meeting on April 29, 2009, counsel for the CN Defendants faxed the Internal Inquiry documents to Dr. Purssell. They did not, however, provide them to counsel for the plaintiff until the next day. They were received in the office of counsel for the plaintiff at a few minutes past 11:00 a.m. on April 30, 2009, along with the Twelfth Supplemental List of Documents of the CN Defendants.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w:t>
      </w:r>
      <w:r>
        <w:rPr>
          <w:rFonts w:ascii="arial" w:eastAsia="arial" w:hAnsi="arial" w:cs="arial"/>
          <w:color w:val="000000"/>
          <w:sz w:val="20"/>
          <w:lang w:val="en-US" w:eastAsia="en-US" w:bidi="ar-SA"/>
        </w:rPr>
        <w:t>  In the meantime, counsel for the CN Defendants had arranged a meeting in their offices with Dr. Heathcote for the morning of April 30, 2009. That meeting commenced at around 9:00 a.m. and was attended shortly thereafter by Barbara Webster-Evans, counsel for the plaintiff. Throughout that meeting, Ms. Webster-Evans was unaware of the existence of the Internal Inquiry documents. Ms. Becker had, however, given Dr. Heathcote a copy of the Internal Inquiry documents at the beginning of the meeting, prior to Ms. Webster-Evans' arrival.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w:t>
      </w:r>
      <w:r>
        <w:rPr>
          <w:rFonts w:ascii="arial" w:eastAsia="arial" w:hAnsi="arial" w:cs="arial"/>
          <w:color w:val="000000"/>
          <w:sz w:val="20"/>
          <w:lang w:val="en-US" w:eastAsia="en-US" w:bidi="ar-SA"/>
        </w:rPr>
        <w:t>  Thus, despite having told Dr. Chow that she would provide copies of the Internal Inquiry documents to the other parties "forthwith", Ms. Becker did not do so until the next morning. Prior to providing them to counsel for the plaintiff, she had provided them to two persons whom Dolden Wallace Folick LLP decided to call as witnesses for CN Defendants: Dr. Purssell and Dr. Heathcote.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34</w:t>
      </w:r>
      <w:r>
        <w:rPr>
          <w:rFonts w:ascii="arial" w:eastAsia="arial" w:hAnsi="arial" w:cs="arial"/>
          <w:color w:val="000000"/>
          <w:sz w:val="20"/>
          <w:lang w:val="en-US" w:eastAsia="en-US" w:bidi="ar-SA"/>
        </w:rPr>
        <w:t>  On May 8, 2009, Dr. Chow provided calibration documents for the RCH urine drug testing equipment to counsel for the CN Defendants, who in turn disclosed them to counsel for the plaintiff on May 11, 2009.</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35</w:t>
      </w:r>
      <w:r>
        <w:rPr>
          <w:rFonts w:ascii="arial" w:eastAsia="arial" w:hAnsi="arial" w:cs="arial"/>
          <w:color w:val="000000"/>
          <w:sz w:val="20"/>
          <w:lang w:val="en-US" w:eastAsia="en-US" w:bidi="ar-SA"/>
        </w:rPr>
        <w:t>  In his affidavit, Dr. Purssell states that when he prepared his November 24, 2008 report, he assumed that "Not Detected" denoted the absence of both cocaine and barbiturates since the RCH page 990 drug screen report did not delineate any nominal cut-off limits.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36</w:t>
      </w:r>
      <w:r>
        <w:rPr>
          <w:rFonts w:ascii="arial" w:eastAsia="arial" w:hAnsi="arial" w:cs="arial"/>
          <w:color w:val="000000"/>
          <w:sz w:val="20"/>
          <w:lang w:val="en-US" w:eastAsia="en-US" w:bidi="ar-SA"/>
        </w:rPr>
        <w:t>  In his new report of May 22, 2009, Dr. Purssell takes the figures listed on the Internal Inquiry documents provided by Dr. Chow and converts the "Beckman" numbers to what he believes is the equivalent in ng/ml. (nanograms per millilitre). He considers the numerical "specimen rates" set out in the Internal Inquiry documents and offers his opinion that the plaintiff "had clinically significant amounts of cocaine and barbiturates" despite the fact they were reported as "Not Detected". He discusses each of the seven categories of drugs that were screened and their synergistic effect at the "specimen rates" set out in the Internal Inquiry. His opinion regarding impairment is set out at page 19:</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Dr. Purssell is of the opinion that it is highly probable that Ms. MacEachern was cognitively impaired at the time of the accident as a result of the amounts and combination of drugs in her system as indicated by her September 12, 2005 RCH urine drug screen results.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37</w:t>
      </w:r>
      <w:r>
        <w:rPr>
          <w:rFonts w:ascii="arial" w:eastAsia="arial" w:hAnsi="arial" w:cs="arial"/>
          <w:color w:val="000000"/>
          <w:sz w:val="20"/>
          <w:lang w:val="en-US" w:eastAsia="en-US" w:bidi="ar-SA"/>
        </w:rPr>
        <w:t>  Dr. Purssell also offered the opinion at page 24 that the plaintiff had permanent brain damage prior to the accident: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Dr. Purssell is also of the opinion that it is highly probable that Ms. MacEachern was cognitively impaired at the time of the accident given that, by September 12, 2005, Ms. MacEachern likely suffered from permanent brain damage as a result of her three year history of chronic polysubstance abuse.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Issues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38</w:t>
      </w:r>
      <w:r>
        <w:rPr>
          <w:rFonts w:ascii="arial" w:eastAsia="arial" w:hAnsi="arial" w:cs="arial"/>
          <w:color w:val="000000"/>
          <w:sz w:val="20"/>
          <w:lang w:val="en-US" w:eastAsia="en-US" w:bidi="ar-SA"/>
        </w:rPr>
        <w:t>  The plaintiff advances three bases on which the evidence of Dr. Purssell's May 22, 2009 opinions should not be admitted in evidence: first, because the May 22, 2009 report is based on the Internal Inquiry documents which were improperly obtained by Dr. Chow in contravention of the plaintiff's right to privacy; second, because the Internal Inquiry documents obtained by Dr. Chow were not disclosed as required by Rule 26(13); and third, because Dr. Purssell's May 22, 2009 report was served out of time.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39</w:t>
      </w:r>
      <w:r>
        <w:rPr>
          <w:rFonts w:ascii="arial" w:eastAsia="arial" w:hAnsi="arial" w:cs="arial"/>
          <w:color w:val="000000"/>
          <w:sz w:val="20"/>
          <w:lang w:val="en-US" w:eastAsia="en-US" w:bidi="ar-SA"/>
        </w:rPr>
        <w:t>  Counsel for the CN Defendants submits that Dr. Purssell's May 22, 2009 report should be received in evidence, and suggests that many of the opinions are not subject to the notice requirements because they are revisions of previous opinions taking into account newly discovered facts or are rebuttals to opinions of Dr. Lu that were not contained in his report. The CN Defendants in any case seek leave either to extend the time for delivery of the May 22, 2009 report pursuant to Rule 40A(17), or to dispense with the need for notice altogether pursuant to Rules 40A(15), 40A16(a), or 40A16(c). The overall position of the CN Defendants is that the substantive significance of the evidence is such that it should not be excluded because of any procedural irregularity.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The Manner in Which the Internal Inquiry Documents Were Obtained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40</w:t>
      </w:r>
      <w:r>
        <w:rPr>
          <w:rFonts w:ascii="arial" w:eastAsia="arial" w:hAnsi="arial" w:cs="arial"/>
          <w:color w:val="000000"/>
          <w:sz w:val="20"/>
          <w:lang w:val="en-US" w:eastAsia="en-US" w:bidi="ar-SA"/>
        </w:rPr>
        <w:t>  The plaintiff submits that the Internal Inquiry documents should not have been accessed by Dr. Chow, and that having accessed them, he should not have disclosed them to the CN Defendants. The CN Defendants argue that the Internal Inquiry documents were not improperly obtained, and in any event, they say the documents formed part of the plaintiff's clinical records which should have been disclosed by the plaintiff in her document lists.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41</w:t>
      </w:r>
      <w:r>
        <w:rPr>
          <w:rFonts w:ascii="arial" w:eastAsia="arial" w:hAnsi="arial" w:cs="arial"/>
          <w:color w:val="000000"/>
          <w:sz w:val="20"/>
          <w:lang w:val="en-US" w:eastAsia="en-US" w:bidi="ar-SA"/>
        </w:rPr>
        <w:t>  I do not agree with the CN Defendants that the Internal Inquiry documents should have been disclosed in the plaintiff's document list as part of her clinical records. The plaintiff had requested RCH to produce all her records to her and had given RCH a written authorization to do so. The records which RCH gave to the plaintiff included the RCH page 990 drug screen, but not the Internal Inquiry documents. The plaintiff disclosed to the defence in her document list all the RCH records that she had received. The plaintiff cannot be faulted for failing to disclose the Internal Inquiry documents of which she and her counsel were unaware.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42</w:t>
      </w:r>
      <w:r>
        <w:rPr>
          <w:rFonts w:ascii="arial" w:eastAsia="arial" w:hAnsi="arial" w:cs="arial"/>
          <w:color w:val="000000"/>
          <w:sz w:val="20"/>
          <w:lang w:val="en-US" w:eastAsia="en-US" w:bidi="ar-SA"/>
        </w:rPr>
        <w:t>  Neither can RCH be faulted for not including the Internal Inquiry documents in the clinical records given to the plaintiff. The Internal Inquiry documents apparently did not exist in hard copy form until Dr. Chow printed them out on April 14 and April 21, 2009. Moreover, even as electronic data, they were not produced or used as part of the clinical treatment of the plaintiff. The hospital staff who treated the plaintiff were apparently unaware that the Internal Inquiry information even existed. This is not surprising, since, as Dr. Lu testified, the "Detected" or "Not Detected" information contained on RCH page 990 was the only information needed for the clinical purpose of treating the plaintiff. This was confirmed by one of the witnesses called by the CN Defendants, Dr. Jessica McNabb, who said that they do not get quantitative information from a urine drug screen.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43</w:t>
      </w:r>
      <w:r>
        <w:rPr>
          <w:rFonts w:ascii="arial" w:eastAsia="arial" w:hAnsi="arial" w:cs="arial"/>
          <w:color w:val="000000"/>
          <w:sz w:val="20"/>
          <w:lang w:val="en-US" w:eastAsia="en-US" w:bidi="ar-SA"/>
        </w:rPr>
        <w:t>  The manner in which the CN Defendants obtained the Internal Inquiry documents was unusual. If counsel for the CN Defendants thought that RCH had more relevant documents than had been produced, it would have been a simple matter for them to bring that to the attention of counsel for the plaintiff, who then could have made the appropriate inquiries of the hospital administration. Had that procedure been followed, it would have ensured that no information was disclosed that was outside the plaintiff's explicit or implied consent to disclosure. It would have ensured that there was no breach of the plaintiff's right to privacy and confidentiality. It would also have ensured that all parties had timely access to the same information. Instead, the process used by counsel for the CN Defendants resulted in their witnesses being giving copies of the documents before counsel for the plaintiff even knew they existed. The plaintiff feels that her right to privacy and confidentiality was not respected, and she questions how an employee of a hospital services provider, Dr. Chow, could have accessed her personal medical information without her knowledge.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44</w:t>
      </w:r>
      <w:r>
        <w:rPr>
          <w:rFonts w:ascii="arial" w:eastAsia="arial" w:hAnsi="arial" w:cs="arial"/>
          <w:color w:val="000000"/>
          <w:sz w:val="20"/>
          <w:lang w:val="en-US" w:eastAsia="en-US" w:bidi="ar-SA"/>
        </w:rPr>
        <w:t xml:space="preserve">  Counsel for the plaintiff argues that the process used to obtain the information was improper, and possibly illegal, and argues that an offence may have been committed under the </w:t>
      </w:r>
      <w:r>
        <w:rPr>
          <w:rFonts w:ascii="arial" w:eastAsia="arial" w:hAnsi="arial" w:cs="arial"/>
          <w:i/>
          <w:color w:val="000000"/>
          <w:sz w:val="20"/>
          <w:lang w:val="en-US" w:eastAsia="en-US" w:bidi="ar-SA"/>
        </w:rPr>
        <w:t>Freedom of Information And Protection of Privacy Act</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R.S.B.C. 1996, c. 165</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45</w:t>
      </w:r>
      <w:r>
        <w:rPr>
          <w:rFonts w:ascii="arial" w:eastAsia="arial" w:hAnsi="arial" w:cs="arial"/>
          <w:color w:val="000000"/>
          <w:sz w:val="20"/>
          <w:lang w:val="en-US" w:eastAsia="en-US" w:bidi="ar-SA"/>
        </w:rPr>
        <w:t>  The material before me does not provide a complete picture of how Dr. Chow came into possession of the Internal Inquiry documents. Dr. Chow has not filed an affidavit, nor has he testified. We do not know whether he consulted with RCH administration before accessing the plaintiff's information. We do not know what, if any, agreement exists between him and RCH regarding his authority to access information. We do not know what steps had to be taken to retrieve the electronic data that was later reduced to hard copy and given to counsel for the CN Defendants, nor do we know whether Dr. Chow took those steps himself or whether others did it for him. In these circumstances, I am not prepared to come to any final conclusion about the propriety or impropriety of the circumstances under which counsel for the CN Defendants obtained the Internal Inquiry documents.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46</w:t>
      </w:r>
      <w:r>
        <w:rPr>
          <w:rFonts w:ascii="arial" w:eastAsia="arial" w:hAnsi="arial" w:cs="arial"/>
          <w:color w:val="000000"/>
          <w:sz w:val="20"/>
          <w:lang w:val="en-US" w:eastAsia="en-US" w:bidi="ar-SA"/>
        </w:rPr>
        <w:t xml:space="preserve">  The fact is that the CN Defendants, and indeed all the parties, are now in possession of the Internal Inquiry documents. The question now to be determined is whether those documents, and any opinion evidence based on them, should be excluded from evidence at trial. On the material before me, I am not satisfied that the process by which they were obtained, even if irregular, provides a sufficient basis for exclusion: </w:t>
      </w:r>
      <w:r>
        <w:rPr>
          <w:rFonts w:ascii="arial" w:eastAsia="arial" w:hAnsi="arial" w:cs="arial"/>
          <w:i/>
          <w:color w:val="000000"/>
          <w:sz w:val="20"/>
          <w:lang w:val="en-US" w:eastAsia="en-US" w:bidi="ar-SA"/>
        </w:rPr>
        <w:t>Schmidt v. Pu</w:t>
      </w:r>
      <w:r>
        <w:rPr>
          <w:rFonts w:ascii="arial" w:eastAsia="arial" w:hAnsi="arial" w:cs="arial"/>
          <w:color w:val="000000"/>
          <w:sz w:val="20"/>
          <w:lang w:val="en-US" w:eastAsia="en-US" w:bidi="ar-SA"/>
        </w:rPr>
        <w:t xml:space="preserve">, </w:t>
      </w:r>
      <w:hyperlink r:id="rId531" w:history="1">
        <w:r>
          <w:rPr>
            <w:rFonts w:ascii="arial" w:eastAsia="arial" w:hAnsi="arial" w:cs="arial"/>
            <w:i/>
            <w:color w:val="0077CC"/>
            <w:sz w:val="20"/>
            <w:u w:val="single"/>
            <w:shd w:val="clear" w:color="auto" w:fill="FFFFFF"/>
            <w:lang w:val="en-US" w:eastAsia="en-US" w:bidi="ar-SA"/>
          </w:rPr>
          <w:t>[1994] B.C.J. No. 32</w:t>
        </w:r>
      </w:hyperlink>
      <w:r>
        <w:rPr>
          <w:rFonts w:ascii="arial" w:eastAsia="arial" w:hAnsi="arial" w:cs="arial"/>
          <w:color w:val="000000"/>
          <w:sz w:val="20"/>
          <w:lang w:val="en-US" w:eastAsia="en-US" w:bidi="ar-SA"/>
        </w:rPr>
        <w:t xml:space="preserve">, </w:t>
      </w:r>
      <w:hyperlink r:id="rId531" w:history="1">
        <w:r>
          <w:rPr>
            <w:rFonts w:ascii="arial" w:eastAsia="arial" w:hAnsi="arial" w:cs="arial"/>
            <w:i/>
            <w:color w:val="0077CC"/>
            <w:sz w:val="20"/>
            <w:u w:val="single"/>
            <w:shd w:val="clear" w:color="auto" w:fill="FFFFFF"/>
            <w:lang w:val="en-US" w:eastAsia="en-US" w:bidi="ar-SA"/>
          </w:rPr>
          <w:t>1994 CanLII 3014</w:t>
        </w:r>
      </w:hyperlink>
      <w:r>
        <w:rPr>
          <w:rFonts w:ascii="arial" w:eastAsia="arial" w:hAnsi="arial" w:cs="arial"/>
          <w:color w:val="000000"/>
          <w:sz w:val="20"/>
          <w:lang w:val="en-US" w:eastAsia="en-US" w:bidi="ar-SA"/>
        </w:rPr>
        <w:t xml:space="preserve"> (B.C.S.C.).</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The Manner in Which the Internal Inquiry Documents Were Disclosed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47</w:t>
      </w:r>
      <w:r>
        <w:rPr>
          <w:rFonts w:ascii="arial" w:eastAsia="arial" w:hAnsi="arial" w:cs="arial"/>
          <w:color w:val="000000"/>
          <w:sz w:val="20"/>
          <w:lang w:val="en-US" w:eastAsia="en-US" w:bidi="ar-SA"/>
        </w:rPr>
        <w:t>  The plaintiff argues that the Internal Inquiry documents obtained by Dr. Chow were not disclosed as required by Rule 26(13), and should therefore be excluded pursuant to Rule 26(14). Those rules provide: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26(13) Where, after a list of documents has been delivered under this rule,</w:t>
      </w:r>
    </w:p>
    <w:p>
      <w:pPr>
        <w:numPr>
          <w:numId w:val="5"/>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it comes to the attention of the party delivering it that the list was inaccurate or incomplete, or</w:t>
      </w:r>
    </w:p>
    <w:p>
      <w:pPr>
        <w:numPr>
          <w:numId w:val="5"/>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a document relating to a matter in question in the action comes into the party's possession or control,</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party shall deliver forthwith a supplementary list specifying the inaccuracy or document.</w:t>
      </w:r>
    </w:p>
    <w:p>
      <w:pPr>
        <w:numPr>
          <w:numId w:val="6"/>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Unless the court otherwise orders, where a party fails to make discovery of or produce for inspection or copying a document as required by this rule, the party may not put the document in evidence in the proceeding or use it for the purpose of examination or cross-examination.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48</w:t>
      </w:r>
      <w:r>
        <w:rPr>
          <w:rFonts w:ascii="arial" w:eastAsia="arial" w:hAnsi="arial" w:cs="arial"/>
          <w:color w:val="000000"/>
          <w:sz w:val="20"/>
          <w:lang w:val="en-US" w:eastAsia="en-US" w:bidi="ar-SA"/>
        </w:rPr>
        <w:t>  The plaintiff says that Rule 26(13) required counsel for the CN Defendants to disclose the Internal Inquiry documents forthwith when those documents came into their possession. In addition to the requirement of Rule 26(13), Ms. Becker also promised Dr. Chow that she would provide a copy of the documents to all parties forthwith.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49</w:t>
      </w:r>
      <w:r>
        <w:rPr>
          <w:rFonts w:ascii="arial" w:eastAsia="arial" w:hAnsi="arial" w:cs="arial"/>
          <w:color w:val="000000"/>
          <w:sz w:val="20"/>
          <w:lang w:val="en-US" w:eastAsia="en-US" w:bidi="ar-SA"/>
        </w:rPr>
        <w:t>  Counsel for the CN Defendants submit that they disclosed the documents to plaintiff's counsel a little after 11:00 a.m. on the day after they received them, and in the circumstances, that should be considered sufficient compliance with the requirement to disclose forthwith. I do not agree with that submission.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50</w:t>
      </w:r>
      <w:r>
        <w:rPr>
          <w:rFonts w:ascii="arial" w:eastAsia="arial" w:hAnsi="arial" w:cs="arial"/>
          <w:color w:val="000000"/>
          <w:sz w:val="20"/>
          <w:lang w:val="en-US" w:eastAsia="en-US" w:bidi="ar-SA"/>
        </w:rPr>
        <w:t xml:space="preserve">  The word "forthwith" does not mean "instantaneously"; consideration must be given to what, from an objective point of view, is reasonably practicable in the circumstances: </w:t>
      </w:r>
      <w:r>
        <w:rPr>
          <w:rFonts w:ascii="arial" w:eastAsia="arial" w:hAnsi="arial" w:cs="arial"/>
          <w:i/>
          <w:color w:val="000000"/>
          <w:sz w:val="20"/>
          <w:lang w:val="en-US" w:eastAsia="en-US" w:bidi="ar-SA"/>
        </w:rPr>
        <w:t>Vukelich v. Vancouver Pre-trial Centre, Director</w:t>
      </w:r>
      <w:r>
        <w:rPr>
          <w:rFonts w:ascii="arial" w:eastAsia="arial" w:hAnsi="arial" w:cs="arial"/>
          <w:color w:val="000000"/>
          <w:sz w:val="20"/>
          <w:lang w:val="en-US" w:eastAsia="en-US" w:bidi="ar-SA"/>
        </w:rPr>
        <w:t xml:space="preserve"> </w:t>
      </w:r>
      <w:hyperlink r:id="rId532" w:history="1">
        <w:r>
          <w:rPr>
            <w:rFonts w:ascii="arial" w:eastAsia="arial" w:hAnsi="arial" w:cs="arial"/>
            <w:i/>
            <w:color w:val="0077CC"/>
            <w:sz w:val="20"/>
            <w:u w:val="single"/>
            <w:shd w:val="clear" w:color="auto" w:fill="FFFFFF"/>
            <w:lang w:val="en-US" w:eastAsia="en-US" w:bidi="ar-SA"/>
          </w:rPr>
          <w:t>(1993), 87 C.C.C. (3d) 32</w:t>
        </w:r>
      </w:hyperlink>
      <w:r>
        <w:rPr>
          <w:rFonts w:ascii="arial" w:eastAsia="arial" w:hAnsi="arial" w:cs="arial"/>
          <w:color w:val="000000"/>
          <w:sz w:val="20"/>
          <w:lang w:val="en-US" w:eastAsia="en-US" w:bidi="ar-SA"/>
        </w:rPr>
        <w:t xml:space="preserve"> (B.C.C.A.). On the particular facts of this case, disclosing the documents at 11:00 a.m. on April 30, 2009 when they were received at 3:00 p.m. on April 29, 2009 does not constitute delivery forthwith. Counsel for the CN Defendants were able to fax the documents to Dr. Purssell on the afternoon of April 29, 2009, as soon as the meeting with Dr. Chow had ended. There was no justification for delaying the disclosure to counsel for the plaintiff for another 19 hours. Similarly, there was no justification for providing the documents to Dr. Heathcote at 9:00 a.m. on April 30, 2009 without also providing them to Ms. Webster-Evans at that same meeting. I find that the documents were not, in the circumstances of this case, disclosed forthwith, and the CN Defendants have not complied with the requirements of Rule 26(13). I do not accept the argument that the delay was a reasonable amount of time for counsel's support staff to prepare a new list of documents. Ms. Becker could have faxed the documents with a simple cover sheet to counsel for the plaintiff at the same time they were faxed to Dr. Purssell: see </w:t>
      </w:r>
      <w:r>
        <w:rPr>
          <w:rFonts w:ascii="arial" w:eastAsia="arial" w:hAnsi="arial" w:cs="arial"/>
          <w:i/>
          <w:color w:val="000000"/>
          <w:sz w:val="20"/>
          <w:lang w:val="en-US" w:eastAsia="en-US" w:bidi="ar-SA"/>
        </w:rPr>
        <w:t>Robitaille v. Vancouver Hockey Club</w:t>
      </w:r>
      <w:r>
        <w:rPr>
          <w:rFonts w:ascii="arial" w:eastAsia="arial" w:hAnsi="arial" w:cs="arial"/>
          <w:color w:val="000000"/>
          <w:sz w:val="20"/>
          <w:lang w:val="en-US" w:eastAsia="en-US" w:bidi="ar-SA"/>
        </w:rPr>
        <w:t xml:space="preserve"> </w:t>
      </w:r>
      <w:hyperlink r:id="rId533" w:history="1">
        <w:r>
          <w:rPr>
            <w:rFonts w:ascii="arial" w:eastAsia="arial" w:hAnsi="arial" w:cs="arial"/>
            <w:i/>
            <w:color w:val="0077CC"/>
            <w:sz w:val="20"/>
            <w:u w:val="single"/>
            <w:shd w:val="clear" w:color="auto" w:fill="FFFFFF"/>
            <w:lang w:val="en-US" w:eastAsia="en-US" w:bidi="ar-SA"/>
          </w:rPr>
          <w:t>(1981), 30 B.C.L.R. 286</w:t>
        </w:r>
      </w:hyperlink>
      <w:r>
        <w:rPr>
          <w:rFonts w:ascii="arial" w:eastAsia="arial" w:hAnsi="arial" w:cs="arial"/>
          <w:color w:val="000000"/>
          <w:sz w:val="20"/>
          <w:lang w:val="en-US" w:eastAsia="en-US" w:bidi="ar-SA"/>
        </w:rPr>
        <w:t xml:space="preserve"> (C.A.), at p. 306.</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51</w:t>
      </w:r>
      <w:r>
        <w:rPr>
          <w:rFonts w:ascii="arial" w:eastAsia="arial" w:hAnsi="arial" w:cs="arial"/>
          <w:color w:val="000000"/>
          <w:sz w:val="20"/>
          <w:lang w:val="en-US" w:eastAsia="en-US" w:bidi="ar-SA"/>
        </w:rPr>
        <w:t xml:space="preserve">  However, given that there was eventual disclosure, albeit after a 19-hour delay, I would not exclude the documents under Rule 26(14): </w:t>
      </w:r>
      <w:r>
        <w:rPr>
          <w:rFonts w:ascii="arial" w:eastAsia="arial" w:hAnsi="arial" w:cs="arial"/>
          <w:i/>
          <w:color w:val="000000"/>
          <w:sz w:val="20"/>
          <w:lang w:val="en-US" w:eastAsia="en-US" w:bidi="ar-SA"/>
        </w:rPr>
        <w:t>Jones, Gable &amp; Co. v. Price</w:t>
      </w:r>
      <w:r>
        <w:rPr>
          <w:rFonts w:ascii="arial" w:eastAsia="arial" w:hAnsi="arial" w:cs="arial"/>
          <w:color w:val="000000"/>
          <w:sz w:val="20"/>
          <w:lang w:val="en-US" w:eastAsia="en-US" w:bidi="ar-SA"/>
        </w:rPr>
        <w:t xml:space="preserve"> </w:t>
      </w:r>
      <w:hyperlink r:id="rId534" w:history="1">
        <w:r>
          <w:rPr>
            <w:rFonts w:ascii="arial" w:eastAsia="arial" w:hAnsi="arial" w:cs="arial"/>
            <w:i/>
            <w:color w:val="0077CC"/>
            <w:sz w:val="20"/>
            <w:u w:val="single"/>
            <w:shd w:val="clear" w:color="auto" w:fill="FFFFFF"/>
            <w:lang w:val="en-US" w:eastAsia="en-US" w:bidi="ar-SA"/>
          </w:rPr>
          <w:t>(1977), 5 B.C.L.R. 103</w:t>
        </w:r>
      </w:hyperlink>
      <w:r>
        <w:rPr>
          <w:rFonts w:ascii="arial" w:eastAsia="arial" w:hAnsi="arial" w:cs="arial"/>
          <w:color w:val="000000"/>
          <w:sz w:val="20"/>
          <w:lang w:val="en-US" w:eastAsia="en-US" w:bidi="ar-SA"/>
        </w:rPr>
        <w:t xml:space="preserve"> (S.C.).</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The Late Notice of Dr. Purssell's May 22, 2009 Opinion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52</w:t>
      </w:r>
      <w:r>
        <w:rPr>
          <w:rFonts w:ascii="arial" w:eastAsia="arial" w:hAnsi="arial" w:cs="arial"/>
          <w:color w:val="000000"/>
          <w:sz w:val="20"/>
          <w:lang w:val="en-US" w:eastAsia="en-US" w:bidi="ar-SA"/>
        </w:rPr>
        <w:t>  The aspect of this matter that causes me the most concern is the very late delivery of Dr. Purssell's new opinion. Rule 40A requires a party to give proper notice of its intention to call expert opinion evidence, and also requires a written statement to be furnished setting out the details of the opinion. Rules 40A(2)-(5) provide: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40(2) A written statement setting out the opinion of an expert is admissible at trial, without proof of the expert's signature, if a copy of the statement is furnished to every party of record at least 60 days before the statement is tendered in evidence.</w:t>
      </w:r>
    </w:p>
    <w:p>
      <w:pPr>
        <w:numPr>
          <w:numId w:val="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An expert may give oral opinion evidence if a written statement of the opinion has been delivered to every party of record at least 60 days before the expert testifies.</w:t>
      </w:r>
    </w:p>
    <w:p>
      <w:pPr>
        <w:numPr>
          <w:numId w:val="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statement also may be tendered in evidence.</w:t>
      </w:r>
    </w:p>
    <w:p>
      <w:pPr>
        <w:numPr>
          <w:numId w:val="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statement shall set out or be accompanied by a supplementary statement setting out the following:</w:t>
      </w:r>
    </w:p>
    <w:p>
      <w:pPr>
        <w:numPr>
          <w:numId w:val="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qualifications of the expert;</w:t>
      </w:r>
    </w:p>
    <w:p>
      <w:pPr>
        <w:numPr>
          <w:numId w:val="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facts and assumptions on which the opinion is based;</w:t>
      </w:r>
    </w:p>
    <w:p>
      <w:pPr>
        <w:numPr>
          <w:numId w:val="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name of the person primarily responsible for the content of the statement.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53</w:t>
      </w:r>
      <w:r>
        <w:rPr>
          <w:rFonts w:ascii="arial" w:eastAsia="arial" w:hAnsi="arial" w:cs="arial"/>
          <w:color w:val="000000"/>
          <w:sz w:val="20"/>
          <w:lang w:val="en-US" w:eastAsia="en-US" w:bidi="ar-SA"/>
        </w:rPr>
        <w:t>  I pause to note here that it is questionable whether the May 22, 2009 statement complies with the requirement of Rule 40A(5)(c). The statement is unsigned, and it refers to Dr. Purssell in the third person. It is unclear whether the statement was written by Dr. Purssell or by counsel or by someone else.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54</w:t>
      </w:r>
      <w:r>
        <w:rPr>
          <w:rFonts w:ascii="arial" w:eastAsia="arial" w:hAnsi="arial" w:cs="arial"/>
          <w:color w:val="000000"/>
          <w:sz w:val="20"/>
          <w:lang w:val="en-US" w:eastAsia="en-US" w:bidi="ar-SA"/>
        </w:rPr>
        <w:t>  In this case, the time requirements for delivering expert reports were modified by a series of case management orders. Pursuant to the case management orders of July 3, 2008 and December 3, 2008, all parties were required to deliver original reports by December 8, 2008, rebuttal or reply reports by January 21, 2009, and any final rebuttal reports by February 4, 2009. Dr. Purssell's May 22, 2009 opinion is properly considered original, and therefore should have been delivered by December 8, 2008. Even if the report were considered to be reply or final rebuttal, the latest time for delivery would have been January 21, 2009. In fact, it was not delivered until May 22, 2009, after 37 days of trial. The fact that it is over four months late is less significant than the fact that it was delivered a full week after the plaintiff had closed her case. The late delivery causes a very substantial prejudice both to the plaintiff and to the trial process.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55</w:t>
      </w:r>
      <w:r>
        <w:rPr>
          <w:rFonts w:ascii="arial" w:eastAsia="arial" w:hAnsi="arial" w:cs="arial"/>
          <w:color w:val="000000"/>
          <w:sz w:val="20"/>
          <w:lang w:val="en-US" w:eastAsia="en-US" w:bidi="ar-SA"/>
        </w:rPr>
        <w:t>  Counsel for the CN Defendants submits that many aspects of Dr. Purssell's May 22, 2009 report do not constitute a new opinion, but rather are responsive to opinions given by Dr. Lu in his evidence that were not contained in his report. Five examples from Dr. Lu's testimony are cited:</w:t>
      </w:r>
      <w:r>
        <w:rPr>
          <w:rFonts w:ascii="arial" w:eastAsia="arial" w:hAnsi="arial" w:cs="arial"/>
          <w:sz w:val="20"/>
          <w:lang w:val="en-US" w:eastAsia="en-US" w:bidi="ar-SA"/>
        </w:rPr>
        <w:cr/>
      </w:r>
    </w:p>
    <w:p>
      <w:pPr>
        <w:numPr>
          <w:numId w:val="9"/>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The opiate recorded in the plaintiff's blood and urine on September 9, 2005 (three days before the accident) was not necessarily heroin.</w:t>
      </w:r>
    </w:p>
    <w:p>
      <w:pPr>
        <w:numPr>
          <w:numId w:val="9"/>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A combination of 80 mg of methadone with "1 point" , or approximately 100 mg of heroin, would not necessarily produce cognitive impairment.</w:t>
      </w:r>
    </w:p>
    <w:p>
      <w:pPr>
        <w:numPr>
          <w:numId w:val="9"/>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The combination of drugs recorded in the Drug Screen would not necessarily have produced cognitive impairment in the plaintiff.</w:t>
      </w:r>
    </w:p>
    <w:p>
      <w:pPr>
        <w:numPr>
          <w:numId w:val="9"/>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It is unlikely that the plaintiff had suffered any neurological damage as a result of her polysubstance abuse before the accident.</w:t>
      </w:r>
    </w:p>
    <w:p>
      <w:pPr>
        <w:numPr>
          <w:numId w:val="9"/>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The benzodiazepines and opiates detected on the Drug Screen could represent drugs administered post-accident by medical personnel, presumably either by the ambulance attendants or Royal Columbian Hospital professionals.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56</w:t>
      </w:r>
      <w:r>
        <w:rPr>
          <w:rFonts w:ascii="arial" w:eastAsia="arial" w:hAnsi="arial" w:cs="arial"/>
          <w:color w:val="000000"/>
          <w:sz w:val="20"/>
          <w:lang w:val="en-US" w:eastAsia="en-US" w:bidi="ar-SA"/>
        </w:rPr>
        <w:t>  Counsel for the CN Defendants submits that opinions offered by Dr. Purssell on those topics are not subject to any notice requirement because the CN Defendants were not required to anticipate that Dr. Lu would give opinions in his oral testimony that were not in his report. I do not agree.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57</w:t>
      </w:r>
      <w:r>
        <w:rPr>
          <w:rFonts w:ascii="arial" w:eastAsia="arial" w:hAnsi="arial" w:cs="arial"/>
          <w:color w:val="000000"/>
          <w:sz w:val="20"/>
          <w:lang w:val="en-US" w:eastAsia="en-US" w:bidi="ar-SA"/>
        </w:rPr>
        <w:t>  Items (a), (b), (c) and (e) were all elicited from Dr. Lu in cross-examination by the CN Defendants. Item (d) was in response to a question asked by counsel for the plaintiff in rebuttal to evidence the CN Defendants had first elicited in cross-examination of Dr. Kessler. Thus, items (a), (b), (c), (d) and (e) were all matters raised for the first time in evidence by the CN Defendants, not by the plaintiff.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58</w:t>
      </w:r>
      <w:r>
        <w:rPr>
          <w:rFonts w:ascii="arial" w:eastAsia="arial" w:hAnsi="arial" w:cs="arial"/>
          <w:color w:val="000000"/>
          <w:sz w:val="20"/>
          <w:lang w:val="en-US" w:eastAsia="en-US" w:bidi="ar-SA"/>
        </w:rPr>
        <w:t xml:space="preserve">  The right to introduce opinion evidence without notice is limited to rebuttal evidence that is truly responsive to evidence </w:t>
      </w:r>
      <w:r>
        <w:rPr>
          <w:rFonts w:ascii="arial" w:eastAsia="arial" w:hAnsi="arial" w:cs="arial"/>
          <w:i/>
          <w:color w:val="000000"/>
          <w:sz w:val="20"/>
          <w:lang w:val="en-US" w:eastAsia="en-US" w:bidi="ar-SA"/>
        </w:rPr>
        <w:t>introduced by the opposing party</w:t>
      </w:r>
      <w:r>
        <w:rPr>
          <w:rFonts w:ascii="arial" w:eastAsia="arial" w:hAnsi="arial" w:cs="arial"/>
          <w:color w:val="000000"/>
          <w:sz w:val="20"/>
          <w:lang w:val="en-US" w:eastAsia="en-US" w:bidi="ar-SA"/>
        </w:rPr>
        <w:t xml:space="preserve">, and cannot be used as a masquerade for introducing a fresh opinion: </w:t>
      </w:r>
      <w:r>
        <w:rPr>
          <w:rFonts w:ascii="arial" w:eastAsia="arial" w:hAnsi="arial" w:cs="arial"/>
          <w:i/>
          <w:color w:val="000000"/>
          <w:sz w:val="20"/>
          <w:lang w:val="en-US" w:eastAsia="en-US" w:bidi="ar-SA"/>
        </w:rPr>
        <w:t>Sterritt v. McLeod</w:t>
      </w:r>
      <w:r>
        <w:rPr>
          <w:rFonts w:ascii="arial" w:eastAsia="arial" w:hAnsi="arial" w:cs="arial"/>
          <w:color w:val="000000"/>
          <w:sz w:val="20"/>
          <w:lang w:val="en-US" w:eastAsia="en-US" w:bidi="ar-SA"/>
        </w:rPr>
        <w:t xml:space="preserve"> </w:t>
      </w:r>
      <w:hyperlink r:id="rId535" w:history="1">
        <w:r>
          <w:rPr>
            <w:rFonts w:ascii="arial" w:eastAsia="arial" w:hAnsi="arial" w:cs="arial"/>
            <w:i/>
            <w:color w:val="0077CC"/>
            <w:sz w:val="20"/>
            <w:u w:val="single"/>
            <w:shd w:val="clear" w:color="auto" w:fill="FFFFFF"/>
            <w:lang w:val="en-US" w:eastAsia="en-US" w:bidi="ar-SA"/>
          </w:rPr>
          <w:t>(2000), 74 B.C.L.R. (3d) 371</w:t>
        </w:r>
      </w:hyperlink>
      <w:r>
        <w:rPr>
          <w:rFonts w:ascii="arial" w:eastAsia="arial" w:hAnsi="arial" w:cs="arial"/>
          <w:color w:val="000000"/>
          <w:sz w:val="20"/>
          <w:lang w:val="en-US" w:eastAsia="en-US" w:bidi="ar-SA"/>
        </w:rPr>
        <w:t xml:space="preserve"> (C.A.); </w:t>
      </w:r>
      <w:r>
        <w:rPr>
          <w:rFonts w:ascii="arial" w:eastAsia="arial" w:hAnsi="arial" w:cs="arial"/>
          <w:i/>
          <w:color w:val="000000"/>
          <w:sz w:val="20"/>
          <w:lang w:val="en-US" w:eastAsia="en-US" w:bidi="ar-SA"/>
        </w:rPr>
        <w:t>Stainer v. Plaza</w:t>
      </w:r>
      <w:r>
        <w:rPr>
          <w:rFonts w:ascii="arial" w:eastAsia="arial" w:hAnsi="arial" w:cs="arial"/>
          <w:color w:val="000000"/>
          <w:sz w:val="20"/>
          <w:lang w:val="en-US" w:eastAsia="en-US" w:bidi="ar-SA"/>
        </w:rPr>
        <w:t xml:space="preserve"> </w:t>
      </w:r>
      <w:hyperlink r:id="rId536" w:history="1">
        <w:r>
          <w:rPr>
            <w:rFonts w:ascii="arial" w:eastAsia="arial" w:hAnsi="arial" w:cs="arial"/>
            <w:i/>
            <w:color w:val="0077CC"/>
            <w:sz w:val="20"/>
            <w:u w:val="single"/>
            <w:shd w:val="clear" w:color="auto" w:fill="FFFFFF"/>
            <w:lang w:val="en-US" w:eastAsia="en-US" w:bidi="ar-SA"/>
          </w:rPr>
          <w:t>(2001), 87 B.C.L.R. (3d) 182</w:t>
        </w:r>
      </w:hyperlink>
      <w:r>
        <w:rPr>
          <w:rFonts w:ascii="arial" w:eastAsia="arial" w:hAnsi="arial" w:cs="arial"/>
          <w:color w:val="000000"/>
          <w:sz w:val="20"/>
          <w:lang w:val="en-US" w:eastAsia="en-US" w:bidi="ar-SA"/>
        </w:rPr>
        <w:t xml:space="preserve"> (C.A.). Where a defendant elicits opinions in cross-examination of a plaintiff's witness that were not in that witness's report, the defendant cannot use his own elicitation to justify calling a defence expert to give an opinion on the topic without notice.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Should Leave Be Granted Under Rule 40A(15), (16) or (17)?</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59</w:t>
      </w:r>
      <w:r>
        <w:rPr>
          <w:rFonts w:ascii="arial" w:eastAsia="arial" w:hAnsi="arial" w:cs="arial"/>
          <w:color w:val="000000"/>
          <w:sz w:val="20"/>
          <w:lang w:val="en-US" w:eastAsia="en-US" w:bidi="ar-SA"/>
        </w:rPr>
        <w:t>  I am of the view that all of the opinions expressed by Dr. Purssell in his May 22, 2009 report are new opinions, and are not admissible without proper notice unless leave is granted. The discretion of the court to grant such leave is set out in Rules 40A(15), (16) and (17), which provide: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40A(15) At trial, the court may dispense with the requirement of delivery of a statement.</w:t>
      </w:r>
    </w:p>
    <w:p>
      <w:pPr>
        <w:numPr>
          <w:numId w:val="10"/>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Without limiting the generality of subrule (15), the court may dispense with the requirement of delivery of a statement on one or more of the following grounds:</w:t>
      </w:r>
    </w:p>
    <w:p>
      <w:pPr>
        <w:numPr>
          <w:numId w:val="1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where facts have come to the knowledge of the party tendering the witness after the delivery of the statement of that witness's evidence, that could not, with due diligence, have been learned in time to be reduced to a further statement and delivered within the time required by this rule;</w:t>
      </w:r>
    </w:p>
    <w:p>
      <w:pPr>
        <w:numPr>
          <w:numId w:val="1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where the non-delivery is unlikely to cause prejudice</w:t>
      </w:r>
    </w:p>
    <w:p>
      <w:pPr>
        <w:numPr>
          <w:numId w:val="12"/>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by reason of an inability to prepare for cross-examination, or</w:t>
      </w:r>
    </w:p>
    <w:p>
      <w:pPr>
        <w:numPr>
          <w:numId w:val="13"/>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by depriving the party against whom the evidence is tendered of a reasonable opportunity to present evidence in response;</w:t>
      </w:r>
    </w:p>
    <w:p>
      <w:pPr>
        <w:numPr>
          <w:numId w:val="1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where the interests of justice require it.</w:t>
      </w:r>
    </w:p>
    <w:p>
      <w:pPr>
        <w:numPr>
          <w:numId w:val="15"/>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Before or at trial, the court may extend or abridge the time limits set out in this rule.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60</w:t>
      </w:r>
      <w:r>
        <w:rPr>
          <w:rFonts w:ascii="arial" w:eastAsia="arial" w:hAnsi="arial" w:cs="arial"/>
          <w:color w:val="000000"/>
          <w:sz w:val="20"/>
          <w:lang w:val="en-US" w:eastAsia="en-US" w:bidi="ar-SA"/>
        </w:rPr>
        <w:t>  The CN Defendants apply for leave under Rule 40A(16)(a) and (c), as well as Rule 40A(17). They do not apply under Rule 40A(16)(b), and for good reason: it could not credibly be argued that the late delivery of Dr. Purssell's May 22, 2009 report is unlikely to cause prejudice to the plaintiff.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61</w:t>
      </w:r>
      <w:r>
        <w:rPr>
          <w:rFonts w:ascii="arial" w:eastAsia="arial" w:hAnsi="arial" w:cs="arial"/>
          <w:color w:val="000000"/>
          <w:sz w:val="20"/>
          <w:lang w:val="en-US" w:eastAsia="en-US" w:bidi="ar-SA"/>
        </w:rPr>
        <w:t>  The arguments in favour of granting leave are essentially two: first, that the CN Defendants acted with due diligence in discovering the new information contained in the Internal Inquiry documents and in seeking an opinion based on it; and second, that the new opinions are so highly relevant to a central issue in the case that the interests of justice require their admission.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62</w:t>
      </w:r>
      <w:r>
        <w:rPr>
          <w:rFonts w:ascii="arial" w:eastAsia="arial" w:hAnsi="arial" w:cs="arial"/>
          <w:color w:val="000000"/>
          <w:sz w:val="20"/>
          <w:lang w:val="en-US" w:eastAsia="en-US" w:bidi="ar-SA"/>
        </w:rPr>
        <w:t>  I am unable to find that the information contained in the Internal Inquiry documents could not have been discovered earlier by the CN Defendants if they had acted with due diligence.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63</w:t>
      </w:r>
      <w:r>
        <w:rPr>
          <w:rFonts w:ascii="arial" w:eastAsia="arial" w:hAnsi="arial" w:cs="arial"/>
          <w:color w:val="000000"/>
          <w:sz w:val="20"/>
          <w:lang w:val="en-US" w:eastAsia="en-US" w:bidi="ar-SA"/>
        </w:rPr>
        <w:t>  The urine drug screen report at RCH page 990 was delivered to the CN Defendants on November 8, 2007. The CN Defendants then had well over a year to ponder the significance that form and to seek clarification of any portions they did not understand before the time came for them to deliver expert reports pursuant to the case management orders. Instead, they did nothing. According to the affidavit of Ms. Becker, she did not begin to make any inquiries about the meaning of the notations "Detected" and "Not Detected" until February 24, 2009, that is, until after the deadlines set out in the case management orders had already expired. Her explanation for this is that she assumed that "Not Detected" meant that there was no amount of the drug present in the sample. No satisfactory explanation has been offered as to why she made that assumption.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64</w:t>
      </w:r>
      <w:r>
        <w:rPr>
          <w:rFonts w:ascii="arial" w:eastAsia="arial" w:hAnsi="arial" w:cs="arial"/>
          <w:color w:val="000000"/>
          <w:sz w:val="20"/>
          <w:lang w:val="en-US" w:eastAsia="en-US" w:bidi="ar-SA"/>
        </w:rPr>
        <w:t>  Dr. Purssell made the same mistake. He had been retained by the CN Defendants to give an opinion as a toxicologist and wrote a report dated November 24, 2008. In preparing for that report, he looked at the RCH page 990 drug screen and made the same assumption as Ms. Becker. In his affidavit sworn June 22, 2009, he deposed at paragraph 9:</w:t>
      </w:r>
      <w:r>
        <w:rPr>
          <w:rFonts w:ascii="arial" w:eastAsia="arial" w:hAnsi="arial" w:cs="arial"/>
          <w:sz w:val="20"/>
          <w:lang w:val="en-US" w:eastAsia="en-US" w:bidi="ar-SA"/>
        </w:rPr>
        <w:cr/>
      </w:r>
    </w:p>
    <w:p>
      <w:pPr>
        <w:numPr>
          <w:numId w:val="1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In preparing my report of November 24, 2008, I had assumed that "Not Detected" denoted the absence of both cocaine and barbiturates since the Royal Columbian Hospital (hereinafter "RCH") report of September 12, 2005 did not delineate any nominal "cut off" limits that would invite the conclusion there were in fact quantitative amounts of these drugs in the Plaintiff's urine as analyzed.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65</w:t>
      </w:r>
      <w:r>
        <w:rPr>
          <w:rFonts w:ascii="arial" w:eastAsia="arial" w:hAnsi="arial" w:cs="arial"/>
          <w:color w:val="000000"/>
          <w:sz w:val="20"/>
          <w:lang w:val="en-US" w:eastAsia="en-US" w:bidi="ar-SA"/>
        </w:rPr>
        <w:t>  Even if a lay person might not understand the significance of what appeared on RCH page 990, one would have thought that an expert in this area would make inquires if there were any ambiguities, but apparently Dr. Purssell did not make any such inquires.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66</w:t>
      </w:r>
      <w:r>
        <w:rPr>
          <w:rFonts w:ascii="arial" w:eastAsia="arial" w:hAnsi="arial" w:cs="arial"/>
          <w:color w:val="000000"/>
          <w:sz w:val="20"/>
          <w:lang w:val="en-US" w:eastAsia="en-US" w:bidi="ar-SA"/>
        </w:rPr>
        <w:t>  Counsel for the CN Defendants argues that in assessing whether they acted with due diligence, a standard of perfection cannot reasonably be expected. I agree. But neither Ms. Becker nor Dr. Purssell have offered any explanation of how they could have formed such an erroneous assumption in light of the box prominently displayed at the top of the RCH page 990 report that gave this warning:</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CAUTION: A "POSITIVE" result does not necessarily indicate an overdose.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 "Negative" result may indicate either an absence of a drug or a level below the sensitivity of the assay.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67</w:t>
      </w:r>
      <w:r>
        <w:rPr>
          <w:rFonts w:ascii="arial" w:eastAsia="arial" w:hAnsi="arial" w:cs="arial"/>
          <w:color w:val="000000"/>
          <w:sz w:val="20"/>
          <w:lang w:val="en-US" w:eastAsia="en-US" w:bidi="ar-SA"/>
        </w:rPr>
        <w:t>  In the absence of any explanation from either Ms. Becker or Dr. Purssell, I can only conclude that neither of them read the RCH page 990 report carefully enough to notice that warning. If they had read it, they would have known that "Not Detected" did not necessarily indicate an absence of the drug, but could also indicate a level below the sensitivity of the assay. At the very least, this warning on RCH page 990 should have been sufficient to put them on inquiry to ask further questions if they were unsure what "Not Detected" meant. To have expected them to carefully read the RCH page 990 report prior to the expiry of the time limits set out in the case management orders is not applying a standard of perfection; rather, it is applying a standard of due diligence, the standard I am required to apply in Rule 40A(16)(a).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68</w:t>
      </w:r>
      <w:r>
        <w:rPr>
          <w:rFonts w:ascii="arial" w:eastAsia="arial" w:hAnsi="arial" w:cs="arial"/>
          <w:color w:val="000000"/>
          <w:sz w:val="20"/>
          <w:lang w:val="en-US" w:eastAsia="en-US" w:bidi="ar-SA"/>
        </w:rPr>
        <w:t>  As a consequence of their failure to make inquires at an earlier date, the CN Defendants did not learn the information contained in the Internal Inquiry documents until April 2009, and Dr. Purssell did not deliver his new report until May 22, 2009. I am satisfied that if the CN Defendants had acted with due diligence, they could have learned the information to deliver Dr. Purssell's new report well within the time limits set out in the case management orders, and well within the requirements of Rule 40A.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69</w:t>
      </w:r>
      <w:r>
        <w:rPr>
          <w:rFonts w:ascii="arial" w:eastAsia="arial" w:hAnsi="arial" w:cs="arial"/>
          <w:color w:val="000000"/>
          <w:sz w:val="20"/>
          <w:lang w:val="en-US" w:eastAsia="en-US" w:bidi="ar-SA"/>
        </w:rPr>
        <w:t>  That leaves for consideration, then, the question of whether the opinions contained Dr. Purssell's May 22, 2009 report are of such significance that the interests of justice require their admission, notwithstanding the unjustifiable failure to comply with the requirements of Rule 40A or of the case management orders.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70</w:t>
      </w:r>
      <w:r>
        <w:rPr>
          <w:rFonts w:ascii="arial" w:eastAsia="arial" w:hAnsi="arial" w:cs="arial"/>
          <w:color w:val="000000"/>
          <w:sz w:val="20"/>
          <w:lang w:val="en-US" w:eastAsia="en-US" w:bidi="ar-SA"/>
        </w:rPr>
        <w:t>  There is no doubt that the opinions are potentially relevant to an important issue in this trial: how did the accident happen? That question is more difficult in this case than in many others, because the plaintiff, due to her brain injuries, can give no information on the subject, and the driver of the vehicle says he was not aware the accident had even occurred.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71</w:t>
      </w:r>
      <w:r>
        <w:rPr>
          <w:rFonts w:ascii="arial" w:eastAsia="arial" w:hAnsi="arial" w:cs="arial"/>
          <w:color w:val="000000"/>
          <w:sz w:val="20"/>
          <w:lang w:val="en-US" w:eastAsia="en-US" w:bidi="ar-SA"/>
        </w:rPr>
        <w:t>  Counsel for the CN Defendants submit that Dr. Purssell's opinion is an important component in answering this question. Their theory of why this evidence is relevant is summarized in paragraph 60 of their written submission:</w:t>
      </w:r>
      <w:r>
        <w:rPr>
          <w:rFonts w:ascii="arial" w:eastAsia="arial" w:hAnsi="arial" w:cs="arial"/>
          <w:sz w:val="20"/>
          <w:lang w:val="en-US" w:eastAsia="en-US" w:bidi="ar-SA"/>
        </w:rPr>
        <w:cr/>
      </w:r>
    </w:p>
    <w:p>
      <w:pPr>
        <w:numPr>
          <w:numId w:val="1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Plaintiff's counsel in this proceeding has led evidence that the Plaintiff was injured because she lost her balance in the turbulent wake of the CN Defendant's truck. The CN Defendants will lead evidence that air turbulence did not cause her to fall inwards toward the chassis and container, and instead, the Plaintiff lost her balance due to a variety of factors, including inter alia the effect of drugs.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72</w:t>
      </w:r>
      <w:r>
        <w:rPr>
          <w:rFonts w:ascii="arial" w:eastAsia="arial" w:hAnsi="arial" w:cs="arial"/>
          <w:color w:val="000000"/>
          <w:sz w:val="20"/>
          <w:lang w:val="en-US" w:eastAsia="en-US" w:bidi="ar-SA"/>
        </w:rPr>
        <w:t>  The significance of the opinions set out in Dr. Purssell's May 22, 2009 report may not be as straightforward as counsel for the CN Defendants suggests, however. The report raises at least two serious questions.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73</w:t>
      </w:r>
      <w:r>
        <w:rPr>
          <w:rFonts w:ascii="arial" w:eastAsia="arial" w:hAnsi="arial" w:cs="arial"/>
          <w:color w:val="000000"/>
          <w:sz w:val="20"/>
          <w:lang w:val="en-US" w:eastAsia="en-US" w:bidi="ar-SA"/>
        </w:rPr>
        <w:t>  First, the urine drug screen test that was administered on the plaintiff on September 12, 2005 was, according to the evidence of Dr. Lu and Dr. McNabb, designed to provide non-quantitative information only, for use in the medical treatment of the plaintiff. Although Dr. Purssell now offers an opinion based on quantitative numbers obtained from the Internal Inquiry documents, what evidence is there that the instrument used, and the testing procedures employed, produced quantitative results that are scientifically accurate? The mere fact that numbers have been retrieved from the electronic storage circuits of the instrument does not, in itself, demonstrate that those numbers have sufficient precision to tell us more than what is contained in RCH page 990, namely, that the quantities were either above or below the cut-off level.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74</w:t>
      </w:r>
      <w:r>
        <w:rPr>
          <w:rFonts w:ascii="arial" w:eastAsia="arial" w:hAnsi="arial" w:cs="arial"/>
          <w:color w:val="000000"/>
          <w:sz w:val="20"/>
          <w:lang w:val="en-US" w:eastAsia="en-US" w:bidi="ar-SA"/>
        </w:rPr>
        <w:t>  Second, what basis is there for concluding that the drug screen results can lead to a reliable inference about the plaintiff's impairment at the very moment of the accident, as opposed to some other period of time in the preceding several days?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75</w:t>
      </w:r>
      <w:r>
        <w:rPr>
          <w:rFonts w:ascii="arial" w:eastAsia="arial" w:hAnsi="arial" w:cs="arial"/>
          <w:color w:val="000000"/>
          <w:sz w:val="20"/>
          <w:lang w:val="en-US" w:eastAsia="en-US" w:bidi="ar-SA"/>
        </w:rPr>
        <w:t>  Page 17 of the May 22, 2009 report states: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Dr. Purssell is of the opinion that a positive urine drug screen test provides valuable information about what drugs were in the blood because drugs in the blood are cleared by the kidneys and into the urine. It is known that certain drugs cause certain types of impairment and that this impairment will last for a defined duration. By using established data, estimates can be made for when the individual would have taken the drugs for which he or she tested positive.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The report goes on at page 19:</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Dr. Purssell is of the opinion that it is highly probable that Ms. MacEachern was cognitively impaired at the time of the accident as a result of the amounts and combination of drugs in her system as indicated by her September 12, 2005 RCH urine drug screen test results. Ms MacEachern tested above the cut off levels for benzodiazepines, methadone, cannabinoids, amphetamines, opiate and had clinically significant amounts of cocaine and barbiturates.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76</w:t>
      </w:r>
      <w:r>
        <w:rPr>
          <w:rFonts w:ascii="arial" w:eastAsia="arial" w:hAnsi="arial" w:cs="arial"/>
          <w:color w:val="000000"/>
          <w:sz w:val="20"/>
          <w:lang w:val="en-US" w:eastAsia="en-US" w:bidi="ar-SA"/>
        </w:rPr>
        <w:t>  The difficulty here is that even if the urine drug screen provides information about what drugs were in the blood, the crucial question is when? The plaintiff has admitted throughout these proceedings that she was using various drugs in the months and weeks before the accident. If all that a drug screen can tell us is that she ingested certain drugs and had them in her blood stream at some time within the last few days before the accident, that is not particularly significant. It does not tell us anything that she has not already effectively admitted. What is crucial is what drugs she had in her blood stream at the very moment of the accident, and whether at that very moment she was impaired by those drugs.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77</w:t>
      </w:r>
      <w:r>
        <w:rPr>
          <w:rFonts w:ascii="arial" w:eastAsia="arial" w:hAnsi="arial" w:cs="arial"/>
          <w:color w:val="000000"/>
          <w:sz w:val="20"/>
          <w:lang w:val="en-US" w:eastAsia="en-US" w:bidi="ar-SA"/>
        </w:rPr>
        <w:t>  This difficulty is illustrated when Dr. Purssell goes through his discussion of each of the drug screen tests. Thus, at page 19, in relation to benzodiazepines, he opines that the Beckman reading of 608.60 obtained from the Internal Inquiry documents indicates that the plaintiff likely used a short acting benzodiazepine 24 hours prior to the test or a long lasting benzodiazepine 1-4 weeks before the test. He opines that benzodiazepines can cause impairment of one's ability to ride a bicycle, and the duration of the effects can last from several minutes to several days. Without further information, that does not tell us whether benzodiazepines were having any effect whatsoever on the plaintiff at the time of the accident, which was about an hour before the test. From Dr. Purssell's opinion, the test results are consistent with the possibility that the plaintiff ingested a short acting benzodiazepine 24 hours prior to the test, and the effects lasted for only several minutes, in which case, they had no effect on her at the time of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78</w:t>
      </w:r>
      <w:r>
        <w:rPr>
          <w:rFonts w:ascii="arial" w:eastAsia="arial" w:hAnsi="arial" w:cs="arial"/>
          <w:color w:val="000000"/>
          <w:sz w:val="20"/>
          <w:lang w:val="en-US" w:eastAsia="en-US" w:bidi="ar-SA"/>
        </w:rPr>
        <w:t>  Similar difficulties appear when one scrutinizes Dr. Purssell's opinions about the other drugs. Dr. Purssell opines that the urine drug screen result shows the plaintiff probably used cannabinoids sometime in the previous 3 days, and the impairment effect may last between 1 and 24 hours. This is consistent with her having consumed cannabinoids 2 days earlier, and the effect having completely worn off by the time of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79</w:t>
      </w:r>
      <w:r>
        <w:rPr>
          <w:rFonts w:ascii="arial" w:eastAsia="arial" w:hAnsi="arial" w:cs="arial"/>
          <w:color w:val="000000"/>
          <w:sz w:val="20"/>
          <w:lang w:val="en-US" w:eastAsia="en-US" w:bidi="ar-SA"/>
        </w:rPr>
        <w:t>  Dr. Purssell opines that the urine drug screen result shows the plaintiff probably used amphetamines sometime in the previous 2-4 days, which could impair her ability to ride a bicycle for 4-8 hours. This is consistent with her having consumed amphetamines 3 days earlier, and the effect having completely worn off by the time of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80</w:t>
      </w:r>
      <w:r>
        <w:rPr>
          <w:rFonts w:ascii="arial" w:eastAsia="arial" w:hAnsi="arial" w:cs="arial"/>
          <w:color w:val="000000"/>
          <w:sz w:val="20"/>
          <w:lang w:val="en-US" w:eastAsia="en-US" w:bidi="ar-SA"/>
        </w:rPr>
        <w:t>  Dr. Purssell opines that the urine drug screen result shows the plaintiff probably used opiates sometime in the previous 2-4 days, which could impair her ability to ride a bicycle for 4-6 hours. This is consistent with her having consumed opiates 3 days earlier, and the effect having completely worn off by the time of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81</w:t>
      </w:r>
      <w:r>
        <w:rPr>
          <w:rFonts w:ascii="arial" w:eastAsia="arial" w:hAnsi="arial" w:cs="arial"/>
          <w:color w:val="000000"/>
          <w:sz w:val="20"/>
          <w:lang w:val="en-US" w:eastAsia="en-US" w:bidi="ar-SA"/>
        </w:rPr>
        <w:t>  Dr. Purssell opines that the urine drug screen result shows the plaintiff probably used cocaine sometime in the previous 2-4 days, which could impair her ability to ride a bicycle for between 5 minutes and 2 hours. This is consistent with her having consumed cocaine 3 days earlier, and the effect having completely worn off by the time of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82</w:t>
      </w:r>
      <w:r>
        <w:rPr>
          <w:rFonts w:ascii="arial" w:eastAsia="arial" w:hAnsi="arial" w:cs="arial"/>
          <w:color w:val="000000"/>
          <w:sz w:val="20"/>
          <w:lang w:val="en-US" w:eastAsia="en-US" w:bidi="ar-SA"/>
        </w:rPr>
        <w:t>  Dr. Purssell opines that the urine drug screen result shows the plaintiff probably used barbiturates sometime in the previous 4 weeks, which could impair her ability to ride a bicycle for anywhere between several minutes and several days. This is consistent with her having consumed barbiturates 3 weeks earlier, and the effect having completely worn off by the time of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83</w:t>
      </w:r>
      <w:r>
        <w:rPr>
          <w:rFonts w:ascii="arial" w:eastAsia="arial" w:hAnsi="arial" w:cs="arial"/>
          <w:color w:val="000000"/>
          <w:sz w:val="20"/>
          <w:lang w:val="en-US" w:eastAsia="en-US" w:bidi="ar-SA"/>
        </w:rPr>
        <w:t>  Dr. Purssell opines that the urine drug screen result shows the plaintiff probably ingested methadone within the past 7 days, which could produce drowsiness and other effects for up to 48 hours. This is consistent with her having ingested methadone 3 days earlier, and the effect having completely worn off by the time of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84</w:t>
      </w:r>
      <w:r>
        <w:rPr>
          <w:rFonts w:ascii="arial" w:eastAsia="arial" w:hAnsi="arial" w:cs="arial"/>
          <w:color w:val="000000"/>
          <w:sz w:val="20"/>
          <w:lang w:val="en-US" w:eastAsia="en-US" w:bidi="ar-SA"/>
        </w:rPr>
        <w:t>  In light of the fact that the duration of the impairment effect of the various drugs is far shorter than the time frame within which the drugs may have been consumed, there does not appear to be any sound basis for Dr. Purssell's opinion that the plaintiff was impaired at the time of the accident, a little over an hour before the drug screen test.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85</w:t>
      </w:r>
      <w:r>
        <w:rPr>
          <w:rFonts w:ascii="arial" w:eastAsia="arial" w:hAnsi="arial" w:cs="arial"/>
          <w:color w:val="000000"/>
          <w:sz w:val="20"/>
          <w:lang w:val="en-US" w:eastAsia="en-US" w:bidi="ar-SA"/>
        </w:rPr>
        <w:t>  It is, of course, possible that Dr. Purssell may have some other basis for his opinion which has not been set out in his May 22, 2009 report, but that is not a matter about which I need to speculate. It is the responsibility of the party tendering the expert to ensure that the full basis for the opinion is set out in the report.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CONCLUSION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86</w:t>
      </w:r>
      <w:r>
        <w:rPr>
          <w:rFonts w:ascii="arial" w:eastAsia="arial" w:hAnsi="arial" w:cs="arial"/>
          <w:color w:val="000000"/>
          <w:sz w:val="20"/>
          <w:lang w:val="en-US" w:eastAsia="en-US" w:bidi="ar-SA"/>
        </w:rPr>
        <w:t>  Dr. Purssell's opinions set out in the May 22, 2009 report are not admissible without proper notice as required by the case management orders and Rule 40A. Notice was not given as required. Indeed, the report was delivered several months late, after 37 days of trial, and after the plaintiff had closed her case. The opinions set out in the report are not reply opinions that may be admitted without notice. The opinions are not admissible unless leave is granted pursuant to Rule 40A(15), (16) or (17).</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87</w:t>
      </w:r>
      <w:r>
        <w:rPr>
          <w:rFonts w:ascii="arial" w:eastAsia="arial" w:hAnsi="arial" w:cs="arial"/>
          <w:color w:val="000000"/>
          <w:sz w:val="20"/>
          <w:lang w:val="en-US" w:eastAsia="en-US" w:bidi="ar-SA"/>
        </w:rPr>
        <w:t>  The CN Defendants have not shown that the opinions are based on new information that could not have been obtained with due diligence. On the contrary, they did not act with due diligence. Although the opinions appear on the surface to be highly relevant to an important issue at trial, on closer examination, they raise as many questions as they answer.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88</w:t>
      </w:r>
      <w:r>
        <w:rPr>
          <w:rFonts w:ascii="arial" w:eastAsia="arial" w:hAnsi="arial" w:cs="arial"/>
          <w:color w:val="000000"/>
          <w:sz w:val="20"/>
          <w:lang w:val="en-US" w:eastAsia="en-US" w:bidi="ar-SA"/>
        </w:rPr>
        <w:t>  If this evidence were admitted, it would cause very serious prejudice to the plaintiff, who conducted her case in the legitimate expectation that the expert evidence she had to face would be limited to that disclosed in accordance with the case management orders. To admit the new evidence of Dr. Purssell would put the plaintiff in the invidious position of applying to reopen her case to recall some of her previous witnesses, most notably, Dr. Lu. She would also have to begin the process of searching for suitable experts to call in rebuttal to Dr. Purssell's new opinion. That would be an entirely unfair burden to place on the plaintiff at this late stage in the trial. The prejudice to the plaintiff is not cured by the fact that the trial of this matter will resume September 8, or by the fact that counsel for the plaintiff has been permitted to speak to Dr. Heathcote while he is still under cross-examination.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89</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Gibson v. Rickett; Gibson v. Hall</w:t>
      </w:r>
      <w:r>
        <w:rPr>
          <w:rFonts w:ascii="arial" w:eastAsia="arial" w:hAnsi="arial" w:cs="arial"/>
          <w:color w:val="000000"/>
          <w:sz w:val="20"/>
          <w:lang w:val="en-US" w:eastAsia="en-US" w:bidi="ar-SA"/>
        </w:rPr>
        <w:t xml:space="preserve"> </w:t>
      </w:r>
      <w:hyperlink r:id="rId537" w:history="1">
        <w:r>
          <w:rPr>
            <w:rFonts w:ascii="arial" w:eastAsia="arial" w:hAnsi="arial" w:cs="arial"/>
            <w:i/>
            <w:color w:val="0077CC"/>
            <w:sz w:val="20"/>
            <w:u w:val="single"/>
            <w:shd w:val="clear" w:color="auto" w:fill="FFFFFF"/>
            <w:lang w:val="en-US" w:eastAsia="en-US" w:bidi="ar-SA"/>
          </w:rPr>
          <w:t>(1996), 15 B.C.L.R. (3d) 208</w:t>
        </w:r>
      </w:hyperlink>
      <w:r>
        <w:rPr>
          <w:rFonts w:ascii="arial" w:eastAsia="arial" w:hAnsi="arial" w:cs="arial"/>
          <w:color w:val="000000"/>
          <w:sz w:val="20"/>
          <w:lang w:val="en-US" w:eastAsia="en-US" w:bidi="ar-SA"/>
        </w:rPr>
        <w:t xml:space="preserve"> (S.C.), Coultas J. noted at p. 211:</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On a strict interpretation of Rule 40A(2) expert reports must be furnished 60 days before the evidence is tendered, and they have been. However, the rule does not contemplate the situation where a long adjournment occurs in the course of a trial. I conclude the Rule was intended to give parties the opportunity to prepare for a trial based on full disclosure of expert opinion by both sides. Without notice of all the defendants expert reports before the trial commences and before the plaintiff's case has closed, the plaintiff is left in a compromised position. Rule 40A is designed to prevent "trial by ambush."</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Despite the Rule, I consider that it is open to me to exclude the Reports if the prejudice to justice in receiving them exceeds the prejudice in including them.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90</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C.A. v. Critchley</w:t>
      </w:r>
      <w:r>
        <w:rPr>
          <w:rFonts w:ascii="arial" w:eastAsia="arial" w:hAnsi="arial" w:cs="arial"/>
          <w:color w:val="000000"/>
          <w:sz w:val="20"/>
          <w:lang w:val="en-US" w:eastAsia="en-US" w:bidi="ar-SA"/>
        </w:rPr>
        <w:t xml:space="preserve"> </w:t>
      </w:r>
      <w:hyperlink r:id="rId538" w:history="1">
        <w:r>
          <w:rPr>
            <w:rFonts w:ascii="arial" w:eastAsia="arial" w:hAnsi="arial" w:cs="arial"/>
            <w:i/>
            <w:color w:val="0077CC"/>
            <w:sz w:val="20"/>
            <w:u w:val="single"/>
            <w:shd w:val="clear" w:color="auto" w:fill="FFFFFF"/>
            <w:lang w:val="en-US" w:eastAsia="en-US" w:bidi="ar-SA"/>
          </w:rPr>
          <w:t>(1996), 4 C.P.C. (4th) 269</w:t>
        </w:r>
      </w:hyperlink>
      <w:r>
        <w:rPr>
          <w:rFonts w:ascii="arial" w:eastAsia="arial" w:hAnsi="arial" w:cs="arial"/>
          <w:color w:val="000000"/>
          <w:sz w:val="20"/>
          <w:lang w:val="en-US" w:eastAsia="en-US" w:bidi="ar-SA"/>
        </w:rPr>
        <w:t xml:space="preserve"> (B.C.S.C.), Allan J. excluded an expert report of Dr. Zoffmann notwithstanding that it was "highly relevant" and notwithstanding that there would be an adjournment of the trial. She wrote at p. 274:</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However, even if Dr. Janke and the plaintiffs were recalled, the plaintiffs are seriously prejudiced by the fact that they were obliged to prepare and present their case without the benefit of knowing Dr. Zoffmann's evidence. Ms. Ellis has organized and presented her case at trial in a careful and meticulous manner. Her preparation responded to the case the Crown led her to believe she had to meet. If she had the benefit of Dr. Zoffmann's evidence, she may have led additional evidence, called different witnesses, and led more or less evidence from the plaintiffs. The very purpose of Rule 40A(2) is to prevent ambush and surprise at trial, ensure fairness to the parties, and promote the orderly progression of the trial. In the circumstances, the adjournment of the trial from June to September should not permit the Crown to circumvent the effect of the time limits imposed for admissibility of reports pursuant to Rule 40A(2).</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91</w:t>
      </w:r>
      <w:r>
        <w:rPr>
          <w:rFonts w:ascii="arial" w:eastAsia="arial" w:hAnsi="arial" w:cs="arial"/>
          <w:color w:val="000000"/>
          <w:sz w:val="20"/>
          <w:lang w:val="en-US" w:eastAsia="en-US" w:bidi="ar-SA"/>
        </w:rPr>
        <w:t>  I find those comments apposite here, and would only add that the kind of case management orders that were made in the present case serve the same purpose as Rule 40A, namely, "to prevent ambush and surprise at trial, ensure fairness to the parties, and promote the orderly progression of the trial."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92</w:t>
      </w:r>
      <w:r>
        <w:rPr>
          <w:rFonts w:ascii="arial" w:eastAsia="arial" w:hAnsi="arial" w:cs="arial"/>
          <w:color w:val="000000"/>
          <w:sz w:val="20"/>
          <w:lang w:val="en-US" w:eastAsia="en-US" w:bidi="ar-SA"/>
        </w:rPr>
        <w:t>  I am not satisfied in all the circumstances that the proposed evidence contained in the May 22, 2009 report is so significant that the interests of justice require its admission. On the contrary, the serious and irremediable prejudice to the plaintiff from admission of the evidence would far outweigh any perceived prejudice to the defendants from its exclusion.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93</w:t>
      </w:r>
      <w:r>
        <w:rPr>
          <w:rFonts w:ascii="arial" w:eastAsia="arial" w:hAnsi="arial" w:cs="arial"/>
          <w:color w:val="000000"/>
          <w:sz w:val="20"/>
          <w:lang w:val="en-US" w:eastAsia="en-US" w:bidi="ar-SA"/>
        </w:rPr>
        <w:t>  The admission of the evidence would also seriously disrupt the trial process. This trial has already consumed 51 days of court time. It is expected to continue for several weeks more. If the proposed evidence were admitted, it would undoubtedly result in the calling of several extra witnesses, both by the CN Defendants and also by the plaintiff in rebuttal, thereby further extending an already lengthy trial.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94</w:t>
      </w:r>
      <w:r>
        <w:rPr>
          <w:rFonts w:ascii="arial" w:eastAsia="arial" w:hAnsi="arial" w:cs="arial"/>
          <w:color w:val="000000"/>
          <w:sz w:val="20"/>
          <w:lang w:val="en-US" w:eastAsia="en-US" w:bidi="ar-SA"/>
        </w:rPr>
        <w:t>  The application of the CN Defendants for leave under Rules 40A(15), (16) and (17) is dismissed.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95</w:t>
      </w:r>
      <w:r>
        <w:rPr>
          <w:rFonts w:ascii="arial" w:eastAsia="arial" w:hAnsi="arial" w:cs="arial"/>
          <w:color w:val="000000"/>
          <w:sz w:val="20"/>
          <w:lang w:val="en-US" w:eastAsia="en-US" w:bidi="ar-SA"/>
        </w:rPr>
        <w:t>  The opinion evidence contained in the May 22, 2009 report is not admissible. This ruling does not affect the admissibility of Dr. Purssell's evidence as contained in his November 24, 2008 report, which was delivered in accordance with the case management orders.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W. EHRCKE J.</w:t>
      </w:r>
      <w:r>
        <w:rPr>
          <w:rFonts w:ascii="arial" w:eastAsia="arial" w:hAnsi="arial" w:cs="arial"/>
          <w:sz w:val="20"/>
          <w:lang w:val="en-US" w:eastAsia="en-US" w:bidi="ar-SA"/>
        </w:rPr>
        <w:cr/>
      </w:r>
    </w:p>
    <w:p>
      <w:pPr>
        <w:rPr>
          <w:rFonts w:ascii="arial" w:eastAsia="arial" w:hAnsi="arial" w:cs="arial"/>
          <w:sz w:val="20"/>
          <w:lang w:val="en-US" w:eastAsia="en-US" w:bidi="ar-SA"/>
        </w:rPr>
      </w:pPr>
    </w:p>
    <w:p>
      <w:pPr>
        <w:ind w:left="200"/>
        <w:rPr>
          <w:rFonts w:ascii="arial" w:eastAsia="arial" w:hAnsi="arial" w:cs="arial"/>
          <w:sz w:val="20"/>
          <w:lang w:val="en-US" w:eastAsia="en-US" w:bidi="ar-SA"/>
        </w:rPr>
        <w:sectPr>
          <w:type w:val="continuous"/>
          <w:pgMar w:top="840" w:right="1000" w:bottom="840" w:left="1000" w:header="400" w:footer="400"/>
          <w:pgNumType w:fmt="decimal"/>
          <w:cols w:space="720"/>
        </w:sectPr>
      </w:pPr>
      <w:r>
        <w:rPr>
          <w:rFonts w:ascii="arial" w:eastAsia="arial" w:hAnsi="arial" w:cs="arial"/>
          <w:sz w:val="20"/>
          <w:lang w:val="en-US" w:eastAsia="en-US" w:bidi="ar-SA"/>
        </w:rPr>
        <w:br/>
      </w:r>
      <w:r>
        <w:pict>
          <v:line id="_x0000_s1155" style="position:absolute;z-index:251880448" from="0,10pt" to="512pt,10pt" strokecolor="black" strokeweight="1pt">
            <v:stroke linestyle="single"/>
          </v:line>
        </w:pict>
      </w:r>
      <w:r>
        <w:rPr>
          <w:b/>
          <w:color w:val="767676"/>
          <w:sz w:val="16"/>
          <w:lang w:val="en-US" w:eastAsia="en-US" w:bidi="ar-SA"/>
        </w:rPr>
        <w:t>End of Document</w:t>
      </w:r>
    </w:p>
    <w:p>
      <w:pPr>
        <w:rPr>
          <w:rFonts w:ascii="arial" w:eastAsia="arial" w:hAnsi="arial" w:cs="arial"/>
          <w:sz w:val="20"/>
          <w:lang w:val="en-US" w:eastAsia="en-US" w:bidi="ar-SA"/>
        </w:rPr>
        <w:sectPr>
          <w:headerReference w:type="even" r:id="rId539"/>
          <w:headerReference w:type="default" r:id="rId540"/>
          <w:footerReference w:type="even" r:id="rId541"/>
          <w:footerReference w:type="default" r:id="rId542"/>
          <w:headerReference w:type="first" r:id="rId543"/>
          <w:footerReference w:type="first" r:id="rId544"/>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eastAsia="arial" w:hAnsi="Arial" w:cs="Arial"/>
          <w:b/>
          <w:bCs/>
          <w:kern w:val="32"/>
          <w:sz w:val="32"/>
          <w:szCs w:val="32"/>
          <w:lang w:val="en-US" w:eastAsia="en-US" w:bidi="ar-SA"/>
        </w:rPr>
      </w:pPr>
      <w:hyperlink r:id="rId545" w:history="1">
        <w:r>
          <w:rPr>
            <w:rFonts w:ascii="arial" w:eastAsia="arial" w:hAnsi="arial" w:cs="arial"/>
            <w:b/>
            <w:bCs/>
            <w:i/>
            <w:color w:val="0077CC"/>
            <w:kern w:val="32"/>
            <w:sz w:val="28"/>
            <w:szCs w:val="32"/>
            <w:u w:val="single"/>
            <w:shd w:val="clear" w:color="auto" w:fill="FFFFFF"/>
            <w:lang w:val="en-US" w:eastAsia="en-US" w:bidi="ar-SA"/>
          </w:rPr>
          <w:t>Makowsky v. John Doe, [2007] B.C.J. No. 2742</w:t>
        </w:r>
      </w:hyperlink>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Judgments</w:t>
      </w:r>
    </w:p>
    <w:p>
      <w:pPr>
        <w:rPr>
          <w:rFonts w:ascii="arial" w:eastAsia="arial" w:hAnsi="arial" w:cs="arial"/>
          <w:sz w:val="20"/>
          <w:lang w:val="en-US" w:eastAsia="en-US" w:bidi="ar-SA"/>
        </w:rPr>
      </w:pP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Vancouver, British Columbia</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L.P. Williamson J.</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Heard: December 14, 2007.</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Judgment: December 24, 2007.</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Docket: M010224</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Registry: Vancouver</w:t>
      </w:r>
    </w:p>
    <w:p>
      <w:pPr>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r>
        <w:rPr>
          <w:rFonts w:ascii="arial" w:eastAsia="arial" w:hAnsi="arial" w:cs="arial"/>
          <w:b/>
          <w:color w:val="000000"/>
          <w:sz w:val="20"/>
          <w:lang w:val="en-US" w:eastAsia="en-US" w:bidi="ar-SA"/>
        </w:rPr>
        <w:t>[2007] B.C.J. No. 2742</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hyperlink r:id="rId546" w:history="1">
        <w:r>
          <w:rPr>
            <w:rFonts w:ascii="arial" w:eastAsia="arial" w:hAnsi="arial" w:cs="arial"/>
            <w:i/>
            <w:color w:val="0077CC"/>
            <w:sz w:val="20"/>
            <w:u w:val="single"/>
            <w:shd w:val="clear" w:color="auto" w:fill="FFFFFF"/>
            <w:lang w:val="en-US" w:eastAsia="en-US" w:bidi="ar-SA"/>
          </w:rPr>
          <w:t>2007 BCSC 1865</w:t>
        </w:r>
      </w:hyperlink>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hyperlink r:id="rId546" w:history="1">
        <w:r>
          <w:rPr>
            <w:rFonts w:ascii="arial" w:eastAsia="arial" w:hAnsi="arial" w:cs="arial"/>
            <w:i/>
            <w:color w:val="0077CC"/>
            <w:sz w:val="20"/>
            <w:u w:val="single"/>
            <w:shd w:val="clear" w:color="auto" w:fill="FFFFFF"/>
            <w:lang w:val="en-US" w:eastAsia="en-US" w:bidi="ar-SA"/>
          </w:rPr>
          <w:t>[2008] I.L.R. I-4671</w:t>
        </w:r>
      </w:hyperlink>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hyperlink r:id="rId546" w:history="1">
        <w:r>
          <w:rPr>
            <w:rFonts w:ascii="arial" w:eastAsia="arial" w:hAnsi="arial" w:cs="arial"/>
            <w:i/>
            <w:color w:val="0077CC"/>
            <w:sz w:val="20"/>
            <w:u w:val="single"/>
            <w:shd w:val="clear" w:color="auto" w:fill="FFFFFF"/>
            <w:lang w:val="en-US" w:eastAsia="en-US" w:bidi="ar-SA"/>
          </w:rPr>
          <w:t>57 C.C.L.I. (4th) 88</w:t>
        </w:r>
      </w:hyperlink>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hyperlink r:id="rId546" w:history="1">
        <w:r>
          <w:rPr>
            <w:rFonts w:ascii="arial" w:eastAsia="arial" w:hAnsi="arial" w:cs="arial"/>
            <w:i/>
            <w:color w:val="0077CC"/>
            <w:sz w:val="20"/>
            <w:u w:val="single"/>
            <w:shd w:val="clear" w:color="auto" w:fill="FFFFFF"/>
            <w:lang w:val="en-US" w:eastAsia="en-US" w:bidi="ar-SA"/>
          </w:rPr>
          <w:t>164 A.C.W.S. (3d) 149</w:t>
        </w:r>
      </w:hyperlink>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hyperlink r:id="rId546" w:history="1">
        <w:r>
          <w:rPr>
            <w:rFonts w:ascii="arial" w:eastAsia="arial" w:hAnsi="arial" w:cs="arial"/>
            <w:i/>
            <w:color w:val="0077CC"/>
            <w:sz w:val="20"/>
            <w:u w:val="single"/>
            <w:shd w:val="clear" w:color="auto" w:fill="FFFFFF"/>
            <w:lang w:val="en-US" w:eastAsia="en-US" w:bidi="ar-SA"/>
          </w:rPr>
          <w:t>2008 CarswellBC 3063</w:t>
        </w:r>
      </w:hyperlink>
    </w:p>
    <w:p>
      <w:pPr>
        <w:spacing w:before="120" w:line="260" w:lineRule="atLeast"/>
        <w:rPr>
          <w:rFonts w:ascii="arial" w:eastAsia="arial" w:hAnsi="arial" w:cs="arial"/>
          <w:sz w:val="20"/>
          <w:lang w:val="en-US" w:eastAsia="en-US" w:bidi="ar-SA"/>
        </w:rPr>
      </w:pPr>
      <w:r>
        <w:rPr>
          <w:rFonts w:ascii="arial" w:eastAsia="arial" w:hAnsi="arial" w:cs="arial"/>
          <w:color w:val="000000"/>
          <w:sz w:val="20"/>
          <w:lang w:val="en-US" w:eastAsia="en-US" w:bidi="ar-SA"/>
        </w:rPr>
        <w:t>Between Glen Makowsky, Plaintiff, and John Doe, Harminder Kaur Jawandha and Insurance Corporation of British Columbia, Defendants</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(33 paras.)</w:t>
      </w:r>
    </w:p>
    <w:p>
      <w:pPr>
        <w:keepNext/>
        <w:spacing w:before="12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Case Summary</w:t>
      </w:r>
    </w:p>
    <w:p>
      <w:pPr>
        <w:spacing w:line="60" w:lineRule="exact"/>
        <w:rPr>
          <w:rFonts w:ascii="arial" w:eastAsia="arial" w:hAnsi="arial" w:cs="arial"/>
          <w:sz w:val="20"/>
          <w:lang w:val="en-US" w:eastAsia="en-US" w:bidi="ar-SA"/>
        </w:rPr>
      </w:pPr>
      <w:r>
        <w:pict>
          <v:line id="_x0000_s1156" style="position:absolute;z-index:251685888"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bookmarkStart w:id="170" w:name="Keywords_25"/>
      <w:bookmarkEnd w:id="170"/>
      <w:r>
        <w:rPr>
          <w:rFonts w:ascii="arial" w:eastAsia="arial" w:hAnsi="arial" w:cs="arial"/>
          <w:b/>
          <w:color w:val="000000"/>
          <w:sz w:val="20"/>
          <w:lang w:val="en-US" w:eastAsia="en-US" w:bidi="ar-SA"/>
        </w:rPr>
        <w:t>Insurance law — Automobile insurance — Statutory conditions — Application by the personal defendant and his insurer to dismiss two separate actions allowed in part — The claims arose from two separate motor vehicle accidents — The court allowed the claim surrounding the first incident to proceed — The accident was reported within the statutory time period, and it was not unreasonable to wait to determine whether injuries would resolve — The second claim was dismissed against the insurer for failure to report within the statutory time limit — There were sufficient facts surrounding the second accident that supported causes of action against the personal defendant — Motor Vehicle Act, ss. 1, 86.</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Limitation of actions — Topics — Insurance — Motor vehicle — Insurance corporations — Application by the personal defendant and his insurer to dismiss two separate actions allowed in part — The claims arose from two separate motor vehicle accidents — The court allowed the claim surrounding the first incident to proceed — The accident was reported within the statutory time period, and it was not unreasonable to wait to determine whether injuries would resolve — The second claim was dismissed against the insurer for failure to report within the statutory time limit — There were sufficient facts surrounding the second accident that supported causes of action against the personal defendant — Motor Vehicle Act, ss. 1, 86.</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Transportation law — Motor vehicles — Definitions — Highway — Insurance — Application by the personal defendant and his insurer to dismiss two separate actions allowed in part — The claims arose from two separate motor vehicle accidents — In the second incident, the plaintiff was struck by a vehicle that crossed a playing field from a parking lot — There were sufficient facts surrounding the second accident that supported causes of action against the personal defendant — The parking lot constituted a highway for the purpose of the applicability of the Motor Vehicle Act — Motor Vehicle Act, ss. 1, 86.</w:t>
      </w:r>
    </w:p>
    <w:p>
      <w:pPr>
        <w:rPr>
          <w:rFonts w:ascii="arial" w:eastAsia="arial" w:hAnsi="arial" w:cs="arial"/>
          <w:sz w:val="20"/>
          <w:lang w:val="en-US" w:eastAsia="en-US" w:bidi="ar-SA"/>
        </w:rPr>
      </w:pPr>
    </w:p>
    <w:tbl>
      <w:tblPr>
        <w:tblStyle w:val="TableNormal"/>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
      <w:tblGrid>
        <w:gridCol w:w="10225"/>
      </w:tblGrid>
      <w:tr>
        <w:tblPrEx>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Ex>
        <w:tc>
          <w:tcPr/>
          <w:p>
            <w:pPr>
              <w:rPr>
                <w:rFonts w:ascii="arial" w:eastAsia="arial" w:hAnsi="arial" w:cs="arial"/>
                <w:sz w:val="20"/>
                <w:lang w:val="en-US" w:eastAsia="en-US" w:bidi="ar-SA"/>
              </w:rPr>
            </w:pPr>
            <w:bookmarkStart w:id="171" w:name="Case Summary_24"/>
            <w:bookmarkEnd w:id="171"/>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Application by the personal defendant, Jawandha, and her insurer, the Insurance Corporation of British Columbia for an order dismissing claims brought against them in two separate actions -- In the first incident, the plaintiff alleged that an unidentified vehicle executed an illegal turn that cause him to swerve to avoid a collision and strike a pole -- The insurer alleged that the plaintiff failed to promptly report the accident to it, or to police -- The plaintiff stated that he reported the accident three weeks later when his injuries did not resolve -- In the second incident, the plaintiff alleged that a vehicle drove across a playing field and struck him and one of his dogs -- The plaintiff immediately took steps to ascertain the identity of the driver and promptly reported the licence plate number to police -- However, the plaintiff did not report the matter to the insurer for 15 months -- HELD: Application allowed in part -- The plaintiff in the first incident reported the accident to the insurer as soon as was reasonably practicable -- Given the confusion caused by his head injury, it was not unreasonable to determine whether the injury would resolve prior to reporting the accident -- The accident was reported within the statutory six-month period -- The action arising from the second accident was dismissed as against the insurer, as the plaintiff failed to report the accident within the statutory time limit -- There were sufficient material facts in the second plaintiff's statement of claim to otherwise support causes of action in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or breach of s. 86 of the Motor Vehicle Act, regardless of whether the personal defendant was the driver -- The second incident commenced in a parking lot, which constituted a highway for the purpose of the applicability of the Act. </w:t>
            </w:r>
            <w:r>
              <w:rPr>
                <w:rFonts w:ascii="arial" w:eastAsia="arial" w:hAnsi="arial" w:cs="arial"/>
                <w:sz w:val="20"/>
                <w:lang w:val="en-US" w:eastAsia="en-US" w:bidi="ar-SA"/>
              </w:rPr>
              <w:cr/>
            </w:r>
          </w:p>
          <w:p>
            <w:pPr>
              <w:rPr>
                <w:rFonts w:ascii="arial" w:eastAsia="arial" w:hAnsi="arial" w:cs="arial"/>
                <w:sz w:val="20"/>
                <w:lang w:val="en-US" w:eastAsia="en-US" w:bidi="ar-SA"/>
              </w:rPr>
            </w:pPr>
          </w:p>
        </w:tc>
      </w:tr>
    </w:tbl>
    <w:p>
      <w:pPr>
        <w:jc w:val="both"/>
        <w:rPr>
          <w:rFonts w:ascii="arial" w:eastAsia="arial" w:hAnsi="arial" w:cs="arial"/>
          <w:sz w:val="20"/>
          <w:lang w:val="en-US" w:eastAsia="en-US" w:bidi="ar-SA"/>
        </w:rPr>
      </w:pPr>
      <w:bookmarkStart w:id="172" w:name="Legislation Cited_19"/>
      <w:bookmarkEnd w:id="172"/>
      <w:r>
        <w:rPr>
          <w:rFonts w:ascii="arial" w:eastAsia="arial" w:hAnsi="arial" w:cs="arial"/>
          <w:sz w:val="20"/>
          <w:lang w:val="en-US" w:eastAsia="en-US" w:bidi="ar-SA"/>
        </w:rPr>
        <w:br/>
      </w:r>
    </w:p>
    <w:p>
      <w:pPr>
        <w:keepNext/>
        <w:spacing w:before="24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Statutes, Regulations and Rules Cited:</w:t>
      </w:r>
    </w:p>
    <w:p>
      <w:pPr>
        <w:spacing w:line="60" w:lineRule="exact"/>
        <w:rPr>
          <w:rFonts w:ascii="arial" w:eastAsia="arial" w:hAnsi="arial" w:cs="arial"/>
          <w:sz w:val="20"/>
          <w:lang w:val="en-US" w:eastAsia="en-US" w:bidi="ar-SA"/>
        </w:rPr>
      </w:pPr>
      <w:r>
        <w:pict>
          <v:line id="_x0000_s1157" style="position:absolute;z-index:251737088"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Insurance (Motor Vehicle) Act, </w:t>
      </w:r>
      <w:hyperlink r:id="rId547" w:history="1">
        <w:r>
          <w:rPr>
            <w:rFonts w:ascii="arial" w:eastAsia="arial" w:hAnsi="arial" w:cs="arial"/>
            <w:i/>
            <w:color w:val="0077CC"/>
            <w:sz w:val="20"/>
            <w:u w:val="single"/>
            <w:shd w:val="clear" w:color="auto" w:fill="FFFFFF"/>
            <w:lang w:val="en-US" w:eastAsia="en-US" w:bidi="ar-SA"/>
          </w:rPr>
          <w:t>R.S.B.C. 1996, c. 231, s. 19.1</w:t>
        </w:r>
      </w:hyperlink>
      <w:r>
        <w:rPr>
          <w:rFonts w:ascii="arial" w:eastAsia="arial" w:hAnsi="arial" w:cs="arial"/>
          <w:color w:val="000000"/>
          <w:sz w:val="20"/>
          <w:lang w:val="en-US" w:eastAsia="en-US" w:bidi="ar-SA"/>
        </w:rPr>
        <w:t>, s. 24, s. 24(2)</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Motor Vehicle Act, </w:t>
      </w:r>
      <w:hyperlink r:id="rId548" w:history="1">
        <w:r>
          <w:rPr>
            <w:rFonts w:ascii="arial" w:eastAsia="arial" w:hAnsi="arial" w:cs="arial"/>
            <w:i/>
            <w:color w:val="0077CC"/>
            <w:sz w:val="20"/>
            <w:u w:val="single"/>
            <w:shd w:val="clear" w:color="auto" w:fill="FFFFFF"/>
            <w:lang w:val="en-US" w:eastAsia="en-US" w:bidi="ar-SA"/>
          </w:rPr>
          <w:t>R.S.B.C. 1996, c. 318, s. 1</w:t>
        </w:r>
      </w:hyperlink>
      <w:r>
        <w:rPr>
          <w:rFonts w:ascii="arial" w:eastAsia="arial" w:hAnsi="arial" w:cs="arial"/>
          <w:color w:val="000000"/>
          <w:sz w:val="20"/>
          <w:lang w:val="en-US" w:eastAsia="en-US" w:bidi="ar-SA"/>
        </w:rPr>
        <w:t>, s. 86, s. 86(1)</w:t>
      </w:r>
      <w:r>
        <w:rPr>
          <w:rFonts w:ascii="arial" w:eastAsia="arial" w:hAnsi="arial" w:cs="arial"/>
          <w:sz w:val="20"/>
          <w:lang w:val="en-US" w:eastAsia="en-US" w:bidi="ar-SA"/>
        </w:rPr>
        <w:cr/>
      </w:r>
    </w:p>
    <w:p>
      <w:pPr>
        <w:keepNext/>
        <w:spacing w:before="240" w:line="340" w:lineRule="atLeast"/>
        <w:rPr>
          <w:rFonts w:ascii="arial" w:eastAsia="arial" w:hAnsi="arial" w:cs="arial"/>
          <w:sz w:val="20"/>
          <w:lang w:val="en-US" w:eastAsia="en-US" w:bidi="ar-SA"/>
        </w:rPr>
      </w:pPr>
      <w:bookmarkStart w:id="173" w:name="Counsel_25"/>
      <w:bookmarkEnd w:id="173"/>
      <w:r>
        <w:rPr>
          <w:rFonts w:ascii="arial" w:eastAsia="arial" w:hAnsi="arial" w:cs="arial"/>
          <w:b/>
          <w:color w:val="000000"/>
          <w:sz w:val="28"/>
          <w:lang w:val="en-US" w:eastAsia="en-US" w:bidi="ar-SA"/>
        </w:rPr>
        <w:t>Counsel</w:t>
      </w:r>
    </w:p>
    <w:p>
      <w:pPr>
        <w:spacing w:line="60" w:lineRule="exact"/>
        <w:rPr>
          <w:rFonts w:ascii="arial" w:eastAsia="arial" w:hAnsi="arial" w:cs="arial"/>
          <w:sz w:val="20"/>
          <w:lang w:val="en-US" w:eastAsia="en-US" w:bidi="ar-SA"/>
        </w:rPr>
      </w:pPr>
      <w:r>
        <w:pict>
          <v:line id="_x0000_s1158" style="position:absolute;z-index:251788288"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Counsel for the Plaintiff: Thomas Harding.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Counsel for the Defendant, Harminder Kaur Jawandha: Vince Critchley.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Counsel for the Defendant, Insurance Corporation of British Columbia: Travis Brine.</w:t>
      </w:r>
      <w:r>
        <w:rPr>
          <w:rFonts w:ascii="arial" w:eastAsia="arial" w:hAnsi="arial" w:cs="arial"/>
          <w:sz w:val="20"/>
          <w:lang w:val="en-US" w:eastAsia="en-US" w:bidi="ar-SA"/>
        </w:rPr>
        <w:cr/>
      </w:r>
    </w:p>
    <w:p>
      <w:pPr>
        <w:spacing w:after="240"/>
        <w:rPr>
          <w:rFonts w:ascii="arial" w:eastAsia="arial" w:hAnsi="arial" w:cs="arial"/>
          <w:sz w:val="20"/>
          <w:lang w:val="en-US" w:eastAsia="en-US" w:bidi="ar-SA"/>
        </w:rPr>
      </w:pPr>
      <w:bookmarkStart w:id="174" w:name="Judgment_26"/>
      <w:bookmarkEnd w:id="174"/>
      <w:r>
        <w:pict>
          <v:line id="_x0000_s1159" style="position:absolute;z-index:251837440" from="0,12pt" to="512pt,12pt" strokecolor="#009ddb" strokeweight="1.5pt">
            <v:stroke linestyle="single"/>
          </v:line>
        </w:pict>
      </w:r>
    </w:p>
    <w:p>
      <w:pPr>
        <w:spacing w:before="120" w:line="260" w:lineRule="atLeast"/>
        <w:jc w:val="center"/>
        <w:rPr>
          <w:rFonts w:ascii="arial" w:eastAsia="arial" w:hAnsi="arial" w:cs="arial"/>
          <w:sz w:val="20"/>
          <w:lang w:val="en-US" w:eastAsia="en-US" w:bidi="ar-SA"/>
        </w:rPr>
      </w:pPr>
      <w:r>
        <w:rPr>
          <w:rFonts w:ascii="arial" w:eastAsia="arial" w:hAnsi="arial" w:cs="arial"/>
          <w:b/>
          <w:color w:val="000000"/>
          <w:sz w:val="20"/>
          <w:lang w:val="en-US" w:eastAsia="en-US" w:bidi="ar-SA"/>
        </w:rPr>
        <w:t>Reasons for Judgment</w:t>
      </w:r>
      <w:r>
        <w:rPr>
          <w:rFonts w:ascii="arial" w:eastAsia="arial" w:hAnsi="arial" w:cs="arial"/>
          <w:sz w:val="20"/>
          <w:lang w:val="en-US" w:eastAsia="en-US" w:bidi="ar-SA"/>
        </w:rPr>
        <w:cr/>
      </w:r>
    </w:p>
    <w:p>
      <w:pPr>
        <w:rPr>
          <w:rFonts w:ascii="arial" w:eastAsia="arial" w:hAnsi="arial" w:cs="arial"/>
          <w:sz w:val="20"/>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3170"/>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rFonts w:ascii="arial" w:eastAsia="arial" w:hAnsi="arial" w:cs="arial"/>
                <w:sz w:val="20"/>
                <w:lang w:val="en-US" w:eastAsia="en-US" w:bidi="ar-SA"/>
              </w:rPr>
            </w:pPr>
            <w:bookmarkStart w:id="175" w:name="L.P. WILLIAMSON J."/>
            <w:bookmarkEnd w:id="175"/>
            <w:r>
              <w:rPr>
                <w:rFonts w:ascii="arial" w:eastAsia="arial" w:hAnsi="arial" w:cs="arial"/>
                <w:b/>
                <w:color w:val="000000"/>
                <w:sz w:val="30"/>
                <w:lang w:val="en-US" w:eastAsia="en-US" w:bidi="ar-SA"/>
              </w:rPr>
              <w:t>L.P. WILLIAMSON J.</w:t>
            </w:r>
          </w:p>
        </w:tc>
      </w:tr>
    </w:tbl>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This is an application by the defendant Insurance Corporation of British Columbia ("ICBC") and the defendant Harminder Kaur Jawandha for an order dismissing claims for damages brought against the defendants in two separate actions.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The Accidents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The first arises out of an incident March 6, 1999. The plaintiff alleges that an unidentified vehicle executed a right hand turn through a stop sign without stopping. This manoeuvre caused the plaintiff to swerve in order to avoid a collision. As a result, his vehicle struck a pole and he sustained injuries.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The second incident occurred September 9, 1999. The plaintiff alleges that a Dodge pickup truck drove from a school parking lot across a playing field and struck the plaintiff while he was walking his dogs. One of the dogs was killed. The plaintiff claims he sustained a significant head injury.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xml:space="preserve">  These applications turn in part upon an interpretation of s. 24 of the </w:t>
      </w:r>
      <w:r>
        <w:rPr>
          <w:rFonts w:ascii="arial" w:eastAsia="arial" w:hAnsi="arial" w:cs="arial"/>
          <w:b/>
          <w:i/>
          <w:color w:val="000000"/>
          <w:sz w:val="20"/>
          <w:lang w:val="en-US" w:eastAsia="en-US" w:bidi="ar-SA"/>
        </w:rPr>
        <w:t>Insurance (Motor Vehicle) Act</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R.S.B.C. 1996, c. 231</w:t>
      </w:r>
      <w:r>
        <w:rPr>
          <w:rFonts w:ascii="arial" w:eastAsia="arial" w:hAnsi="arial" w:cs="arial"/>
          <w:color w:val="000000"/>
          <w:sz w:val="20"/>
          <w:lang w:val="en-US" w:eastAsia="en-US" w:bidi="ar-SA"/>
        </w:rPr>
        <w:t xml:space="preserve"> (the "</w:t>
      </w:r>
      <w:r>
        <w:rPr>
          <w:rFonts w:ascii="arial" w:eastAsia="arial" w:hAnsi="arial" w:cs="arial"/>
          <w:b/>
          <w:i/>
          <w:color w:val="000000"/>
          <w:sz w:val="20"/>
          <w:lang w:val="en-US" w:eastAsia="en-US" w:bidi="ar-SA"/>
        </w:rPr>
        <w:t>Act</w:t>
      </w:r>
      <w:r>
        <w:rPr>
          <w:rFonts w:ascii="arial" w:eastAsia="arial" w:hAnsi="arial" w:cs="arial"/>
          <w:color w:val="000000"/>
          <w:sz w:val="20"/>
          <w:lang w:val="en-US" w:eastAsia="en-US" w:bidi="ar-SA"/>
        </w:rPr>
        <w:t>"), as it was from 1997 until May 31, 2007. That section reads as follows: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24(1) If bodily injury to or the death of a person or damage to property arises out of the use or operation of a motor vehicle on a highway in British Columbia and</w:t>
      </w:r>
    </w:p>
    <w:p>
      <w:pPr>
        <w:numPr>
          <w:numId w:val="9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names of both the owner and the driver of the motor vehicle are not ascertainable, or</w:t>
      </w:r>
    </w:p>
    <w:p>
      <w:pPr>
        <w:numPr>
          <w:numId w:val="9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name of the driver is not ascertainable and the owner is not liable to an action for damages for the injury, death or property damage,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any person who has a cause of action</w:t>
      </w:r>
    </w:p>
    <w:p>
      <w:pPr>
        <w:numPr>
          <w:numId w:val="2"/>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as mentioned in paragraph (a), against the owner or the driver, or</w:t>
      </w:r>
    </w:p>
    <w:p>
      <w:pPr>
        <w:numPr>
          <w:numId w:val="2"/>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as mentioned in paragraph (b), against the driver,</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in respect of the bodily injury, death or property damage may bring an action against the corporation as nominal defendant, either alone or as a defendant with others alleged to be responsible for the injury, death or property damage, but in an action in which the names of both the owner and the driver of the motor vehicle are not known or ascertainable, recovery for property damage is limited to the amount by which the damages exceed the prescribed amount.</w:t>
      </w:r>
    </w:p>
    <w:p>
      <w:pPr>
        <w:numPr>
          <w:numId w:val="3"/>
        </w:numPr>
        <w:tabs>
          <w:tab w:val="num" w:pos="1120"/>
          <w:tab w:val="clear" w:pos="184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Proceedings must not be brought against the corporation as nominal defendant under this section unless the person bringing them gives written notice to the corporation as soon as reasonably practicable and in any event within 6 months after the accident that caused the bodily injury, death or property damage.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The First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The defendant ICBC says that the plaintiff failed to notify the corporation as soon as reasonably practicable after the accident. It points to the fact that the plaintiff did not report this accident to the police, and that at various times he has given various reasons for not reporting the accident to ICBC immediately. However, the plaintiff did report the accident to ICBC April 1, 1999, some three weeks after the incident.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His description of what happened at the scene is that having veered sharply to avoid the collision, his vehicle came to a stop over a piece of concrete that was apparently supporting a no parking sign. He said that during the violent movement his head "slammed into the roof of my vehicle, stunning 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He described his condition in the following words: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 was very shaken up by this - both because my fear of crashing into the minivan and then immediately after being afraid I might drive into people at the bus stop. My heart was racing and I was shaking. I was cold and sweaty. I kept seeing the minivan ahead of me and the people at the bus stop. I was quite dazed and had trouble concentrating on what was happening.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He deposed that at first he did not report the matter to ICBC because he thought his injuries would resolve in a few days. However, when his pains did not go away he called ICBC on April 1, 1999. Eight days later he went into the corporation and signed a statement.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At the scene, the plaintiff was able to obtain the name of one witness. However, he did not provide the name of this witness to ICBC for some time, despite being requested to do so.</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Did he report this accident to ICBC "as soon as reasonably practicable"? I am persuaded that he did. He reported it in three weeks. As can be seen from the above, he was clearly shaken up at the time of the accident. When he realized that his injuries were not going away, he promptly reported the matter to ICBC. From that point on, the insurance corporation was free to make any investigations that it wished.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I am satisfied that where a person sustains injuries that leave one in shock, and confused, it is not unreasonable for such person to concentrate upon whether the injuries will resolve before turning one's mind to reporting the matter to the insurance corporation.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Indeed, s. 24 sets out a maximum time of six months. Here, the report was within three weeks.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xml:space="preserve">  That concentration upon one's physical and/or psychological injuries may delay the operation of a limitation period has been recognized in the authorities: see </w:t>
      </w:r>
      <w:r>
        <w:rPr>
          <w:rFonts w:ascii="arial" w:eastAsia="arial" w:hAnsi="arial" w:cs="arial"/>
          <w:b/>
          <w:i/>
          <w:color w:val="000000"/>
          <w:sz w:val="20"/>
          <w:lang w:val="en-US" w:eastAsia="en-US" w:bidi="ar-SA"/>
        </w:rPr>
        <w:t>Holloway v. I.C.B.C. and Richmond Cabs and John Doe</w:t>
      </w:r>
      <w:r>
        <w:rPr>
          <w:rFonts w:ascii="arial" w:eastAsia="arial" w:hAnsi="arial" w:cs="arial"/>
          <w:color w:val="000000"/>
          <w:sz w:val="20"/>
          <w:lang w:val="en-US" w:eastAsia="en-US" w:bidi="ar-SA"/>
        </w:rPr>
        <w:t xml:space="preserve">, </w:t>
      </w:r>
      <w:hyperlink r:id="rId549" w:history="1">
        <w:r>
          <w:rPr>
            <w:rFonts w:ascii="arial" w:eastAsia="arial" w:hAnsi="arial" w:cs="arial"/>
            <w:i/>
            <w:color w:val="0077CC"/>
            <w:sz w:val="20"/>
            <w:u w:val="single"/>
            <w:shd w:val="clear" w:color="auto" w:fill="FFFFFF"/>
            <w:lang w:val="en-US" w:eastAsia="en-US" w:bidi="ar-SA"/>
          </w:rPr>
          <w:t>2007 BCCA 175</w:t>
        </w:r>
      </w:hyperlink>
      <w:r>
        <w:rPr>
          <w:rFonts w:ascii="arial" w:eastAsia="arial" w:hAnsi="arial" w:cs="arial"/>
          <w:color w:val="000000"/>
          <w:sz w:val="20"/>
          <w:lang w:val="en-US" w:eastAsia="en-US" w:bidi="ar-SA"/>
        </w:rPr>
        <w:t xml:space="preserve">; </w:t>
      </w:r>
      <w:r>
        <w:rPr>
          <w:rFonts w:ascii="arial" w:eastAsia="arial" w:hAnsi="arial" w:cs="arial"/>
          <w:b/>
          <w:i/>
          <w:color w:val="000000"/>
          <w:sz w:val="20"/>
          <w:lang w:val="en-US" w:eastAsia="en-US" w:bidi="ar-SA"/>
        </w:rPr>
        <w:t>Jack v. Sidhu</w:t>
      </w:r>
      <w:r>
        <w:rPr>
          <w:rFonts w:ascii="arial" w:eastAsia="arial" w:hAnsi="arial" w:cs="arial"/>
          <w:color w:val="000000"/>
          <w:sz w:val="20"/>
          <w:lang w:val="en-US" w:eastAsia="en-US" w:bidi="ar-SA"/>
        </w:rPr>
        <w:t xml:space="preserve">, </w:t>
      </w:r>
      <w:hyperlink r:id="rId550" w:history="1">
        <w:r>
          <w:rPr>
            <w:rFonts w:ascii="arial" w:eastAsia="arial" w:hAnsi="arial" w:cs="arial"/>
            <w:i/>
            <w:color w:val="0077CC"/>
            <w:sz w:val="20"/>
            <w:u w:val="single"/>
            <w:shd w:val="clear" w:color="auto" w:fill="FFFFFF"/>
            <w:lang w:val="en-US" w:eastAsia="en-US" w:bidi="ar-SA"/>
          </w:rPr>
          <w:t>2006 BCSC 1218</w:t>
        </w:r>
      </w:hyperlink>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The Second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As noted above, the second incident took place on September 9, 1999. The plaintiff immediately took steps to ascertain the identity of the person driving the vehicle that was involved. He was able to obtain the licence number of that vehicle. He reported it forthwith to the RCMP. They investigated the matter.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w:t>
      </w:r>
      <w:r>
        <w:rPr>
          <w:rFonts w:ascii="arial" w:eastAsia="arial" w:hAnsi="arial" w:cs="arial"/>
          <w:color w:val="000000"/>
          <w:sz w:val="20"/>
          <w:lang w:val="en-US" w:eastAsia="en-US" w:bidi="ar-SA"/>
        </w:rPr>
        <w:t>  Nevertheless, the plaintiff failed to report the matter to ICBC until December 13, 2000, 15 months after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w:t>
      </w:r>
      <w:r>
        <w:rPr>
          <w:rFonts w:ascii="arial" w:eastAsia="arial" w:hAnsi="arial" w:cs="arial"/>
          <w:color w:val="000000"/>
          <w:sz w:val="20"/>
          <w:lang w:val="en-US" w:eastAsia="en-US" w:bidi="ar-SA"/>
        </w:rPr>
        <w:t>  This is puzzling because at the time of the second accident, the plaintiff had retained a lawyer who was representing him with respect to the first accident. It is surprising in these circumstances that the second accident, which on the face of it appears more serious than the first, was not reported to ICBC.</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w:t>
      </w:r>
      <w:r>
        <w:rPr>
          <w:rFonts w:ascii="arial" w:eastAsia="arial" w:hAnsi="arial" w:cs="arial"/>
          <w:color w:val="000000"/>
          <w:sz w:val="20"/>
          <w:lang w:val="en-US" w:eastAsia="en-US" w:bidi="ar-SA"/>
        </w:rPr>
        <w:t>  The plaintiff, then, is confronted with s. 24(2) and the words that the insurance corporation is to be notified "in any event within 6 months after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w:t>
      </w:r>
      <w:r>
        <w:rPr>
          <w:rFonts w:ascii="arial" w:eastAsia="arial" w:hAnsi="arial" w:cs="arial"/>
          <w:color w:val="000000"/>
          <w:sz w:val="20"/>
          <w:lang w:val="en-US" w:eastAsia="en-US" w:bidi="ar-SA"/>
        </w:rPr>
        <w:t>  The wording of the statute is clear. The plaintiff has not brought to the attention of the court any case in which an action has been permitted to proceed in circumstances where written notice was not given to the insurance corporation within six months.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w:t>
      </w:r>
      <w:r>
        <w:rPr>
          <w:rFonts w:ascii="arial" w:eastAsia="arial" w:hAnsi="arial" w:cs="arial"/>
          <w:color w:val="000000"/>
          <w:sz w:val="20"/>
          <w:lang w:val="en-US" w:eastAsia="en-US" w:bidi="ar-SA"/>
        </w:rPr>
        <w:t>  In the result, I conclude that the action against ICBC concerning the September 9, 1999 accident is statute barred.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The Defendant Jawandha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w:t>
      </w:r>
      <w:r>
        <w:rPr>
          <w:rFonts w:ascii="arial" w:eastAsia="arial" w:hAnsi="arial" w:cs="arial"/>
          <w:color w:val="000000"/>
          <w:sz w:val="20"/>
          <w:lang w:val="en-US" w:eastAsia="en-US" w:bidi="ar-SA"/>
        </w:rPr>
        <w:t>  The defendant, Harminder Kaur Jawandha, states that the plaintiff's claim does not set out a cause of action against her and for this reason should be dismissed.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w:t>
      </w:r>
      <w:r>
        <w:rPr>
          <w:rFonts w:ascii="arial" w:eastAsia="arial" w:hAnsi="arial" w:cs="arial"/>
          <w:color w:val="000000"/>
          <w:sz w:val="20"/>
          <w:lang w:val="en-US" w:eastAsia="en-US" w:bidi="ar-SA"/>
        </w:rPr>
        <w:t xml:space="preserve">  Brenner J. (as he then was) in </w:t>
      </w:r>
      <w:r>
        <w:rPr>
          <w:rFonts w:ascii="arial" w:eastAsia="arial" w:hAnsi="arial" w:cs="arial"/>
          <w:b/>
          <w:i/>
          <w:color w:val="000000"/>
          <w:sz w:val="20"/>
          <w:lang w:val="en-US" w:eastAsia="en-US" w:bidi="ar-SA"/>
        </w:rPr>
        <w:t>Alford v. Canada (Attorney General)</w:t>
      </w:r>
      <w:r>
        <w:rPr>
          <w:rFonts w:ascii="arial" w:eastAsia="arial" w:hAnsi="arial" w:cs="arial"/>
          <w:color w:val="000000"/>
          <w:sz w:val="20"/>
          <w:lang w:val="en-US" w:eastAsia="en-US" w:bidi="ar-SA"/>
        </w:rPr>
        <w:t xml:space="preserve"> </w:t>
      </w:r>
      <w:hyperlink r:id="rId551" w:history="1">
        <w:r>
          <w:rPr>
            <w:rFonts w:ascii="arial" w:eastAsia="arial" w:hAnsi="arial" w:cs="arial"/>
            <w:i/>
            <w:color w:val="0077CC"/>
            <w:sz w:val="20"/>
            <w:u w:val="single"/>
            <w:shd w:val="clear" w:color="auto" w:fill="FFFFFF"/>
            <w:lang w:val="en-US" w:eastAsia="en-US" w:bidi="ar-SA"/>
          </w:rPr>
          <w:t>(1997), 31 B.C.L.R. (3d) 228</w:t>
        </w:r>
      </w:hyperlink>
      <w:r>
        <w:rPr>
          <w:rFonts w:ascii="arial" w:eastAsia="arial" w:hAnsi="arial" w:cs="arial"/>
          <w:color w:val="000000"/>
          <w:sz w:val="20"/>
          <w:lang w:val="en-US" w:eastAsia="en-US" w:bidi="ar-SA"/>
        </w:rPr>
        <w:t xml:space="preserve"> at para. 13 (S.C.), rejects the requirement that a cause of action be set out: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Rules of Court contain no such express requirement; they only require a plaintiff to set out in the statement of claim the material facts on which he relies, together with the relief sought. While a statement of claim must disclose a cause of action, the Rules of Court do not mandate that the pleader identify the cause of action being advanced.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w:t>
      </w:r>
      <w:r>
        <w:rPr>
          <w:rFonts w:ascii="arial" w:eastAsia="arial" w:hAnsi="arial" w:cs="arial"/>
          <w:color w:val="000000"/>
          <w:sz w:val="20"/>
          <w:lang w:val="en-US" w:eastAsia="en-US" w:bidi="ar-SA"/>
        </w:rPr>
        <w:t xml:space="preserve">  The Court of Appeal affirms this decision in </w:t>
      </w:r>
      <w:r>
        <w:rPr>
          <w:rFonts w:ascii="arial" w:eastAsia="arial" w:hAnsi="arial" w:cs="arial"/>
          <w:b/>
          <w:i/>
          <w:color w:val="000000"/>
          <w:sz w:val="20"/>
          <w:lang w:val="en-US" w:eastAsia="en-US" w:bidi="ar-SA"/>
        </w:rPr>
        <w:t>Alford v. Canada (Attorney General)</w:t>
      </w:r>
      <w:r>
        <w:rPr>
          <w:rFonts w:ascii="arial" w:eastAsia="arial" w:hAnsi="arial" w:cs="arial"/>
          <w:color w:val="000000"/>
          <w:sz w:val="20"/>
          <w:lang w:val="en-US" w:eastAsia="en-US" w:bidi="ar-SA"/>
        </w:rPr>
        <w:t xml:space="preserve">, </w:t>
      </w:r>
      <w:hyperlink r:id="rId552" w:history="1">
        <w:r>
          <w:rPr>
            <w:rFonts w:ascii="arial" w:eastAsia="arial" w:hAnsi="arial" w:cs="arial"/>
            <w:i/>
            <w:color w:val="0077CC"/>
            <w:sz w:val="20"/>
            <w:u w:val="single"/>
            <w:shd w:val="clear" w:color="auto" w:fill="FFFFFF"/>
            <w:lang w:val="en-US" w:eastAsia="en-US" w:bidi="ar-SA"/>
          </w:rPr>
          <w:t>[1998] B.C.J. No. 2965</w:t>
        </w:r>
      </w:hyperlink>
      <w:r>
        <w:rPr>
          <w:rFonts w:ascii="arial" w:eastAsia="arial" w:hAnsi="arial" w:cs="arial"/>
          <w:color w:val="000000"/>
          <w:sz w:val="20"/>
          <w:lang w:val="en-US" w:eastAsia="en-US" w:bidi="ar-SA"/>
        </w:rPr>
        <w:t xml:space="preserve"> (C.A.) (QL), stating at para. 5:</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 agree with Mr. Justice Brenner that it is not necessary for the respondents to plead specific causes of action. They must only plead material facts that can support one or more causes of action.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w:t>
      </w:r>
      <w:r>
        <w:rPr>
          <w:rFonts w:ascii="arial" w:eastAsia="arial" w:hAnsi="arial" w:cs="arial"/>
          <w:color w:val="000000"/>
          <w:sz w:val="20"/>
          <w:lang w:val="en-US" w:eastAsia="en-US" w:bidi="ar-SA"/>
        </w:rPr>
        <w:t xml:space="preserve">  In this case, the plaintiff has set out sufficient material facts in the statement of claim to support a cause of action known at law. The plaintiff states that the defendant Jawandha was the registered owner of the pickup truck and the vehicle was operated with the express or implied consent of the owner. The plaintiff also states that the collision was a result of the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and/or breach of statutory duty of the unidentified driver. These material facts, if proven, give rise to a cause of action under s. 86 of the </w:t>
      </w:r>
      <w:r>
        <w:rPr>
          <w:rFonts w:ascii="arial" w:eastAsia="arial" w:hAnsi="arial" w:cs="arial"/>
          <w:b/>
          <w:i/>
          <w:color w:val="000000"/>
          <w:sz w:val="20"/>
          <w:lang w:val="en-US" w:eastAsia="en-US" w:bidi="ar-SA"/>
        </w:rPr>
        <w:t>Motor Vehicle Act,</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R.S.B.C. 1996, c. 318</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w:t>
      </w:r>
      <w:r>
        <w:rPr>
          <w:rFonts w:ascii="arial" w:eastAsia="arial" w:hAnsi="arial" w:cs="arial"/>
          <w:color w:val="000000"/>
          <w:sz w:val="20"/>
          <w:lang w:val="en-US" w:eastAsia="en-US" w:bidi="ar-SA"/>
        </w:rPr>
        <w:t>  Section 86 was amended as of November 8, 2007. The amended section applies only in relation to loss or damages sustained on or after that date. Prior to November 8, 2007, s. 86(1) read:</w:t>
      </w:r>
      <w:r>
        <w:rPr>
          <w:rFonts w:ascii="arial" w:eastAsia="arial" w:hAnsi="arial" w:cs="arial"/>
          <w:sz w:val="20"/>
          <w:lang w:val="en-US" w:eastAsia="en-US" w:bidi="ar-SA"/>
        </w:rPr>
        <w:cr/>
      </w:r>
    </w:p>
    <w:p>
      <w:pPr>
        <w:numPr>
          <w:numId w:val="4"/>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In an action to recover loss or damage sustained by a person by reason of a motor vehicle on a highway, every person driving or operating the motor vehicle who is living with and as a member of the family of the owner of the motor vehicle, and every person driving or operating the motor vehicle who acquired possession of it with the consent, express or implied, of the owner of the motor vehicle, is deemed to be the agent or servant of that owner and employed as such, and is deemed to be driving and operating the motor vehicle in the course of his or her employment.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w:t>
      </w:r>
      <w:r>
        <w:rPr>
          <w:rFonts w:ascii="arial" w:eastAsia="arial" w:hAnsi="arial" w:cs="arial"/>
          <w:color w:val="000000"/>
          <w:sz w:val="20"/>
          <w:lang w:val="en-US" w:eastAsia="en-US" w:bidi="ar-SA"/>
        </w:rPr>
        <w:t xml:space="preserve">  Section 86 is described at para. 35 of </w:t>
      </w:r>
      <w:r>
        <w:rPr>
          <w:rFonts w:ascii="arial" w:eastAsia="arial" w:hAnsi="arial" w:cs="arial"/>
          <w:b/>
          <w:i/>
          <w:color w:val="000000"/>
          <w:sz w:val="20"/>
          <w:lang w:val="en-US" w:eastAsia="en-US" w:bidi="ar-SA"/>
        </w:rPr>
        <w:t>Yeung (Guardian ad litem of) v. Au</w:t>
      </w:r>
      <w:r>
        <w:rPr>
          <w:rFonts w:ascii="arial" w:eastAsia="arial" w:hAnsi="arial" w:cs="arial"/>
          <w:color w:val="000000"/>
          <w:sz w:val="20"/>
          <w:lang w:val="en-US" w:eastAsia="en-US" w:bidi="ar-SA"/>
        </w:rPr>
        <w:t xml:space="preserve">, </w:t>
      </w:r>
      <w:hyperlink r:id="rId553" w:history="1">
        <w:r>
          <w:rPr>
            <w:rFonts w:ascii="arial" w:eastAsia="arial" w:hAnsi="arial" w:cs="arial"/>
            <w:i/>
            <w:color w:val="0077CC"/>
            <w:sz w:val="20"/>
            <w:u w:val="single"/>
            <w:shd w:val="clear" w:color="auto" w:fill="FFFFFF"/>
            <w:lang w:val="en-US" w:eastAsia="en-US" w:bidi="ar-SA"/>
          </w:rPr>
          <w:t>2006 BCCA 217</w:t>
        </w:r>
      </w:hyperlink>
      <w:r>
        <w:rPr>
          <w:rFonts w:ascii="arial" w:eastAsia="arial" w:hAnsi="arial" w:cs="arial"/>
          <w:color w:val="000000"/>
          <w:sz w:val="20"/>
          <w:lang w:val="en-US" w:eastAsia="en-US" w:bidi="ar-SA"/>
        </w:rPr>
        <w:t xml:space="preserve">, </w:t>
      </w:r>
      <w:hyperlink r:id="rId553" w:history="1">
        <w:r>
          <w:rPr>
            <w:rFonts w:ascii="arial" w:eastAsia="arial" w:hAnsi="arial" w:cs="arial"/>
            <w:i/>
            <w:color w:val="0077CC"/>
            <w:sz w:val="20"/>
            <w:u w:val="single"/>
            <w:shd w:val="clear" w:color="auto" w:fill="FFFFFF"/>
            <w:lang w:val="en-US" w:eastAsia="en-US" w:bidi="ar-SA"/>
          </w:rPr>
          <w:t>51 B.C.L.R. (4th) 258</w:t>
        </w:r>
      </w:hyperlink>
      <w:r>
        <w:rPr>
          <w:rFonts w:ascii="arial" w:eastAsia="arial" w:hAnsi="arial" w:cs="arial"/>
          <w:color w:val="000000"/>
          <w:sz w:val="20"/>
          <w:lang w:val="en-US" w:eastAsia="en-US" w:bidi="ar-SA"/>
        </w:rPr>
        <w:t xml:space="preserve">, aff'd </w:t>
      </w:r>
      <w:hyperlink r:id="rId554" w:history="1">
        <w:r>
          <w:rPr>
            <w:rFonts w:ascii="arial" w:eastAsia="arial" w:hAnsi="arial" w:cs="arial"/>
            <w:i/>
            <w:color w:val="0077CC"/>
            <w:sz w:val="20"/>
            <w:u w:val="single"/>
            <w:shd w:val="clear" w:color="auto" w:fill="FFFFFF"/>
            <w:lang w:val="en-US" w:eastAsia="en-US" w:bidi="ar-SA"/>
          </w:rPr>
          <w:t>2007 SCC 45</w:t>
        </w:r>
      </w:hyperlink>
      <w:r>
        <w:rPr>
          <w:rFonts w:ascii="arial" w:eastAsia="arial" w:hAnsi="arial" w:cs="arial"/>
          <w:color w:val="000000"/>
          <w:sz w:val="20"/>
          <w:lang w:val="en-US" w:eastAsia="en-US" w:bidi="ar-SA"/>
        </w:rPr>
        <w: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Placed in the midst of these provisions is s. 86, which deals not with contraventions of the Act but with civil liability for damages arising out of the operation of a motor vehicle. Obviously, liability rests first with the negligent driver and it was not necessary for the statute to state that common law position. The purpose of s. 86, then, is to extend liability as well to the owner in two situations -- where the driver or operator is living with and as a member of the family of the owner, or where the driver or operator acquired possession of the vehicle with the owner's express or implied consent. Where these conditions are met, s-s. (1) deems the driver or operator to be the agent or servant of the owner, and to be driving or operating the vehicle in the course of his or her employment. Effectively, this makes the owner liable on common law principles of agency. Sub-section (2) clarifies that s-s. (1) does not relieve the driver or operator from liability, leaving open the possibility of recovery by an injured plaintiff from both the owner and the driver.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w:t>
      </w:r>
      <w:r>
        <w:rPr>
          <w:rFonts w:ascii="arial" w:eastAsia="arial" w:hAnsi="arial" w:cs="arial"/>
          <w:color w:val="000000"/>
          <w:sz w:val="20"/>
          <w:lang w:val="en-US" w:eastAsia="en-US" w:bidi="ar-SA"/>
        </w:rPr>
        <w:t xml:space="preserve">  The material facts set out in relation to the unidentified driver result in various causes of action. The suggestion by the defendant Jawandha that she never loaned out her truck raises the possibility that she herself was the unidentified driver, giving rise to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and/or breach of statutory duty as pleaded by the plaintiff.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w:t>
      </w:r>
      <w:r>
        <w:rPr>
          <w:rFonts w:ascii="arial" w:eastAsia="arial" w:hAnsi="arial" w:cs="arial"/>
          <w:color w:val="000000"/>
          <w:sz w:val="20"/>
          <w:lang w:val="en-US" w:eastAsia="en-US" w:bidi="ar-SA"/>
        </w:rPr>
        <w:t>  Finally, Ms. Jawandha submits that the incident September 9, 1999, occurred on a school playing field and not on a highway, thus as s. 86(1) speaks of damages sustained by reason of the operation of a motor vehicle "on a highway", the section cannot apply to the circumstances here.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w:t>
      </w:r>
      <w:r>
        <w:rPr>
          <w:rFonts w:ascii="arial" w:eastAsia="arial" w:hAnsi="arial" w:cs="arial"/>
          <w:color w:val="000000"/>
          <w:sz w:val="20"/>
          <w:lang w:val="en-US" w:eastAsia="en-US" w:bidi="ar-SA"/>
        </w:rPr>
        <w:t xml:space="preserve">  I am not persuaded. The affidavit evidence filed by the plaintiff on this application includes the testimony that the incident commenced while the Dodge truck was parked in the school parking lot. Such a parking lot is included in the definition of "highway" in the </w:t>
      </w:r>
      <w:r>
        <w:rPr>
          <w:rFonts w:ascii="arial" w:eastAsia="arial" w:hAnsi="arial" w:cs="arial"/>
          <w:b/>
          <w:i/>
          <w:color w:val="000000"/>
          <w:sz w:val="20"/>
          <w:lang w:val="en-US" w:eastAsia="en-US" w:bidi="ar-SA"/>
        </w:rPr>
        <w:t>Motor Vehicle Act</w:t>
      </w:r>
      <w:r>
        <w:rPr>
          <w:rFonts w:ascii="arial" w:eastAsia="arial" w:hAnsi="arial" w:cs="arial"/>
          <w:color w:val="000000"/>
          <w:sz w:val="20"/>
          <w:lang w:val="en-US" w:eastAsia="en-US" w:bidi="ar-SA"/>
        </w:rPr>
        <w:t xml:space="preserve"> s. 1:</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"highway" includes</w:t>
      </w:r>
    </w:p>
    <w:p>
      <w:pPr>
        <w:numPr>
          <w:numId w:val="5"/>
        </w:numPr>
        <w:tabs>
          <w:tab w:val="num" w:pos="1120"/>
          <w:tab w:val="clear" w:pos="184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every private place or passageway to which the public, for the purpose of the parking or servicing of vehicles, has access or is invited;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w:t>
      </w:r>
      <w:r>
        <w:rPr>
          <w:rFonts w:ascii="arial" w:eastAsia="arial" w:hAnsi="arial" w:cs="arial"/>
          <w:color w:val="000000"/>
          <w:sz w:val="20"/>
          <w:lang w:val="en-US" w:eastAsia="en-US" w:bidi="ar-SA"/>
        </w:rPr>
        <w:t>  The plaintiff deposes that the driver, while the truck was still in the parking lot, was standing in the bed of the vehicle. The affiant states: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He then got into the Dodge, started his engine and drove his Dodge straight at me, down a slope from the parking lot onto the field. I ran. He continued to chase me around the field in the Dodge, narrowly missing 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w:t>
      </w:r>
      <w:r>
        <w:rPr>
          <w:rFonts w:ascii="arial" w:eastAsia="arial" w:hAnsi="arial" w:cs="arial"/>
          <w:color w:val="000000"/>
          <w:sz w:val="20"/>
          <w:lang w:val="en-US" w:eastAsia="en-US" w:bidi="ar-SA"/>
        </w:rPr>
        <w:t>  He goes on to allege that shortly thereafter he was struck. On this evidence, it is open to a trier of fact to conclude that the injuries sustained by the plaintiff resulted from deliberate actions of the driver which commenced on a highway.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w:t>
      </w:r>
      <w:r>
        <w:rPr>
          <w:rFonts w:ascii="arial" w:eastAsia="arial" w:hAnsi="arial" w:cs="arial"/>
          <w:color w:val="000000"/>
          <w:sz w:val="20"/>
          <w:lang w:val="en-US" w:eastAsia="en-US" w:bidi="ar-SA"/>
        </w:rPr>
        <w:t xml:space="preserve">  A similar issue concerns whether the plaintiff was struck by the vehicle or by the fist of a person within the vehicle. It arises as s. 19.1 of the </w:t>
      </w:r>
      <w:r>
        <w:rPr>
          <w:rFonts w:ascii="arial" w:eastAsia="arial" w:hAnsi="arial" w:cs="arial"/>
          <w:b/>
          <w:i/>
          <w:color w:val="000000"/>
          <w:sz w:val="20"/>
          <w:lang w:val="en-US" w:eastAsia="en-US" w:bidi="ar-SA"/>
        </w:rPr>
        <w:t>Act</w:t>
      </w:r>
      <w:r>
        <w:rPr>
          <w:rFonts w:ascii="arial" w:eastAsia="arial" w:hAnsi="arial" w:cs="arial"/>
          <w:color w:val="000000"/>
          <w:sz w:val="20"/>
          <w:lang w:val="en-US" w:eastAsia="en-US" w:bidi="ar-SA"/>
        </w:rPr>
        <w:t xml:space="preserve"> stated: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If the dominant cause of any injury or death is the use of any weapon or any object, other than a motor vehicle or trailer, used as a weapon,</w:t>
      </w:r>
    </w:p>
    <w:p>
      <w:pPr>
        <w:numPr>
          <w:numId w:val="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corporation is not liable under this Act ...</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The question of what it was that struck the plaintiff is one which also must be determined after a consideration of the evidence at trial.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w:t>
      </w:r>
      <w:r>
        <w:rPr>
          <w:rFonts w:ascii="arial" w:eastAsia="arial" w:hAnsi="arial" w:cs="arial"/>
          <w:color w:val="000000"/>
          <w:sz w:val="20"/>
          <w:lang w:val="en-US" w:eastAsia="en-US" w:bidi="ar-SA"/>
        </w:rPr>
        <w:t>  I therefore conclude the action may proceed against the personal defendant Jawandha.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w:t>
      </w:r>
      <w:r>
        <w:rPr>
          <w:rFonts w:ascii="arial" w:eastAsia="arial" w:hAnsi="arial" w:cs="arial"/>
          <w:color w:val="000000"/>
          <w:sz w:val="20"/>
          <w:lang w:val="en-US" w:eastAsia="en-US" w:bidi="ar-SA"/>
        </w:rPr>
        <w:t>  Success being divided between the plaintiff and the defendant ICBC, each of those parties will bear its own costs. As the application by the defendant Harminder Kaur Jawandha is dismissed, the plaintiff will have the costs of this application against her.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L.P. WILLIAMSON J.</w:t>
      </w:r>
      <w:r>
        <w:rPr>
          <w:rFonts w:ascii="arial" w:eastAsia="arial" w:hAnsi="arial" w:cs="arial"/>
          <w:sz w:val="20"/>
          <w:lang w:val="en-US" w:eastAsia="en-US" w:bidi="ar-SA"/>
        </w:rPr>
        <w:cr/>
      </w:r>
    </w:p>
    <w:p>
      <w:pPr>
        <w:rPr>
          <w:rFonts w:ascii="arial" w:eastAsia="arial" w:hAnsi="arial" w:cs="arial"/>
          <w:sz w:val="20"/>
          <w:lang w:val="en-US" w:eastAsia="en-US" w:bidi="ar-SA"/>
        </w:rPr>
      </w:pPr>
    </w:p>
    <w:p>
      <w:pPr>
        <w:ind w:left="200"/>
        <w:rPr>
          <w:rFonts w:ascii="arial" w:eastAsia="arial" w:hAnsi="arial" w:cs="arial"/>
          <w:sz w:val="20"/>
          <w:lang w:val="en-US" w:eastAsia="en-US" w:bidi="ar-SA"/>
        </w:rPr>
        <w:sectPr>
          <w:type w:val="continuous"/>
          <w:pgMar w:top="840" w:right="1000" w:bottom="840" w:left="1000" w:header="400" w:footer="400"/>
          <w:pgNumType w:fmt="decimal"/>
          <w:cols w:space="720"/>
        </w:sectPr>
      </w:pPr>
      <w:r>
        <w:rPr>
          <w:rFonts w:ascii="arial" w:eastAsia="arial" w:hAnsi="arial" w:cs="arial"/>
          <w:sz w:val="20"/>
          <w:lang w:val="en-US" w:eastAsia="en-US" w:bidi="ar-SA"/>
        </w:rPr>
        <w:br/>
      </w:r>
      <w:r>
        <w:pict>
          <v:line id="_x0000_s1160" style="position:absolute;z-index:251881472" from="0,10pt" to="512pt,10pt" strokecolor="black" strokeweight="1pt">
            <v:stroke linestyle="single"/>
          </v:line>
        </w:pict>
      </w:r>
      <w:r>
        <w:rPr>
          <w:b/>
          <w:color w:val="767676"/>
          <w:sz w:val="16"/>
          <w:lang w:val="en-US" w:eastAsia="en-US" w:bidi="ar-SA"/>
        </w:rPr>
        <w:t>End of Document</w:t>
      </w:r>
    </w:p>
    <w:p>
      <w:pPr>
        <w:rPr>
          <w:rFonts w:ascii="arial" w:eastAsia="arial" w:hAnsi="arial" w:cs="arial"/>
          <w:sz w:val="20"/>
          <w:lang w:val="en-US" w:eastAsia="en-US" w:bidi="ar-SA"/>
        </w:rPr>
        <w:sectPr>
          <w:headerReference w:type="even" r:id="rId555"/>
          <w:headerReference w:type="default" r:id="rId556"/>
          <w:footerReference w:type="even" r:id="rId557"/>
          <w:footerReference w:type="default" r:id="rId558"/>
          <w:headerReference w:type="first" r:id="rId559"/>
          <w:footerReference w:type="first" r:id="rId560"/>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eastAsia="arial" w:hAnsi="Arial" w:cs="Arial"/>
          <w:b/>
          <w:bCs/>
          <w:kern w:val="32"/>
          <w:sz w:val="32"/>
          <w:szCs w:val="32"/>
          <w:lang w:val="en-US" w:eastAsia="en-US" w:bidi="ar-SA"/>
        </w:rPr>
      </w:pPr>
      <w:hyperlink r:id="rId561" w:history="1">
        <w:r>
          <w:rPr>
            <w:rFonts w:ascii="arial" w:eastAsia="arial" w:hAnsi="arial" w:cs="arial"/>
            <w:b/>
            <w:bCs/>
            <w:i/>
            <w:color w:val="0077CC"/>
            <w:kern w:val="32"/>
            <w:sz w:val="28"/>
            <w:szCs w:val="32"/>
            <w:u w:val="single"/>
            <w:shd w:val="clear" w:color="auto" w:fill="FFFFFF"/>
            <w:lang w:val="en-US" w:eastAsia="en-US" w:bidi="ar-SA"/>
          </w:rPr>
          <w:t>Morrison v. Van Den Tillaart, [2012] B.C.J. No. 524</w:t>
        </w:r>
      </w:hyperlink>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Judgments</w:t>
      </w:r>
    </w:p>
    <w:p>
      <w:pPr>
        <w:rPr>
          <w:rFonts w:ascii="arial" w:eastAsia="arial" w:hAnsi="arial" w:cs="arial"/>
          <w:sz w:val="20"/>
          <w:lang w:val="en-US" w:eastAsia="en-US" w:bidi="ar-SA"/>
        </w:rPr>
      </w:pP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Kamloops, British Columbia</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S.D. Dley J.</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Heard: January 16-20 and 23-26, 2012.</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Oral judgment: January 19, 2012.</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Docket: 44495</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Registry: Kamloops</w:t>
      </w:r>
    </w:p>
    <w:p>
      <w:pPr>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r>
        <w:rPr>
          <w:rFonts w:ascii="arial" w:eastAsia="arial" w:hAnsi="arial" w:cs="arial"/>
          <w:b/>
          <w:color w:val="000000"/>
          <w:sz w:val="20"/>
          <w:lang w:val="en-US" w:eastAsia="en-US" w:bidi="ar-SA"/>
        </w:rPr>
        <w:t>[2012] B.C.J. No. 524</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2012 BCSC 383</w:t>
      </w:r>
    </w:p>
    <w:p>
      <w:pPr>
        <w:spacing w:before="120" w:line="260" w:lineRule="atLeast"/>
        <w:rPr>
          <w:rFonts w:ascii="arial" w:eastAsia="arial" w:hAnsi="arial" w:cs="arial"/>
          <w:sz w:val="20"/>
          <w:lang w:val="en-US" w:eastAsia="en-US" w:bidi="ar-SA"/>
        </w:rPr>
      </w:pPr>
      <w:r>
        <w:rPr>
          <w:rFonts w:ascii="arial" w:eastAsia="arial" w:hAnsi="arial" w:cs="arial"/>
          <w:color w:val="000000"/>
          <w:sz w:val="20"/>
          <w:lang w:val="en-US" w:eastAsia="en-US" w:bidi="ar-SA"/>
        </w:rPr>
        <w:t>Between Merle Thomas Morrison, Plaintiff, and Tony Van Den Tillaart, Susan Van Den Tillaart, William E. Maddox, and Andrea Brace as Registrar of the Kamloops and Nelson Land Title Districts, Defendants</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(34 paras.)</w:t>
      </w:r>
    </w:p>
    <w:p>
      <w:pPr>
        <w:keepNext/>
        <w:spacing w:before="12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Case Summary</w:t>
      </w:r>
    </w:p>
    <w:p>
      <w:pPr>
        <w:spacing w:line="60" w:lineRule="exact"/>
        <w:rPr>
          <w:rFonts w:ascii="arial" w:eastAsia="arial" w:hAnsi="arial" w:cs="arial"/>
          <w:sz w:val="20"/>
          <w:lang w:val="en-US" w:eastAsia="en-US" w:bidi="ar-SA"/>
        </w:rPr>
      </w:pPr>
      <w:r>
        <w:pict>
          <v:line id="_x0000_s1161" style="position:absolute;z-index:251686912"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bookmarkStart w:id="176" w:name="Keywords_26"/>
      <w:bookmarkEnd w:id="176"/>
      <w:r>
        <w:rPr>
          <w:rFonts w:ascii="arial" w:eastAsia="arial" w:hAnsi="arial" w:cs="arial"/>
          <w:b/>
          <w:color w:val="000000"/>
          <w:sz w:val="20"/>
          <w:lang w:val="en-US" w:eastAsia="en-US" w:bidi="ar-SA"/>
        </w:rPr>
        <w:t>Civil litigation — Civil procedure — Trials — Non-suit — Motion by Maddox for dismissal of action on basis of no evidence allowed — Plaintiff sued several defendants after 2007 land survey showed encroachment by neighbours, and subsequent survey prepared by Maddox showing less encroachment was filed and registered — Plaintiff alleged that Maddox breached duty of care as land surveyor in methodology, which lacked partiality — No expert evidence was adduced regarding applicable standard of care — Although there was some evidence Maddox may have breached duty under Land Title Act by failing to have plaintiff sign filed plan, no evidence of any actual consequent loss was adduced — Land Title Act, s. 100.</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Real property law — Proceedings — Practice and procedure — Evidence — Motion by Maddox for dismissal of action on basis of no evidence allowed — Plaintiff sued several defendants after 2007 land survey showed encroachment by neighbours, and subsequent survey prepared by Maddox showing less encroachment was filed and registered — Plaintiff alleged that Maddox breached duty of care as land surveyor in methodology, which lacked partiality — No expert evidence was adduced regarding applicable standard of care — Although there was some evidence Maddox may have breached duty under Land Title Act by failing to have plaintiff sign filed plan, no evidence of any actual consequent loss was adduced — Land Title Act, s. 100.</w:t>
      </w:r>
    </w:p>
    <w:p>
      <w:pPr>
        <w:rPr>
          <w:rFonts w:ascii="arial" w:eastAsia="arial" w:hAnsi="arial" w:cs="arial"/>
          <w:sz w:val="20"/>
          <w:lang w:val="en-US" w:eastAsia="en-US" w:bidi="ar-SA"/>
        </w:rPr>
      </w:pPr>
    </w:p>
    <w:tbl>
      <w:tblPr>
        <w:tblStyle w:val="TableNormal"/>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
      <w:tblGrid>
        <w:gridCol w:w="10225"/>
      </w:tblGrid>
      <w:tr>
        <w:tblPrEx>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Ex>
        <w:tc>
          <w:tcPr/>
          <w:p>
            <w:pPr>
              <w:rPr>
                <w:rFonts w:ascii="arial" w:eastAsia="arial" w:hAnsi="arial" w:cs="arial"/>
                <w:sz w:val="20"/>
                <w:lang w:val="en-US" w:eastAsia="en-US" w:bidi="ar-SA"/>
              </w:rPr>
            </w:pPr>
            <w:bookmarkStart w:id="177" w:name="Case Summary_25"/>
            <w:bookmarkEnd w:id="177"/>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Motion by the defendant, Maddox, for dismissal of the action by the plaintiff, Morrison, as against him on the basis of no evidence. The plaintiff sued a number of defendants as a result of a 2007 land survey that showed that his neighbours encroached upon his property. The area was subdivided into three lakeside lots in 1951. The plaintiff owned Lot B, the middle lot, from 1993 onward. Road access to Lot C was granted by easement running along the lakeside side of Lot B. When the plaintiff purchased Lot B, he was told that the boundary line ran along the south side of a house on Lot c. The 2007 land survey indicated boundaries different than what were assumed by the plaintiff at the time of purchase, with 100 feet of Lot C, including a portion of the house and garage, being situated upon Lot B. Maddox was a surveyor who did a subsequent investigation. He initially determined that the property boundaries did not result in an encroachment and communicated that fact to the plaintiff. Maddox subsequently filed a plan that was registered, changing the boundaries to reflect an encroachment, but not to the extent of the 2007 survey. The 2007 surveyor deferred to Maddox's findings. The plaintiff alleged that Maddox breached his duty of care as a land surveyor in his methodology, which lacked partiality, and his conclusions. At the conclusion of the plaintiff's case, Maddox sought dismissal on the basis that there was no evidence setting out the applicable standard of care, and there was no evidence of any loss sustained by the plaintiff. </w:t>
            </w:r>
            <w:r>
              <w:rPr>
                <w:rFonts w:ascii="arial" w:eastAsia="arial" w:hAnsi="arial" w:cs="arial"/>
                <w:sz w:val="20"/>
                <w:lang w:val="en-US" w:eastAsia="en-US" w:bidi="ar-SA"/>
              </w:rPr>
              <w:cr/>
            </w:r>
          </w:p>
          <w:p>
            <w:pPr>
              <w:spacing w:before="120" w:line="260" w:lineRule="atLeast"/>
              <w:ind w:left="240"/>
              <w:jc w:val="both"/>
              <w:rPr>
                <w:rFonts w:ascii="arial" w:eastAsia="arial" w:hAnsi="arial" w:cs="arial"/>
                <w:sz w:val="20"/>
                <w:lang w:val="en-US" w:eastAsia="en-US" w:bidi="ar-SA"/>
              </w:rPr>
            </w:pPr>
            <w:bookmarkStart w:id="178" w:name="Holdings of Court_19"/>
            <w:bookmarkEnd w:id="178"/>
            <w:r>
              <w:rPr>
                <w:rFonts w:ascii="arial" w:eastAsia="arial" w:hAnsi="arial" w:cs="arial"/>
                <w:color w:val="000000"/>
                <w:sz w:val="20"/>
                <w:lang w:val="en-US" w:eastAsia="en-US" w:bidi="ar-SA"/>
              </w:rPr>
              <w:t>HELD: Motion allowed.</w:t>
            </w:r>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The plaintiff called no evidence setting out the expected standard of care of a reasonably prudent land surveyor. If a breach of the standard of care was the only allegation, the lack of expert evidence would be fatal. The correspondence between the surveyors refuted the notion that Maddox acted in a partial manner to the benefit of the owners of Lot c. There was some evidence that Maddox may have failed to discharge his duty under the Land Title Act by failing to secure the plaintiff's signature on the plan as it was filed. However, there was no evidence that the alleged wrongful conduct caused the plaintiff any actual damages. There was no evidence of interference with the plaintiff's ability to market the property or with a potential transaction. Without some evidence of damage, the claim against Maddox could not stand. </w:t>
            </w:r>
            <w:r>
              <w:rPr>
                <w:rFonts w:ascii="arial" w:eastAsia="arial" w:hAnsi="arial" w:cs="arial"/>
                <w:sz w:val="20"/>
                <w:lang w:val="en-US" w:eastAsia="en-US" w:bidi="ar-SA"/>
              </w:rPr>
              <w:cr/>
            </w:r>
          </w:p>
          <w:p>
            <w:pPr>
              <w:rPr>
                <w:rFonts w:ascii="arial" w:eastAsia="arial" w:hAnsi="arial" w:cs="arial"/>
                <w:sz w:val="20"/>
                <w:lang w:val="en-US" w:eastAsia="en-US" w:bidi="ar-SA"/>
              </w:rPr>
            </w:pPr>
          </w:p>
        </w:tc>
      </w:tr>
    </w:tbl>
    <w:p>
      <w:pPr>
        <w:jc w:val="both"/>
        <w:rPr>
          <w:rFonts w:ascii="arial" w:eastAsia="arial" w:hAnsi="arial" w:cs="arial"/>
          <w:sz w:val="20"/>
          <w:lang w:val="en-US" w:eastAsia="en-US" w:bidi="ar-SA"/>
        </w:rPr>
      </w:pPr>
      <w:bookmarkStart w:id="179" w:name="Legislation Cited_20"/>
      <w:bookmarkEnd w:id="179"/>
      <w:r>
        <w:rPr>
          <w:rFonts w:ascii="arial" w:eastAsia="arial" w:hAnsi="arial" w:cs="arial"/>
          <w:sz w:val="20"/>
          <w:lang w:val="en-US" w:eastAsia="en-US" w:bidi="ar-SA"/>
        </w:rPr>
        <w:br/>
      </w:r>
    </w:p>
    <w:p>
      <w:pPr>
        <w:keepNext/>
        <w:spacing w:before="24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Statutes, Regulations and Rules Cited:</w:t>
      </w:r>
    </w:p>
    <w:p>
      <w:pPr>
        <w:spacing w:line="60" w:lineRule="exact"/>
        <w:rPr>
          <w:rFonts w:ascii="arial" w:eastAsia="arial" w:hAnsi="arial" w:cs="arial"/>
          <w:sz w:val="20"/>
          <w:lang w:val="en-US" w:eastAsia="en-US" w:bidi="ar-SA"/>
        </w:rPr>
      </w:pPr>
      <w:r>
        <w:pict>
          <v:line id="_x0000_s1162" style="position:absolute;z-index:251738112"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 Civil Rules, Rule 12-5(4)</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Land Title Act, </w:t>
      </w:r>
      <w:hyperlink r:id="rId562" w:history="1">
        <w:r>
          <w:rPr>
            <w:rFonts w:ascii="arial" w:eastAsia="arial" w:hAnsi="arial" w:cs="arial"/>
            <w:i/>
            <w:color w:val="0077CC"/>
            <w:sz w:val="20"/>
            <w:u w:val="single"/>
            <w:shd w:val="clear" w:color="auto" w:fill="FFFFFF"/>
            <w:lang w:val="en-US" w:eastAsia="en-US" w:bidi="ar-SA"/>
          </w:rPr>
          <w:t>RSBC 1996, CHAPTER 250, s. 100</w:t>
        </w:r>
      </w:hyperlink>
      <w:r>
        <w:rPr>
          <w:rFonts w:ascii="arial" w:eastAsia="arial" w:hAnsi="arial" w:cs="arial"/>
          <w:color w:val="000000"/>
          <w:sz w:val="20"/>
          <w:lang w:val="en-US" w:eastAsia="en-US" w:bidi="ar-SA"/>
        </w:rPr>
        <w:t>, s. 100(1)(a), s. 100(3), s. 100(4)</w:t>
      </w:r>
      <w:r>
        <w:rPr>
          <w:rFonts w:ascii="arial" w:eastAsia="arial" w:hAnsi="arial" w:cs="arial"/>
          <w:sz w:val="20"/>
          <w:lang w:val="en-US" w:eastAsia="en-US" w:bidi="ar-SA"/>
        </w:rPr>
        <w:cr/>
      </w:r>
    </w:p>
    <w:p>
      <w:pPr>
        <w:keepNext/>
        <w:spacing w:before="240" w:line="340" w:lineRule="atLeast"/>
        <w:rPr>
          <w:rFonts w:ascii="arial" w:eastAsia="arial" w:hAnsi="arial" w:cs="arial"/>
          <w:sz w:val="20"/>
          <w:lang w:val="en-US" w:eastAsia="en-US" w:bidi="ar-SA"/>
        </w:rPr>
      </w:pPr>
      <w:bookmarkStart w:id="180" w:name="Counsel_26"/>
      <w:bookmarkEnd w:id="180"/>
      <w:r>
        <w:rPr>
          <w:rFonts w:ascii="arial" w:eastAsia="arial" w:hAnsi="arial" w:cs="arial"/>
          <w:b/>
          <w:color w:val="000000"/>
          <w:sz w:val="28"/>
          <w:lang w:val="en-US" w:eastAsia="en-US" w:bidi="ar-SA"/>
        </w:rPr>
        <w:t>Counsel</w:t>
      </w:r>
    </w:p>
    <w:p>
      <w:pPr>
        <w:spacing w:line="60" w:lineRule="exact"/>
        <w:rPr>
          <w:rFonts w:ascii="arial" w:eastAsia="arial" w:hAnsi="arial" w:cs="arial"/>
          <w:sz w:val="20"/>
          <w:lang w:val="en-US" w:eastAsia="en-US" w:bidi="ar-SA"/>
        </w:rPr>
      </w:pPr>
      <w:r>
        <w:pict>
          <v:line id="_x0000_s1163" style="position:absolute;z-index:251789312"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Counsel for the Plaintiff: J. Frame.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Counsel for the Defendants Tony Van Den Tillaart and Susan Van Den Tillaart: K. Burnham.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Counsel for the Defendant William Maddox: S. Coyle.</w:t>
      </w:r>
      <w:r>
        <w:rPr>
          <w:rFonts w:ascii="arial" w:eastAsia="arial" w:hAnsi="arial" w:cs="arial"/>
          <w:sz w:val="20"/>
          <w:lang w:val="en-US" w:eastAsia="en-US" w:bidi="ar-SA"/>
        </w:rPr>
        <w:cr/>
      </w:r>
    </w:p>
    <w:p>
      <w:pPr>
        <w:spacing w:after="240"/>
        <w:rPr>
          <w:rFonts w:ascii="arial" w:eastAsia="arial" w:hAnsi="arial" w:cs="arial"/>
          <w:sz w:val="20"/>
          <w:lang w:val="en-US" w:eastAsia="en-US" w:bidi="ar-SA"/>
        </w:rPr>
      </w:pPr>
      <w:bookmarkStart w:id="181" w:name="Judgment_27"/>
      <w:bookmarkEnd w:id="181"/>
      <w:r>
        <w:pict>
          <v:line id="_x0000_s1164" style="position:absolute;z-index:251838464" from="0,12pt" to="512pt,12pt" strokecolor="#009ddb" strokeweight="1.5pt">
            <v:stroke linestyle="single"/>
          </v:line>
        </w:pict>
      </w:r>
    </w:p>
    <w:p>
      <w:pPr>
        <w:spacing w:before="120" w:line="260" w:lineRule="atLeast"/>
        <w:jc w:val="center"/>
        <w:rPr>
          <w:rFonts w:ascii="arial" w:eastAsia="arial" w:hAnsi="arial" w:cs="arial"/>
          <w:sz w:val="20"/>
          <w:lang w:val="en-US" w:eastAsia="en-US" w:bidi="ar-SA"/>
        </w:rPr>
      </w:pPr>
      <w:r>
        <w:rPr>
          <w:rFonts w:ascii="arial" w:eastAsia="arial" w:hAnsi="arial" w:cs="arial"/>
          <w:b/>
          <w:color w:val="000000"/>
          <w:sz w:val="20"/>
          <w:lang w:val="en-US" w:eastAsia="en-US" w:bidi="ar-SA"/>
        </w:rPr>
        <w:t>Oral Ruling re No-Evidence Motion</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r>
        <w:rPr>
          <w:rFonts w:ascii="arial" w:eastAsia="arial" w:hAnsi="arial" w:cs="arial"/>
          <w:b/>
          <w:color w:val="000000"/>
          <w:sz w:val="20"/>
          <w:lang w:val="en-US" w:eastAsia="en-US" w:bidi="ar-SA"/>
        </w:rPr>
        <w:t>of Defendant Maddox</w:t>
      </w:r>
      <w:r>
        <w:rPr>
          <w:rFonts w:ascii="arial" w:eastAsia="arial" w:hAnsi="arial" w:cs="arial"/>
          <w:sz w:val="20"/>
          <w:lang w:val="en-US" w:eastAsia="en-US" w:bidi="ar-SA"/>
        </w:rPr>
        <w:cr/>
      </w:r>
    </w:p>
    <w:p>
      <w:pPr>
        <w:rPr>
          <w:rFonts w:ascii="arial" w:eastAsia="arial" w:hAnsi="arial" w:cs="arial"/>
          <w:sz w:val="20"/>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3154"/>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rFonts w:ascii="arial" w:eastAsia="arial" w:hAnsi="arial" w:cs="arial"/>
                <w:sz w:val="20"/>
                <w:lang w:val="en-US" w:eastAsia="en-US" w:bidi="ar-SA"/>
              </w:rPr>
            </w:pPr>
            <w:bookmarkStart w:id="182" w:name="S.D. DLEY J. (orally)"/>
            <w:bookmarkEnd w:id="182"/>
            <w:r>
              <w:rPr>
                <w:rFonts w:ascii="arial" w:eastAsia="arial" w:hAnsi="arial" w:cs="arial"/>
                <w:b/>
                <w:color w:val="000000"/>
                <w:sz w:val="30"/>
                <w:lang w:val="en-US" w:eastAsia="en-US" w:bidi="ar-SA"/>
              </w:rPr>
              <w:t>S.D. DLEY J. (orally)</w:t>
            </w:r>
          </w:p>
        </w:tc>
      </w:tr>
    </w:tbl>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Mr. Morrison brought this action against a number of defendants as a result of a land survey that showed his neighbours were encroaching upon his property.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Mr. Maddox was a surveyor who did an investigation and determined that the property boundaries did not result in an encroachment. Mr. Morrison has alleged that Mr. Maddox breached his duty of care as a land surveyor.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At the conclusion of the plaintiff's case, Mr. Maddox applied on a no-evidence motion to have the case against him dismissed on the following basis:</w:t>
      </w:r>
      <w:r>
        <w:rPr>
          <w:rFonts w:ascii="arial" w:eastAsia="arial" w:hAnsi="arial" w:cs="arial"/>
          <w:sz w:val="20"/>
          <w:lang w:val="en-US" w:eastAsia="en-US" w:bidi="ar-SA"/>
        </w:rPr>
        <w:cr/>
      </w:r>
    </w:p>
    <w:p>
      <w:pPr>
        <w:numPr>
          <w:numId w:val="9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that there was no evidence setting out the standard of care which Mr. Maddox had allegedly breached; and</w:t>
      </w:r>
    </w:p>
    <w:p>
      <w:pPr>
        <w:numPr>
          <w:numId w:val="9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that the claim in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against Mr. Maddox was not perfected, because there was no evidence of any loss sustained by the plaintiff.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In 1951, a subdivision plan (Plan 5558) was deposited with the Land Registry Office. Relevant to this action are three lots along the Shuswap Lake near Canoe, B.C. Access to the lots from the Trans Canada Highway came across a railway crossing of the Canadian Pacific Railway. Lot B was the middle lot. Road access to Lot C was granted by an easement that ran along the lakeshore side of Lot B.</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Mr. Morrison owns Lot B. Neighbouring Lot C to the north is owned by the Van Den Tillaarts. Neighbouring Lot 1 to the south is owned by the Carters.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Mr. Morrison bought Lot B in 1993. When he purchased the land, he was told that Lot B's boundary line ran along the south side of a house on Lot C. Essentially the house was almost on the boundary of the properties.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In 2007, Brian Sansom, a land surveyor, was in the area doing some work with respect to property boundaries and easements; initially with regard to Lot 1 and the Carters, and then subsequently with respect to Lots B and C.</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There were pieces of evidence, which Mr. Sansom acknowledged as being "small" that assisted him in defining the property boundaries. The posting plan prepared by Mr. Sansom indicated that the boundaries were quite different than what Mr. Morrison had assumed when he bought the land. Mr. Sansom's plan showed a boundary line which took in approximately 100 feet of Lot C. That resulted in the Van Den Tillaart house and part of a garage being on Lot B.</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The Van Den Tillaarts retained Mr. Maddox to review the Sansom findings. Mr. Maddox conducted further investigations, including interviews with prior owners, and located an original survey pinhole. Based on his discovery of further and new evidence, Mr. Maddox concluded that the boundary between Lots B and C was as initially understood by Mr. Morrison when he purchased his lot.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The new boundaries established by Mr. Maddox also resulted in the lining up of the easement granting access to Lot C coming over the railway crossing.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Mr. Maddox told Mr. Sansom of his findings. There was communication between the surveyors, and Mr. Sansom deferred to Mr. Maddox's conclusions relating to the boundary line. Mr. Sansom decided that he could not defend his own delineation of the boundary lines, because of the additional evidence found by Mr. Maddox. Mr. Sansom was not critical of Mr. Maddox in any fashion. He did not question Mr. Maddox's investigation or methodology in arriving at his conclusion.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xml:space="preserve">  The plaintiff does not quarrel with the applicant's summary of the law as it relates to a no-evidence motion. The motion is brought pursuant to Rule 12-5(4) of the </w:t>
      </w:r>
      <w:r>
        <w:rPr>
          <w:rFonts w:ascii="arial" w:eastAsia="arial" w:hAnsi="arial" w:cs="arial"/>
          <w:i/>
          <w:color w:val="000000"/>
          <w:sz w:val="20"/>
          <w:lang w:val="en-US" w:eastAsia="en-US" w:bidi="ar-SA"/>
        </w:rPr>
        <w:t>Supreme Court Civil Rules</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xml:space="preserve">  On a no-evidence motion, the Court is not to weigh evidence or assess witness credibility. The threshold test is to determine whether there is a complete absence of evidence capable of supporting the claim: </w:t>
      </w:r>
      <w:r>
        <w:rPr>
          <w:rFonts w:ascii="arial" w:eastAsia="arial" w:hAnsi="arial" w:cs="arial"/>
          <w:i/>
          <w:color w:val="000000"/>
          <w:sz w:val="20"/>
          <w:lang w:val="en-US" w:eastAsia="en-US" w:bidi="ar-SA"/>
        </w:rPr>
        <w:t>Perrault v. North Vancouver (District)</w:t>
      </w:r>
      <w:r>
        <w:rPr>
          <w:rFonts w:ascii="arial" w:eastAsia="arial" w:hAnsi="arial" w:cs="arial"/>
          <w:color w:val="000000"/>
          <w:sz w:val="20"/>
          <w:lang w:val="en-US" w:eastAsia="en-US" w:bidi="ar-SA"/>
        </w:rPr>
        <w:t xml:space="preserve">, </w:t>
      </w:r>
      <w:hyperlink r:id="rId563" w:history="1">
        <w:r>
          <w:rPr>
            <w:rFonts w:ascii="arial" w:eastAsia="arial" w:hAnsi="arial" w:cs="arial"/>
            <w:i/>
            <w:color w:val="0077CC"/>
            <w:sz w:val="20"/>
            <w:u w:val="single"/>
            <w:shd w:val="clear" w:color="auto" w:fill="FFFFFF"/>
            <w:lang w:val="en-US" w:eastAsia="en-US" w:bidi="ar-SA"/>
          </w:rPr>
          <w:t>2010 BCSC 382</w:t>
        </w:r>
      </w:hyperlink>
      <w:r>
        <w:rPr>
          <w:rFonts w:ascii="arial" w:eastAsia="arial" w:hAnsi="arial" w:cs="arial"/>
          <w:color w:val="000000"/>
          <w:sz w:val="20"/>
          <w:lang w:val="en-US" w:eastAsia="en-US" w:bidi="ar-SA"/>
        </w:rPr>
        <w:t xml:space="preserve"> at para. 11.</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The allegations against Mr. Maddox set out in the notice of civil claim are as follows, starting at paragraph 10:</w:t>
      </w:r>
      <w:r>
        <w:rPr>
          <w:rFonts w:ascii="arial" w:eastAsia="arial" w:hAnsi="arial" w:cs="arial"/>
          <w:sz w:val="20"/>
          <w:lang w:val="en-US" w:eastAsia="en-US" w:bidi="ar-SA"/>
        </w:rPr>
        <w:cr/>
      </w:r>
    </w:p>
    <w:p>
      <w:pPr>
        <w:numPr>
          <w:numId w:val="2"/>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While investigating the location of the boundary between Lots B and C, the Defendant, Maddox owed a duty to the Plaintiff to be impartial and to use reasonable care in his investigation. This duty included a duty to comply with the standards applicable to surveying land in British Columbia and a duty to comply with the legislation covering the conduct of BC Land Surveyors.</w:t>
      </w:r>
    </w:p>
    <w:p>
      <w:pPr>
        <w:numPr>
          <w:numId w:val="3"/>
        </w:numPr>
        <w:tabs>
          <w:tab w:val="num" w:pos="1120"/>
          <w:tab w:val="clear" w:pos="184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In his investigation concerning the location of the boundary between Lots B and C, Maddox breached his duty of care to the Plaintiff by:</w:t>
      </w:r>
    </w:p>
    <w:p>
      <w:pPr>
        <w:numPr>
          <w:numId w:val="4"/>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Taking into account personal views of residents of the area;</w:t>
      </w:r>
    </w:p>
    <w:p>
      <w:pPr>
        <w:numPr>
          <w:numId w:val="4"/>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Interviewing witnesses in a group;</w:t>
      </w:r>
    </w:p>
    <w:p>
      <w:pPr>
        <w:numPr>
          <w:numId w:val="4"/>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Taking into account a disturbed survey monument;</w:t>
      </w:r>
    </w:p>
    <w:p>
      <w:pPr>
        <w:numPr>
          <w:numId w:val="4"/>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Not following the hierarchy of survey evidence;</w:t>
      </w:r>
    </w:p>
    <w:p>
      <w:pPr>
        <w:numPr>
          <w:numId w:val="4"/>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Failing to take proper account of Plan 5558;</w:t>
      </w:r>
    </w:p>
    <w:p>
      <w:pPr>
        <w:numPr>
          <w:numId w:val="4"/>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Taking into account the location of improvements;</w:t>
      </w:r>
    </w:p>
    <w:p>
      <w:pPr>
        <w:numPr>
          <w:numId w:val="4"/>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Failing to take into account natural features such as the shoreline;</w:t>
      </w:r>
    </w:p>
    <w:p>
      <w:pPr>
        <w:numPr>
          <w:numId w:val="4"/>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Failing to advise the Plaintiff of his investigation or otherwise involving the Plaintiff;</w:t>
      </w:r>
    </w:p>
    <w:p>
      <w:pPr>
        <w:numPr>
          <w:numId w:val="4"/>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Failing to comply with s. 5 of the </w:t>
      </w:r>
      <w:r>
        <w:rPr>
          <w:rFonts w:ascii="arial" w:eastAsia="arial" w:hAnsi="arial" w:cs="arial"/>
          <w:i/>
          <w:color w:val="000000"/>
          <w:sz w:val="20"/>
          <w:lang w:val="en-US" w:eastAsia="en-US" w:bidi="ar-SA"/>
        </w:rPr>
        <w:t>Land Survey Act</w:t>
      </w:r>
      <w:r>
        <w:rPr>
          <w:rFonts w:ascii="arial" w:eastAsia="arial" w:hAnsi="arial" w:cs="arial"/>
          <w:color w:val="000000"/>
          <w:sz w:val="20"/>
          <w:lang w:val="en-US" w:eastAsia="en-US" w:bidi="ar-SA"/>
        </w:rPr>
        <w:t>;</w:t>
      </w:r>
    </w:p>
    <w:p>
      <w:pPr>
        <w:numPr>
          <w:numId w:val="4"/>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Failing to record the evidence taken by him in accordance with s. 10 of the </w:t>
      </w:r>
      <w:r>
        <w:rPr>
          <w:rFonts w:ascii="arial" w:eastAsia="arial" w:hAnsi="arial" w:cs="arial"/>
          <w:i/>
          <w:color w:val="000000"/>
          <w:sz w:val="20"/>
          <w:lang w:val="en-US" w:eastAsia="en-US" w:bidi="ar-SA"/>
        </w:rPr>
        <w:t>Land Survey Act</w:t>
      </w:r>
      <w:r>
        <w:rPr>
          <w:rFonts w:ascii="arial" w:eastAsia="arial" w:hAnsi="arial" w:cs="arial"/>
          <w:color w:val="000000"/>
          <w:sz w:val="20"/>
          <w:lang w:val="en-US" w:eastAsia="en-US" w:bidi="ar-SA"/>
        </w:rPr>
        <w:t>; and</w:t>
      </w:r>
    </w:p>
    <w:p>
      <w:pPr>
        <w:numPr>
          <w:numId w:val="4"/>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Failing to act impartially.</w:t>
      </w:r>
    </w:p>
    <w:p>
      <w:pPr>
        <w:numPr>
          <w:numId w:val="5"/>
        </w:numPr>
        <w:tabs>
          <w:tab w:val="num" w:pos="1120"/>
          <w:tab w:val="clear" w:pos="184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On or about September 2008 based on his "investigations" Maddox prepared the plan (the "Maddox Plan") which purported to show the boundary between Lot B and C approximately 103 feet (31.4 metres) southwest of the boundary between Lot B and Lot C as shown on Plan 5558. The Maddox Plan was not signed by the Plaintiff.</w:t>
      </w:r>
    </w:p>
    <w:p>
      <w:pPr>
        <w:numPr>
          <w:numId w:val="6"/>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On or about October 2008, the Defendants Van Den Tillaarts and Maddox caused the Maddox Plan to be presented to the Land Registry office in Kamloops for deposit despite the absence of the Plaintiff's signature. By doing so, Maddox breached his duty of care to the Plaintiff and these Defendants breached s. 100(4)(a) or 103 or both of the </w:t>
      </w:r>
      <w:r>
        <w:rPr>
          <w:rFonts w:ascii="arial" w:eastAsia="arial" w:hAnsi="arial" w:cs="arial"/>
          <w:i/>
          <w:color w:val="000000"/>
          <w:sz w:val="20"/>
          <w:lang w:val="en-US" w:eastAsia="en-US" w:bidi="ar-SA"/>
        </w:rPr>
        <w:t>Land Title Act</w:t>
      </w:r>
      <w:r>
        <w:rPr>
          <w:rFonts w:ascii="arial" w:eastAsia="arial" w:hAnsi="arial" w:cs="arial"/>
          <w:color w:val="000000"/>
          <w:sz w:val="20"/>
          <w:lang w:val="en-US" w:eastAsia="en-US" w:bidi="ar-SA"/>
        </w:rPr>
        <w:t>.</w:t>
      </w:r>
    </w:p>
    <w:p>
      <w:pPr>
        <w:numPr>
          <w:numId w:val="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Further, Maddox breached his duty to the Plaintiff by causing the Maddox Plan to be presented to the Land Registry Office for filing without advising registry personnel that the Maddox Plan did not correspond to the measurements in Plan 5558. Consequently, the Maddox Plan was registered without the Registrar applying s. 105(1) of the </w:t>
      </w:r>
      <w:r>
        <w:rPr>
          <w:rFonts w:ascii="arial" w:eastAsia="arial" w:hAnsi="arial" w:cs="arial"/>
          <w:i/>
          <w:color w:val="000000"/>
          <w:sz w:val="20"/>
          <w:lang w:val="en-US" w:eastAsia="en-US" w:bidi="ar-SA"/>
        </w:rPr>
        <w:t>Land Title Act.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numPr>
          <w:numId w:val="8"/>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The conduct of the Defendants Van Den Tillaarts and the Defendant Maddox as described herein has caused and continue to cause loss and damages for the Plaintiff; in particular the loss of value and marketability of Lot B, Section 4, Township 21, Range 9, W6M, KDYD, Plan 5558.</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w:t>
      </w:r>
      <w:r>
        <w:rPr>
          <w:rFonts w:ascii="arial" w:eastAsia="arial" w:hAnsi="arial" w:cs="arial"/>
          <w:color w:val="000000"/>
          <w:sz w:val="20"/>
          <w:lang w:val="en-US" w:eastAsia="en-US" w:bidi="ar-SA"/>
        </w:rPr>
        <w:t>  In the relief sought, damages are claimed against the defendants Van Den Tillaarts and Maddox.</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w:t>
      </w:r>
      <w:r>
        <w:rPr>
          <w:rFonts w:ascii="arial" w:eastAsia="arial" w:hAnsi="arial" w:cs="arial"/>
          <w:color w:val="000000"/>
          <w:sz w:val="20"/>
          <w:lang w:val="en-US" w:eastAsia="en-US" w:bidi="ar-SA"/>
        </w:rPr>
        <w:t>  The legal basis for the notice of claim is set out in paragraph 1. The claim states:</w:t>
      </w:r>
      <w:r>
        <w:rPr>
          <w:rFonts w:ascii="arial" w:eastAsia="arial" w:hAnsi="arial" w:cs="arial"/>
          <w:sz w:val="20"/>
          <w:lang w:val="en-US" w:eastAsia="en-US" w:bidi="ar-SA"/>
        </w:rPr>
        <w:cr/>
      </w:r>
    </w:p>
    <w:p>
      <w:pPr>
        <w:numPr>
          <w:numId w:val="9"/>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As a BC Land Surveyor, the Defendant Maddox owed a duty of care to the Plaintiff and that the Plaintiff, as the owner of adjacent property would be affected by the Defendant Maddox's work product regarding the location of the boundary between lot B and Lot C. The Defendant Maddox owed the Plaintiff a duty to ensure that he carried out his duties as a BC Land Surveyor impartially, in a manner meeting the standard of care for a BC Land Surveyor, and in compliance with the policies, procedures, regulations and statutes applicable to BC Land Surveyors.</w:t>
      </w:r>
    </w:p>
    <w:p>
      <w:pPr>
        <w:numPr>
          <w:numId w:val="9"/>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In the investigation of the boundary between Lots B and C and in the preparation and presentment for deposit of the Maddox Plan, Maddox breached his duty of impartiality and his duty of care to the Plaintiff. As a result, the value and marketability of Lot B was significantly reduced.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w:t>
      </w:r>
      <w:r>
        <w:rPr>
          <w:rFonts w:ascii="arial" w:eastAsia="arial" w:hAnsi="arial" w:cs="arial"/>
          <w:color w:val="000000"/>
          <w:sz w:val="20"/>
          <w:lang w:val="en-US" w:eastAsia="en-US" w:bidi="ar-SA"/>
        </w:rPr>
        <w:t xml:space="preserve">  Mr. Morrison has called no evidence setting out the expected standard of care of a reasonably prudent land surveyor. If a breach of the standard of care was the only allegation against Mr. Maddox, the lack of expert evidence would be fatal in this case: </w:t>
      </w:r>
      <w:r>
        <w:rPr>
          <w:rFonts w:ascii="arial" w:eastAsia="arial" w:hAnsi="arial" w:cs="arial"/>
          <w:i/>
          <w:color w:val="000000"/>
          <w:sz w:val="20"/>
          <w:lang w:val="en-US" w:eastAsia="en-US" w:bidi="ar-SA"/>
        </w:rPr>
        <w:t>Haag v. Marshall</w:t>
      </w:r>
      <w:r>
        <w:rPr>
          <w:rFonts w:ascii="arial" w:eastAsia="arial" w:hAnsi="arial" w:cs="arial"/>
          <w:color w:val="000000"/>
          <w:sz w:val="20"/>
          <w:lang w:val="en-US" w:eastAsia="en-US" w:bidi="ar-SA"/>
        </w:rPr>
        <w:t xml:space="preserve">, </w:t>
      </w:r>
      <w:hyperlink r:id="rId564" w:history="1">
        <w:r>
          <w:rPr>
            <w:rFonts w:ascii="arial" w:eastAsia="arial" w:hAnsi="arial" w:cs="arial"/>
            <w:i/>
            <w:color w:val="0077CC"/>
            <w:sz w:val="20"/>
            <w:u w:val="single"/>
            <w:shd w:val="clear" w:color="auto" w:fill="FFFFFF"/>
            <w:lang w:val="en-US" w:eastAsia="en-US" w:bidi="ar-SA"/>
          </w:rPr>
          <w:t>39 B.C.L.R. (2d) 205</w:t>
        </w:r>
      </w:hyperlink>
      <w:r>
        <w:rPr>
          <w:rFonts w:ascii="arial" w:eastAsia="arial" w:hAnsi="arial" w:cs="arial"/>
          <w:color w:val="000000"/>
          <w:sz w:val="20"/>
          <w:lang w:val="en-US" w:eastAsia="en-US" w:bidi="ar-SA"/>
        </w:rPr>
        <w:t xml:space="preserve"> at para. 39.</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w:t>
      </w:r>
      <w:r>
        <w:rPr>
          <w:rFonts w:ascii="arial" w:eastAsia="arial" w:hAnsi="arial" w:cs="arial"/>
          <w:color w:val="000000"/>
          <w:sz w:val="20"/>
          <w:lang w:val="en-US" w:eastAsia="en-US" w:bidi="ar-SA"/>
        </w:rPr>
        <w:t xml:space="preserve">  However, Mr. Morrison has alleged that Mr. Maddox breached his obligations imposed by ss. 100(1)(a) and 100(4) and 103 of the </w:t>
      </w:r>
      <w:r>
        <w:rPr>
          <w:rFonts w:ascii="arial" w:eastAsia="arial" w:hAnsi="arial" w:cs="arial"/>
          <w:i/>
          <w:color w:val="000000"/>
          <w:sz w:val="20"/>
          <w:lang w:val="en-US" w:eastAsia="en-US" w:bidi="ar-SA"/>
        </w:rPr>
        <w:t>Land Title Act</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R.S.B.C. 1996, c. 250</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LTA</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w:t>
      </w:r>
      <w:r>
        <w:rPr>
          <w:rFonts w:ascii="arial" w:eastAsia="arial" w:hAnsi="arial" w:cs="arial"/>
          <w:color w:val="000000"/>
          <w:sz w:val="20"/>
          <w:lang w:val="en-US" w:eastAsia="en-US" w:bidi="ar-SA"/>
        </w:rPr>
        <w:t xml:space="preserve">  It is argued that Mr. Maddox committed a breach by filing a reference plan that did not have Mr. Morrison's signature when the boundaries were being changed. A breach of a statutory provision is not, by and of itself, proof of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but the statutory provision may be of some assistance in setting out a duty of care: </w:t>
      </w:r>
      <w:r>
        <w:rPr>
          <w:rFonts w:ascii="arial" w:eastAsia="arial" w:hAnsi="arial" w:cs="arial"/>
          <w:i/>
          <w:color w:val="000000"/>
          <w:sz w:val="20"/>
          <w:lang w:val="en-US" w:eastAsia="en-US" w:bidi="ar-SA"/>
        </w:rPr>
        <w:t>Canada v. Saskatchewan Wheat Pool</w:t>
      </w:r>
      <w:r>
        <w:rPr>
          <w:rFonts w:ascii="arial" w:eastAsia="arial" w:hAnsi="arial" w:cs="arial"/>
          <w:color w:val="000000"/>
          <w:sz w:val="20"/>
          <w:lang w:val="en-US" w:eastAsia="en-US" w:bidi="ar-SA"/>
        </w:rPr>
        <w:t xml:space="preserve">, </w:t>
      </w:r>
      <w:hyperlink r:id="rId565" w:history="1">
        <w:r>
          <w:rPr>
            <w:rFonts w:ascii="arial" w:eastAsia="arial" w:hAnsi="arial" w:cs="arial"/>
            <w:i/>
            <w:color w:val="0077CC"/>
            <w:sz w:val="20"/>
            <w:u w:val="single"/>
            <w:shd w:val="clear" w:color="auto" w:fill="FFFFFF"/>
            <w:lang w:val="en-US" w:eastAsia="en-US" w:bidi="ar-SA"/>
          </w:rPr>
          <w:t>[1983] S.C.J. No. 14</w:t>
        </w:r>
      </w:hyperlink>
      <w:r>
        <w:rPr>
          <w:rFonts w:ascii="arial" w:eastAsia="arial" w:hAnsi="arial" w:cs="arial"/>
          <w:color w:val="000000"/>
          <w:sz w:val="20"/>
          <w:lang w:val="en-US" w:eastAsia="en-US" w:bidi="ar-SA"/>
        </w:rPr>
        <w:t xml:space="preserve"> at p. 14.</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w:t>
      </w:r>
      <w:r>
        <w:rPr>
          <w:rFonts w:ascii="arial" w:eastAsia="arial" w:hAnsi="arial" w:cs="arial"/>
          <w:color w:val="000000"/>
          <w:sz w:val="20"/>
          <w:lang w:val="en-US" w:eastAsia="en-US" w:bidi="ar-SA"/>
        </w:rPr>
        <w:t>  The evidence indicated that Mr. Maddox kept Mr. Sansom in "the loop" as he provided the plans to the Land Title Office. The indication Mr. Maddox had received was that Mr. Sansom would keep his client, Mr. Morrison, informed of what was taking place.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w:t>
      </w:r>
      <w:r>
        <w:rPr>
          <w:rFonts w:ascii="arial" w:eastAsia="arial" w:hAnsi="arial" w:cs="arial"/>
          <w:color w:val="000000"/>
          <w:sz w:val="20"/>
          <w:lang w:val="en-US" w:eastAsia="en-US" w:bidi="ar-SA"/>
        </w:rPr>
        <w:t>  Exhibit 1, tab 34, is an email from Mr. Sansom to Mr. Maddox dated October 3, 2008, and it says the following:</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Thank you for your letter of Sept. 29, 2008 and a copy of your proposed Reference Plan redefining old Lot C Plan 5558. I agree that your plan does not agree with my posting Plan EPP106 of August 3, 2007 by approximately 31 metres. I further agree that the evidence you have found of the original iron post and original iron post hole combined with the personal interviews of three previous lot owners outweighs my reconstruction of the original plan boundary from bearing and distances shown on Plan 5558 and Plan KAP47531. I therefore would agree that a reference plan showing found evidence would be an appropriate solution to defining the boundary between Lot B, Plan 5558 and your new Lot 1, Plan KAP _____ .</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 will suggest that l should contact our original client to explain that in the light of additional evidence I would not be prepared to defend the location of the posts set on my posting plan at the east boundary of his Lot B, Plan 5558. I will also suggest that I contact the Land Title Office to let them know that my Plan EPP106 is not correct in showing the east boundary of Lot B where it is, as further evidence has surfaced. If you are still intending to sign and submit the plan you have sent me, please let me know and I will make sure both notifications are sent out from our office. Please let me know when you are signing the plan as I want to make sure my notification reaches the LTO before your plan.</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Thank you for keeping me apprised of this situation. I will await further developments.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Sincerely,</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[signed] Brian Sansom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w:t>
      </w:r>
      <w:r>
        <w:rPr>
          <w:rFonts w:ascii="arial" w:eastAsia="arial" w:hAnsi="arial" w:cs="arial"/>
          <w:color w:val="000000"/>
          <w:sz w:val="20"/>
          <w:lang w:val="en-US" w:eastAsia="en-US" w:bidi="ar-SA"/>
        </w:rPr>
        <w:t>  Mr. Sansom sent a further email to Wayne Fromm at the Land Title Office on October 7, 2008:</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Morning Wayne,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 have a survey plan issue to raise, and ask that you please make a note against the impacted titles.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In August of 2007 I completed and registered the attached posting plan on a Lot B, Plan 5558, Sec4, Tp21, R9. I was only able to find a small amount of existing evidence for this posting plan, but was able to reconstruct the property in question based on the original dimensions from the 1951 Plan 5558 and its later reconstruction by Meryl Browne on easement Plan KAP47531. The posts placed by me on the east side of Lot B, Plan 5558 then showed a substantial encroachment with the structures previously thought by the owners of Lot C to be on Lot C.</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 now understand that Bill Maddox has been retained by the owner of Lot C, Plan 5558 to investigate the situation further. I understand that through interviews with current and previous owners he has managed to find a destroyed old non standard iron post and the purported remains of the iron post hole at one of the corners on the boundary between Lot B and Lot C. Although this position differs by more than 30m from the original plan dimensions and my posts set on my posting plan EPP106, I accept his findings and will not defend the posts set by me on the boundary between Lot B and Lot C. I understand that Bill Maddox will be filing a Reference Plan pursuant to section 100(1)(a) and I support his position regarding the definition of the boundary between Lot B and Lot C.</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 have written a letter to our client of 2007, Mr. Merle Morrison, explaining the situation and the fact that in light of further evidence, the boundary between his Lot B and Lot C is not as shown on my posting plan EPP106. I have recommended that he stay in touch with the Land Title Office and obtain a copy of the Reference Plan once it has been registered.</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Thanks for taking this information. I would hope that you would include it as a Survey Note with the plan to notify the plan examiners when and if they receive the Reference Plan defining Lot C.</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w:t>
      </w:r>
      <w:r>
        <w:rPr>
          <w:rFonts w:ascii="arial" w:eastAsia="arial" w:hAnsi="arial" w:cs="arial"/>
          <w:color w:val="000000"/>
          <w:sz w:val="20"/>
          <w:lang w:val="en-US" w:eastAsia="en-US" w:bidi="ar-SA"/>
        </w:rPr>
        <w:t>  On this motion, it has been argued that Mr. Maddox was going behind Mr. Morrison's back as he lobbied and advocated for his client. The exchange of emails puts to rest the notion that Mr. Maddox was conducting himself in a secret fashion to the detriment of Mr. Morrison.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w:t>
      </w:r>
      <w:r>
        <w:rPr>
          <w:rFonts w:ascii="arial" w:eastAsia="arial" w:hAnsi="arial" w:cs="arial"/>
          <w:color w:val="000000"/>
          <w:sz w:val="20"/>
          <w:lang w:val="en-US" w:eastAsia="en-US" w:bidi="ar-SA"/>
        </w:rPr>
        <w:t>  There was evidence given by Mr. Morrison that his address was different from that which Mr. Sansom thought it was. Mr. Sansom was sending correspondence to Box 260 in Canoe. Notes on other maps indicate that perhaps Box 620 might have been the appropriate box number. However, that is an issue between Mr. Sansom and Mr. Morrison; not between Mr. Maddox and Mr. Morrison.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w:t>
      </w:r>
      <w:r>
        <w:rPr>
          <w:rFonts w:ascii="arial" w:eastAsia="arial" w:hAnsi="arial" w:cs="arial"/>
          <w:color w:val="000000"/>
          <w:sz w:val="20"/>
          <w:lang w:val="en-US" w:eastAsia="en-US" w:bidi="ar-SA"/>
        </w:rPr>
        <w:t xml:space="preserve">  The obligations set out in ss. 100 and 103 of the </w:t>
      </w:r>
      <w:r>
        <w:rPr>
          <w:rFonts w:ascii="arial" w:eastAsia="arial" w:hAnsi="arial" w:cs="arial"/>
          <w:i/>
          <w:color w:val="000000"/>
          <w:sz w:val="20"/>
          <w:lang w:val="en-US" w:eastAsia="en-US" w:bidi="ar-SA"/>
        </w:rPr>
        <w:t>LTA</w:t>
      </w:r>
      <w:r>
        <w:rPr>
          <w:rFonts w:ascii="arial" w:eastAsia="arial" w:hAnsi="arial" w:cs="arial"/>
          <w:color w:val="000000"/>
          <w:sz w:val="20"/>
          <w:lang w:val="en-US" w:eastAsia="en-US" w:bidi="ar-SA"/>
        </w:rPr>
        <w:t xml:space="preserve"> would confirm a common sense approach, so that a property owner whose land is being affected would be expected to sign off on a plan that affected his title. However, the ultimate authority for accepting a reference plan as filed here is up to the registrar.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w:t>
      </w:r>
      <w:r>
        <w:rPr>
          <w:rFonts w:ascii="arial" w:eastAsia="arial" w:hAnsi="arial" w:cs="arial"/>
          <w:color w:val="000000"/>
          <w:sz w:val="20"/>
          <w:lang w:val="en-US" w:eastAsia="en-US" w:bidi="ar-SA"/>
        </w:rPr>
        <w:t xml:space="preserve">  Section 100(4) of the </w:t>
      </w:r>
      <w:r>
        <w:rPr>
          <w:rFonts w:ascii="arial" w:eastAsia="arial" w:hAnsi="arial" w:cs="arial"/>
          <w:i/>
          <w:color w:val="000000"/>
          <w:sz w:val="20"/>
          <w:lang w:val="en-US" w:eastAsia="en-US" w:bidi="ar-SA"/>
        </w:rPr>
        <w:t>LTA</w:t>
      </w:r>
      <w:r>
        <w:rPr>
          <w:rFonts w:ascii="arial" w:eastAsia="arial" w:hAnsi="arial" w:cs="arial"/>
          <w:color w:val="000000"/>
          <w:sz w:val="20"/>
          <w:lang w:val="en-US" w:eastAsia="en-US" w:bidi="ar-SA"/>
        </w:rPr>
        <w:t xml:space="preserve"> requires the tendering of a plan to conform to certain requirements. Section 100(3) gives the registrar some discretion to accept an unsigned reference plan. In both instances, the property owner is protected by the authority given to the registrar.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w:t>
      </w:r>
      <w:r>
        <w:rPr>
          <w:rFonts w:ascii="arial" w:eastAsia="arial" w:hAnsi="arial" w:cs="arial"/>
          <w:color w:val="000000"/>
          <w:sz w:val="20"/>
          <w:lang w:val="en-US" w:eastAsia="en-US" w:bidi="ar-SA"/>
        </w:rPr>
        <w:t xml:space="preserve">  The evidence shows that while Mr. Maddox kept Mr. Sansom aware of the new reference plan, he did not secure Mr. Morrison's signature on the plan as it was filed. That is </w:t>
      </w:r>
      <w:r>
        <w:rPr>
          <w:rFonts w:ascii="arial" w:eastAsia="arial" w:hAnsi="arial" w:cs="arial"/>
          <w:color w:val="000000"/>
          <w:sz w:val="20"/>
          <w:u w:val="single"/>
          <w:lang w:val="en-US" w:eastAsia="en-US" w:bidi="ar-SA"/>
        </w:rPr>
        <w:t>some</w:t>
      </w:r>
      <w:r>
        <w:rPr>
          <w:rFonts w:ascii="arial" w:eastAsia="arial" w:hAnsi="arial" w:cs="arial"/>
          <w:color w:val="000000"/>
          <w:sz w:val="20"/>
          <w:lang w:val="en-US" w:eastAsia="en-US" w:bidi="ar-SA"/>
        </w:rPr>
        <w:t xml:space="preserve"> evidence that Mr. Maddox may have failed to discharge his duty under the </w:t>
      </w:r>
      <w:r>
        <w:rPr>
          <w:rFonts w:ascii="arial" w:eastAsia="arial" w:hAnsi="arial" w:cs="arial"/>
          <w:i/>
          <w:color w:val="000000"/>
          <w:sz w:val="20"/>
          <w:lang w:val="en-US" w:eastAsia="en-US" w:bidi="ar-SA"/>
        </w:rPr>
        <w:t>LTA</w:t>
      </w:r>
      <w:r>
        <w:rPr>
          <w:rFonts w:ascii="arial" w:eastAsia="arial" w:hAnsi="arial" w:cs="arial"/>
          <w:color w:val="000000"/>
          <w:sz w:val="20"/>
          <w:lang w:val="en-US" w:eastAsia="en-US" w:bidi="ar-SA"/>
        </w:rPr>
        <w:t xml:space="preserve">. I emphasize that this is a no-evidence motion and that </w:t>
      </w:r>
      <w:r>
        <w:rPr>
          <w:rFonts w:ascii="arial" w:eastAsia="arial" w:hAnsi="arial" w:cs="arial"/>
          <w:color w:val="000000"/>
          <w:sz w:val="20"/>
          <w:u w:val="single"/>
          <w:lang w:val="en-US" w:eastAsia="en-US" w:bidi="ar-SA"/>
        </w:rPr>
        <w:t>some</w:t>
      </w:r>
      <w:r>
        <w:rPr>
          <w:rFonts w:ascii="arial" w:eastAsia="arial" w:hAnsi="arial" w:cs="arial"/>
          <w:color w:val="000000"/>
          <w:sz w:val="20"/>
          <w:lang w:val="en-US" w:eastAsia="en-US" w:bidi="ar-SA"/>
        </w:rPr>
        <w:t xml:space="preserve"> evidence that goes to a specific issue required for proof by the plaintiff will defeat a no-evidence motion.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w:t>
      </w:r>
      <w:r>
        <w:rPr>
          <w:rFonts w:ascii="arial" w:eastAsia="arial" w:hAnsi="arial" w:cs="arial"/>
          <w:color w:val="000000"/>
          <w:sz w:val="20"/>
          <w:lang w:val="en-US" w:eastAsia="en-US" w:bidi="ar-SA"/>
        </w:rPr>
        <w:t xml:space="preserve">  The plaintiff must also provide some evidence that the alleged wrongful conduct of the defendant caused damage. In the case of a claim in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founded upon a duty owing by the defendant, actual damages must be proved: </w:t>
      </w:r>
      <w:r>
        <w:rPr>
          <w:rFonts w:ascii="arial" w:eastAsia="arial" w:hAnsi="arial" w:cs="arial"/>
          <w:i/>
          <w:color w:val="000000"/>
          <w:sz w:val="20"/>
          <w:lang w:val="en-US" w:eastAsia="en-US" w:bidi="ar-SA"/>
        </w:rPr>
        <w:t>Pfeifer v. Morrison</w:t>
      </w:r>
      <w:r>
        <w:rPr>
          <w:rFonts w:ascii="arial" w:eastAsia="arial" w:hAnsi="arial" w:cs="arial"/>
          <w:color w:val="000000"/>
          <w:sz w:val="20"/>
          <w:lang w:val="en-US" w:eastAsia="en-US" w:bidi="ar-SA"/>
        </w:rPr>
        <w:t xml:space="preserve">, </w:t>
      </w:r>
      <w:hyperlink r:id="rId566" w:history="1">
        <w:r>
          <w:rPr>
            <w:rFonts w:ascii="arial" w:eastAsia="arial" w:hAnsi="arial" w:cs="arial"/>
            <w:i/>
            <w:color w:val="0077CC"/>
            <w:sz w:val="20"/>
            <w:u w:val="single"/>
            <w:shd w:val="clear" w:color="auto" w:fill="FFFFFF"/>
            <w:lang w:val="en-US" w:eastAsia="en-US" w:bidi="ar-SA"/>
          </w:rPr>
          <w:t>[1973] 6 W.W.R. 89</w:t>
        </w:r>
      </w:hyperlink>
      <w:r>
        <w:rPr>
          <w:rFonts w:ascii="arial" w:eastAsia="arial" w:hAnsi="arial" w:cs="arial"/>
          <w:color w:val="000000"/>
          <w:sz w:val="20"/>
          <w:lang w:val="en-US" w:eastAsia="en-US" w:bidi="ar-SA"/>
        </w:rPr>
        <w:t xml:space="preserve"> at paras. 4 and 5.</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w:t>
      </w:r>
      <w:r>
        <w:rPr>
          <w:rFonts w:ascii="arial" w:eastAsia="arial" w:hAnsi="arial" w:cs="arial"/>
          <w:color w:val="000000"/>
          <w:sz w:val="20"/>
          <w:lang w:val="en-US" w:eastAsia="en-US" w:bidi="ar-SA"/>
        </w:rPr>
        <w:t>  Mr. Morrison says that the damage he has suffered was the existence of the caveat on title resulting from the filing of the reference plan and the resulting inability to market the property. However, there is no evidence that would suggest there was any activity curtailed on Lot B after the caveat was lodged. For example, there was no indication that there was a potential buyer or other form of transaction that may have been interfered with.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w:t>
      </w:r>
      <w:r>
        <w:rPr>
          <w:rFonts w:ascii="arial" w:eastAsia="arial" w:hAnsi="arial" w:cs="arial"/>
          <w:color w:val="000000"/>
          <w:sz w:val="20"/>
          <w:lang w:val="en-US" w:eastAsia="en-US" w:bidi="ar-SA"/>
        </w:rPr>
        <w:t>  Mr. Morrison also argues that the conduct of Mr. Maddox warrants special costs, and that is part of the quantum of damages. Costs follow an event and are not to be treated as damages. In any event, Mr. Morrison has not proved that he has an entitlement to special costs at this stage of the proceedings against Mr. Maddox.</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w:t>
      </w:r>
      <w:r>
        <w:rPr>
          <w:rFonts w:ascii="arial" w:eastAsia="arial" w:hAnsi="arial" w:cs="arial"/>
          <w:color w:val="000000"/>
          <w:sz w:val="20"/>
          <w:lang w:val="en-US" w:eastAsia="en-US" w:bidi="ar-SA"/>
        </w:rPr>
        <w:t>  Mr. Morrison has not pointed to any specific damage sustained, other than the costs associated with this lawsuit.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w:t>
      </w:r>
      <w:r>
        <w:rPr>
          <w:rFonts w:ascii="arial" w:eastAsia="arial" w:hAnsi="arial" w:cs="arial"/>
          <w:color w:val="000000"/>
          <w:sz w:val="20"/>
          <w:lang w:val="en-US" w:eastAsia="en-US" w:bidi="ar-SA"/>
        </w:rPr>
        <w:t xml:space="preserve">  The critical aspect of linking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to damages is as set out by the Supreme Court of Canada in the </w:t>
      </w:r>
      <w:r>
        <w:rPr>
          <w:rFonts w:ascii="arial" w:eastAsia="arial" w:hAnsi="arial" w:cs="arial"/>
          <w:i/>
          <w:color w:val="000000"/>
          <w:sz w:val="20"/>
          <w:lang w:val="en-US" w:eastAsia="en-US" w:bidi="ar-SA"/>
        </w:rPr>
        <w:t>Saskatchewan Wheat Pool</w:t>
      </w:r>
      <w:r>
        <w:rPr>
          <w:rFonts w:ascii="arial" w:eastAsia="arial" w:hAnsi="arial" w:cs="arial"/>
          <w:color w:val="000000"/>
          <w:sz w:val="20"/>
          <w:lang w:val="en-US" w:eastAsia="en-US" w:bidi="ar-SA"/>
        </w:rPr>
        <w:t xml:space="preserve"> decision at p. 13, where the Court says the following:</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For all of the above reasons I would be adverse to the recognition in Canada of a nominate tort of statutory breach. Breach of statute, where it has an effect upon civil liability, should be considered in the context of the general law of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and its common law duty of care have become pervasive enough to serve the purpose invoked for the existence of the action for statutory breach.</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It must not be forgotten that the other elements of tortious responsibility equally apply to situations involving statutory breach, i.e. principles of causation and damages. To be relevant at all, the statutory breach must have caused the damage of which the plaintiff complains. Should this be so, the violation of the statute should be evidence of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on the part of the defendant.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w:t>
      </w:r>
      <w:r>
        <w:rPr>
          <w:rFonts w:ascii="arial" w:eastAsia="arial" w:hAnsi="arial" w:cs="arial"/>
          <w:color w:val="000000"/>
          <w:sz w:val="20"/>
          <w:lang w:val="en-US" w:eastAsia="en-US" w:bidi="ar-SA"/>
        </w:rPr>
        <w:t>  Mr. Morrison's level of proof with respect to Mr. Maddox breaching a duty of care was thin. Mr. Morrison's proof of damages was non-existent. Without some evidence of damage, the claim against Mr. Maddox cannot stand.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34</w:t>
      </w:r>
      <w:r>
        <w:rPr>
          <w:rFonts w:ascii="arial" w:eastAsia="arial" w:hAnsi="arial" w:cs="arial"/>
          <w:color w:val="000000"/>
          <w:sz w:val="20"/>
          <w:lang w:val="en-US" w:eastAsia="en-US" w:bidi="ar-SA"/>
        </w:rPr>
        <w:t>  Accordingly, in the absence of any proof of damage, the claim against Mr. Maddox is dismissed with costs.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S.D. DLEY J.</w:t>
      </w:r>
      <w:r>
        <w:rPr>
          <w:rFonts w:ascii="arial" w:eastAsia="arial" w:hAnsi="arial" w:cs="arial"/>
          <w:sz w:val="20"/>
          <w:lang w:val="en-US" w:eastAsia="en-US" w:bidi="ar-SA"/>
        </w:rPr>
        <w:cr/>
      </w:r>
    </w:p>
    <w:p>
      <w:pPr>
        <w:rPr>
          <w:rFonts w:ascii="arial" w:eastAsia="arial" w:hAnsi="arial" w:cs="arial"/>
          <w:sz w:val="20"/>
          <w:lang w:val="en-US" w:eastAsia="en-US" w:bidi="ar-SA"/>
        </w:rPr>
      </w:pPr>
    </w:p>
    <w:p>
      <w:pPr>
        <w:ind w:left="200"/>
        <w:rPr>
          <w:rFonts w:ascii="arial" w:eastAsia="arial" w:hAnsi="arial" w:cs="arial"/>
          <w:sz w:val="20"/>
          <w:lang w:val="en-US" w:eastAsia="en-US" w:bidi="ar-SA"/>
        </w:rPr>
        <w:sectPr>
          <w:type w:val="continuous"/>
          <w:pgMar w:top="840" w:right="1000" w:bottom="840" w:left="1000" w:header="400" w:footer="400"/>
          <w:pgNumType w:fmt="decimal"/>
          <w:cols w:space="720"/>
        </w:sectPr>
      </w:pPr>
      <w:r>
        <w:rPr>
          <w:rFonts w:ascii="arial" w:eastAsia="arial" w:hAnsi="arial" w:cs="arial"/>
          <w:sz w:val="20"/>
          <w:lang w:val="en-US" w:eastAsia="en-US" w:bidi="ar-SA"/>
        </w:rPr>
        <w:br/>
      </w:r>
      <w:r>
        <w:pict>
          <v:line id="_x0000_s1165" style="position:absolute;z-index:251882496" from="0,10pt" to="512pt,10pt" strokecolor="black" strokeweight="1pt">
            <v:stroke linestyle="single"/>
          </v:line>
        </w:pict>
      </w:r>
      <w:r>
        <w:rPr>
          <w:b/>
          <w:color w:val="767676"/>
          <w:sz w:val="16"/>
          <w:lang w:val="en-US" w:eastAsia="en-US" w:bidi="ar-SA"/>
        </w:rPr>
        <w:t>End of Document</w:t>
      </w:r>
    </w:p>
    <w:p>
      <w:pPr>
        <w:rPr>
          <w:rFonts w:ascii="arial" w:eastAsia="arial" w:hAnsi="arial" w:cs="arial"/>
          <w:sz w:val="20"/>
          <w:lang w:val="en-US" w:eastAsia="en-US" w:bidi="ar-SA"/>
        </w:rPr>
        <w:sectPr>
          <w:headerReference w:type="even" r:id="rId567"/>
          <w:headerReference w:type="default" r:id="rId568"/>
          <w:footerReference w:type="even" r:id="rId569"/>
          <w:footerReference w:type="default" r:id="rId570"/>
          <w:headerReference w:type="first" r:id="rId571"/>
          <w:footerReference w:type="first" r:id="rId572"/>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eastAsia="arial" w:hAnsi="Arial" w:cs="Arial"/>
          <w:b/>
          <w:bCs/>
          <w:kern w:val="32"/>
          <w:sz w:val="32"/>
          <w:szCs w:val="32"/>
          <w:lang w:val="en-US" w:eastAsia="en-US" w:bidi="ar-SA"/>
        </w:rPr>
      </w:pPr>
      <w:hyperlink r:id="rId573" w:history="1">
        <w:r>
          <w:rPr>
            <w:rFonts w:ascii="arial" w:eastAsia="arial" w:hAnsi="arial" w:cs="arial"/>
            <w:b/>
            <w:bCs/>
            <w:i/>
            <w:color w:val="0077CC"/>
            <w:kern w:val="32"/>
            <w:sz w:val="28"/>
            <w:szCs w:val="32"/>
            <w:u w:val="single"/>
            <w:shd w:val="clear" w:color="auto" w:fill="FFFFFF"/>
            <w:lang w:val="en-US" w:eastAsia="en-US" w:bidi="ar-SA"/>
          </w:rPr>
          <w:t>Noriega v. Lewars, [2008] B.C.J. No. 1998</w:t>
        </w:r>
      </w:hyperlink>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Judgments</w:t>
      </w:r>
    </w:p>
    <w:p>
      <w:pPr>
        <w:rPr>
          <w:rFonts w:ascii="arial" w:eastAsia="arial" w:hAnsi="arial" w:cs="arial"/>
          <w:sz w:val="20"/>
          <w:lang w:val="en-US" w:eastAsia="en-US" w:bidi="ar-SA"/>
        </w:rPr>
      </w:pP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Vancouver, British Columbia</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D.J. Dardi J.</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Heard: July 24-25 and August 5-7, 2008.</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Judgment: October 23, 2008.</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Docket: M100486</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Registry: New Westminster</w:t>
      </w:r>
    </w:p>
    <w:p>
      <w:pPr>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r>
        <w:rPr>
          <w:rFonts w:ascii="arial" w:eastAsia="arial" w:hAnsi="arial" w:cs="arial"/>
          <w:b/>
          <w:color w:val="000000"/>
          <w:sz w:val="20"/>
          <w:lang w:val="en-US" w:eastAsia="en-US" w:bidi="ar-SA"/>
        </w:rPr>
        <w:t>[2008] B.C.J. No. 1998</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hyperlink r:id="rId574" w:history="1">
        <w:r>
          <w:rPr>
            <w:rFonts w:ascii="arial" w:eastAsia="arial" w:hAnsi="arial" w:cs="arial"/>
            <w:i/>
            <w:color w:val="0077CC"/>
            <w:sz w:val="20"/>
            <w:u w:val="single"/>
            <w:shd w:val="clear" w:color="auto" w:fill="FFFFFF"/>
            <w:lang w:val="en-US" w:eastAsia="en-US" w:bidi="ar-SA"/>
          </w:rPr>
          <w:t>2008 BCSC 1405</w:t>
        </w:r>
      </w:hyperlink>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hyperlink r:id="rId574" w:history="1">
        <w:r>
          <w:rPr>
            <w:rFonts w:ascii="arial" w:eastAsia="arial" w:hAnsi="arial" w:cs="arial"/>
            <w:i/>
            <w:color w:val="0077CC"/>
            <w:sz w:val="20"/>
            <w:u w:val="single"/>
            <w:shd w:val="clear" w:color="auto" w:fill="FFFFFF"/>
            <w:lang w:val="en-US" w:eastAsia="en-US" w:bidi="ar-SA"/>
          </w:rPr>
          <w:t>173 A.C.W.S. (3d) 471</w:t>
        </w:r>
      </w:hyperlink>
    </w:p>
    <w:p>
      <w:pPr>
        <w:spacing w:before="120" w:line="260" w:lineRule="atLeast"/>
        <w:rPr>
          <w:rFonts w:ascii="arial" w:eastAsia="arial" w:hAnsi="arial" w:cs="arial"/>
          <w:sz w:val="20"/>
          <w:lang w:val="en-US" w:eastAsia="en-US" w:bidi="ar-SA"/>
        </w:rPr>
      </w:pPr>
      <w:r>
        <w:rPr>
          <w:rFonts w:ascii="arial" w:eastAsia="arial" w:hAnsi="arial" w:cs="arial"/>
          <w:color w:val="000000"/>
          <w:sz w:val="20"/>
          <w:lang w:val="en-US" w:eastAsia="en-US" w:bidi="ar-SA"/>
        </w:rPr>
        <w:t>Between Ryan Vincent Noriega, Plaintiff, and Michael Glen Lewars, Defendant</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(89 paras.)</w:t>
      </w:r>
    </w:p>
    <w:p>
      <w:pPr>
        <w:keepNext/>
        <w:spacing w:before="12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Case Summary</w:t>
      </w:r>
    </w:p>
    <w:p>
      <w:pPr>
        <w:spacing w:line="60" w:lineRule="exact"/>
        <w:rPr>
          <w:rFonts w:ascii="arial" w:eastAsia="arial" w:hAnsi="arial" w:cs="arial"/>
          <w:sz w:val="20"/>
          <w:lang w:val="en-US" w:eastAsia="en-US" w:bidi="ar-SA"/>
        </w:rPr>
      </w:pPr>
      <w:r>
        <w:pict>
          <v:line id="_x0000_s1166" style="position:absolute;z-index:251687936"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bookmarkStart w:id="183" w:name="Keywords_27"/>
      <w:bookmarkEnd w:id="183"/>
      <w:r>
        <w:rPr>
          <w:rFonts w:ascii="arial" w:eastAsia="arial" w:hAnsi="arial" w:cs="arial"/>
          <w:b/>
          <w:color w:val="000000"/>
          <w:sz w:val="20"/>
          <w:lang w:val="en-US" w:eastAsia="en-US" w:bidi="ar-SA"/>
        </w:rPr>
        <w:t xml:space="preserve">Tort law — </w:t>
      </w:r>
      <w:r>
        <w:rPr>
          <w:rFonts w:ascii="arial" w:eastAsia="arial" w:hAnsi="arial" w:cs="arial"/>
          <w:b/>
          <w:i/>
          <w:color w:val="000000"/>
          <w:sz w:val="20"/>
          <w:u w:val="single"/>
          <w:lang w:val="en-US" w:eastAsia="en-US" w:bidi="ar-SA"/>
        </w:rPr>
        <w:t>Negligence</w:t>
      </w:r>
      <w:r>
        <w:rPr>
          <w:rFonts w:ascii="arial" w:eastAsia="arial" w:hAnsi="arial" w:cs="arial"/>
          <w:b/>
          <w:color w:val="000000"/>
          <w:sz w:val="20"/>
          <w:lang w:val="en-US" w:eastAsia="en-US" w:bidi="ar-SA"/>
        </w:rPr>
        <w:t xml:space="preserve"> — Motor vehicles — Rules of the road — Action by the plaintiff allowed — While attempting a left-hand turn, the plaintiff's vehicle was struck by the defendant's oncoming vehicle — The light had turned yellow as the plaintiff made the turn — Each driver claimed that the other was responsible for the accident — The court found that the defendant was wholly responsible for the accident, as he entered the intersection when it was unsafe to do so — He entered the intersection on a late amber light, or against the red light — The plaintiff exercised reasonable care in the circumstances and was not negligent — Motor Vehicle Act, ss. 128, 174.</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 xml:space="preserve">Transportation law — Motor vehicles and highway traffic — Rules of the road — Intersections — Turns — Left turn at intersection — Liability — Civil actions — </w:t>
      </w:r>
      <w:r>
        <w:rPr>
          <w:rFonts w:ascii="arial" w:eastAsia="arial" w:hAnsi="arial" w:cs="arial"/>
          <w:b/>
          <w:i/>
          <w:color w:val="000000"/>
          <w:sz w:val="20"/>
          <w:u w:val="single"/>
          <w:lang w:val="en-US" w:eastAsia="en-US" w:bidi="ar-SA"/>
        </w:rPr>
        <w:t>Negligence</w:t>
      </w:r>
      <w:r>
        <w:rPr>
          <w:rFonts w:ascii="arial" w:eastAsia="arial" w:hAnsi="arial" w:cs="arial"/>
          <w:b/>
          <w:color w:val="000000"/>
          <w:sz w:val="20"/>
          <w:lang w:val="en-US" w:eastAsia="en-US" w:bidi="ar-SA"/>
        </w:rPr>
        <w:t xml:space="preserve"> — Action by the plaintiff allowed — While attempting a left-hand turn, the plaintiff's vehicle was struck by the defendant's oncoming vehicle — The light had turned yellow as the plaintiff made the turn — Each driver claimed that the other was responsible for the accident — The court found that the defendant was wholly responsible for the accident, as he entered the intersection when it was unsafe to do so — He entered the intersection on a late amber light, or against the red light — The plaintiff exercised reasonable care in the circumstances and was not negligent — Motor Vehicle Act, ss. 128, 174.</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Damages — Types of damages — General damages — For personal injuries — Considerations — Duration of loss — Extent of incapacity — Cost of future care — Loss of earning capacity — Action by the plaintiff allowed — The plaintiff, age 27, suffered ongoing soft-tissue injuries to his neck, shoulders and back in a motor vehicle accident caused by the defendant — The court found that the injuries caused moderate interference with his life — The plaintiff was awarded damages of $52,500 comprised of non-pecuniary damages of $30,000, special damages of $500, $2,000 for cost of future care, and $20,000 for loss of future earning capacity — No past loss of income was awarded, as the plaintiff switched careers due to a work-related injury rather than the vehicular injuries.</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Damages — Physical and psychological injuries — Physical injuries — Back and spine — Neck — Action by the plaintiff allowed — The plaintiff, age 27, suffered ongoing soft-tissue injuries to his neck, shoulders and back in a motor vehicle accident caused by the defendant — The court found that the injuries caused moderate interference with his life — The plaintiff was awarded damages of $52,500 comprised of non-pecuniary damages of $30,000, special damages of $500, $2,000 for loss of future care, and $20,000 for loss of future earning capacity — No past cost of income was awarded, as the plaintiff switched careers due to a work-related injury rather than the vehicular injuries.</w:t>
      </w:r>
    </w:p>
    <w:p>
      <w:pPr>
        <w:rPr>
          <w:rFonts w:ascii="arial" w:eastAsia="arial" w:hAnsi="arial" w:cs="arial"/>
          <w:sz w:val="20"/>
          <w:lang w:val="en-US" w:eastAsia="en-US" w:bidi="ar-SA"/>
        </w:rPr>
      </w:pPr>
    </w:p>
    <w:tbl>
      <w:tblPr>
        <w:tblStyle w:val="TableNormal"/>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
      <w:tblGrid>
        <w:gridCol w:w="10225"/>
      </w:tblGrid>
      <w:tr>
        <w:tblPrEx>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Ex>
        <w:tc>
          <w:tcPr/>
          <w:p>
            <w:pPr>
              <w:rPr>
                <w:rFonts w:ascii="arial" w:eastAsia="arial" w:hAnsi="arial" w:cs="arial"/>
                <w:sz w:val="20"/>
                <w:lang w:val="en-US" w:eastAsia="en-US" w:bidi="ar-SA"/>
              </w:rPr>
            </w:pPr>
            <w:bookmarkStart w:id="184" w:name="Case Summary_26"/>
            <w:bookmarkEnd w:id="184"/>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Action by the plaintiff, Noriega, against the defendant, Lewars, for damages to compensate for injuries sustained in a motor vehicle accident. While attempting a left-hand turn, the plaintiff's vehicle was struck by the defendant's oncoming vehicle. The light had turned yellow as the plaintiff made the turn. He believed that oncoming vehicles had stopped for the light and followed another vehicle in front of him. The plaintiff testified that he was unable to avoid the collision due to the vehicle immediately in front of him. The defendant testified that he was too close to the intersection to brake without jarring his passenger. He testified that as he entered the intersection, the plaintiff accelerated to try and complete his turn. Each driver contended that the other was responsible for the accident. The plaintiff, age 27, suffered soft-tissue injuries to his neck, shoulders and back, for which he sought medical and physiotherapy treatment. Eight months after the accident, the plaintiff suffered a back injury at work, after which he never resumed working as a courier. The plaintiff submitted that his injuries were unresolved. He contended that his injuries forced him to leave his job for less remunerative work. He sought damages for pain and suffering, past and future income loss, costs of future care, and loss of housekeeping capacity. A physician's report described his episodic symptoms and recommended ongoing exercise and massage therapy. The defendant argued that the plaintiff suffered soft tissue injuries that had substantially resolved within two months of the accident. </w:t>
            </w:r>
            <w:r>
              <w:rPr>
                <w:rFonts w:ascii="arial" w:eastAsia="arial" w:hAnsi="arial" w:cs="arial"/>
                <w:sz w:val="20"/>
                <w:lang w:val="en-US" w:eastAsia="en-US" w:bidi="ar-SA"/>
              </w:rPr>
              <w:cr/>
            </w:r>
          </w:p>
          <w:p>
            <w:pPr>
              <w:spacing w:before="120" w:line="260" w:lineRule="atLeast"/>
              <w:ind w:left="240"/>
              <w:jc w:val="both"/>
              <w:rPr>
                <w:rFonts w:ascii="arial" w:eastAsia="arial" w:hAnsi="arial" w:cs="arial"/>
                <w:sz w:val="20"/>
                <w:lang w:val="en-US" w:eastAsia="en-US" w:bidi="ar-SA"/>
              </w:rPr>
            </w:pPr>
            <w:bookmarkStart w:id="185" w:name="Holdings of Court_20"/>
            <w:bookmarkEnd w:id="185"/>
            <w:r>
              <w:rPr>
                <w:rFonts w:ascii="arial" w:eastAsia="arial" w:hAnsi="arial" w:cs="arial"/>
                <w:color w:val="000000"/>
                <w:sz w:val="20"/>
                <w:lang w:val="en-US" w:eastAsia="en-US" w:bidi="ar-SA"/>
              </w:rPr>
              <w:t>HELD: Action allowed.</w:t>
            </w:r>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The defendant was wholly responsible for the accident, as he entered the intersection when it was unsafe to do so. His evidence on cross-examination established that he entered the intersection at the late stage of an amber light, or against the red light. The plaintiff exercised reasonable care in the circumstances and was not negligent. The plaintiff established that he developed myofascial pain syndrome that was caused by the accident, and caused moderate interference with his life. The plaintiff was awarded damages of $52,500 comprised of non-pecuniary damages of $30,000, special damages of $500, $2,000 for cost of future care, and $20,000 for loss of future earning capacity. The plaintiff did not establish that his injuries caused him to change jobs. No compensable loss of housekeeping capacity was established. </w:t>
            </w:r>
            <w:r>
              <w:rPr>
                <w:rFonts w:ascii="arial" w:eastAsia="arial" w:hAnsi="arial" w:cs="arial"/>
                <w:sz w:val="20"/>
                <w:lang w:val="en-US" w:eastAsia="en-US" w:bidi="ar-SA"/>
              </w:rPr>
              <w:cr/>
            </w:r>
          </w:p>
          <w:p>
            <w:pPr>
              <w:rPr>
                <w:rFonts w:ascii="arial" w:eastAsia="arial" w:hAnsi="arial" w:cs="arial"/>
                <w:sz w:val="20"/>
                <w:lang w:val="en-US" w:eastAsia="en-US" w:bidi="ar-SA"/>
              </w:rPr>
            </w:pPr>
          </w:p>
        </w:tc>
      </w:tr>
    </w:tbl>
    <w:p>
      <w:pPr>
        <w:jc w:val="both"/>
        <w:rPr>
          <w:rFonts w:ascii="arial" w:eastAsia="arial" w:hAnsi="arial" w:cs="arial"/>
          <w:sz w:val="20"/>
          <w:lang w:val="en-US" w:eastAsia="en-US" w:bidi="ar-SA"/>
        </w:rPr>
      </w:pPr>
      <w:bookmarkStart w:id="186" w:name="Legislation Cited_21"/>
      <w:bookmarkEnd w:id="186"/>
      <w:r>
        <w:rPr>
          <w:rFonts w:ascii="arial" w:eastAsia="arial" w:hAnsi="arial" w:cs="arial"/>
          <w:sz w:val="20"/>
          <w:lang w:val="en-US" w:eastAsia="en-US" w:bidi="ar-SA"/>
        </w:rPr>
        <w:br/>
      </w:r>
    </w:p>
    <w:p>
      <w:pPr>
        <w:keepNext/>
        <w:spacing w:before="24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Statutes, Regulations and Rules Cited:</w:t>
      </w:r>
    </w:p>
    <w:p>
      <w:pPr>
        <w:spacing w:line="60" w:lineRule="exact"/>
        <w:rPr>
          <w:rFonts w:ascii="arial" w:eastAsia="arial" w:hAnsi="arial" w:cs="arial"/>
          <w:sz w:val="20"/>
          <w:lang w:val="en-US" w:eastAsia="en-US" w:bidi="ar-SA"/>
        </w:rPr>
      </w:pPr>
      <w:r>
        <w:pict>
          <v:line id="_x0000_s1167" style="position:absolute;z-index:251739136"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Motor Vehicle Act, </w:t>
      </w:r>
      <w:hyperlink r:id="rId575" w:history="1">
        <w:r>
          <w:rPr>
            <w:rFonts w:ascii="arial" w:eastAsia="arial" w:hAnsi="arial" w:cs="arial"/>
            <w:i/>
            <w:color w:val="0077CC"/>
            <w:sz w:val="20"/>
            <w:u w:val="single"/>
            <w:shd w:val="clear" w:color="auto" w:fill="FFFFFF"/>
            <w:lang w:val="en-US" w:eastAsia="en-US" w:bidi="ar-SA"/>
          </w:rPr>
          <w:t>RSBC 1996, CHAPTER 318, s. 128</w:t>
        </w:r>
      </w:hyperlink>
      <w:r>
        <w:rPr>
          <w:rFonts w:ascii="arial" w:eastAsia="arial" w:hAnsi="arial" w:cs="arial"/>
          <w:color w:val="000000"/>
          <w:sz w:val="20"/>
          <w:lang w:val="en-US" w:eastAsia="en-US" w:bidi="ar-SA"/>
        </w:rPr>
        <w:t>, s. 174</w:t>
      </w:r>
      <w:r>
        <w:rPr>
          <w:rFonts w:ascii="arial" w:eastAsia="arial" w:hAnsi="arial" w:cs="arial"/>
          <w:sz w:val="20"/>
          <w:lang w:val="en-US" w:eastAsia="en-US" w:bidi="ar-SA"/>
        </w:rPr>
        <w:cr/>
      </w:r>
    </w:p>
    <w:p>
      <w:pPr>
        <w:keepNext/>
        <w:spacing w:before="240" w:line="340" w:lineRule="atLeast"/>
        <w:rPr>
          <w:rFonts w:ascii="arial" w:eastAsia="arial" w:hAnsi="arial" w:cs="arial"/>
          <w:sz w:val="20"/>
          <w:lang w:val="en-US" w:eastAsia="en-US" w:bidi="ar-SA"/>
        </w:rPr>
      </w:pPr>
      <w:bookmarkStart w:id="187" w:name="Counsel_27"/>
      <w:bookmarkEnd w:id="187"/>
      <w:r>
        <w:rPr>
          <w:rFonts w:ascii="arial" w:eastAsia="arial" w:hAnsi="arial" w:cs="arial"/>
          <w:b/>
          <w:color w:val="000000"/>
          <w:sz w:val="28"/>
          <w:lang w:val="en-US" w:eastAsia="en-US" w:bidi="ar-SA"/>
        </w:rPr>
        <w:t>Counsel</w:t>
      </w:r>
    </w:p>
    <w:p>
      <w:pPr>
        <w:spacing w:line="60" w:lineRule="exact"/>
        <w:rPr>
          <w:rFonts w:ascii="arial" w:eastAsia="arial" w:hAnsi="arial" w:cs="arial"/>
          <w:sz w:val="20"/>
          <w:lang w:val="en-US" w:eastAsia="en-US" w:bidi="ar-SA"/>
        </w:rPr>
      </w:pPr>
      <w:r>
        <w:pict>
          <v:line id="_x0000_s1168" style="position:absolute;z-index:251790336"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Counsel for Plaintiff: T.L. Spraggs and O.L. Wilson.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Counsel for Defendant: E.P. Morris.</w:t>
      </w:r>
      <w:r>
        <w:rPr>
          <w:rFonts w:ascii="arial" w:eastAsia="arial" w:hAnsi="arial" w:cs="arial"/>
          <w:sz w:val="20"/>
          <w:lang w:val="en-US" w:eastAsia="en-US" w:bidi="ar-SA"/>
        </w:rPr>
        <w:cr/>
      </w:r>
    </w:p>
    <w:p>
      <w:pPr>
        <w:spacing w:after="240"/>
        <w:rPr>
          <w:rFonts w:ascii="arial" w:eastAsia="arial" w:hAnsi="arial" w:cs="arial"/>
          <w:sz w:val="20"/>
          <w:lang w:val="en-US" w:eastAsia="en-US" w:bidi="ar-SA"/>
        </w:rPr>
      </w:pPr>
      <w:bookmarkStart w:id="188" w:name="Judgment_28"/>
      <w:bookmarkEnd w:id="188"/>
      <w:r>
        <w:pict>
          <v:line id="_x0000_s1169" style="position:absolute;z-index:251839488" from="0,12pt" to="512pt,12pt" strokecolor="#009ddb" strokeweight="1.5pt">
            <v:stroke linestyle="single"/>
          </v:line>
        </w:pict>
      </w:r>
    </w:p>
    <w:p>
      <w:pPr>
        <w:spacing w:before="120" w:line="260" w:lineRule="atLeast"/>
        <w:jc w:val="center"/>
        <w:rPr>
          <w:rFonts w:ascii="arial" w:eastAsia="arial" w:hAnsi="arial" w:cs="arial"/>
          <w:sz w:val="20"/>
          <w:lang w:val="en-US" w:eastAsia="en-US" w:bidi="ar-SA"/>
        </w:rPr>
      </w:pPr>
      <w:r>
        <w:rPr>
          <w:rFonts w:ascii="arial" w:eastAsia="arial" w:hAnsi="arial" w:cs="arial"/>
          <w:b/>
          <w:color w:val="000000"/>
          <w:sz w:val="20"/>
          <w:lang w:val="en-US" w:eastAsia="en-US" w:bidi="ar-SA"/>
        </w:rPr>
        <w:t>Reasons for Judgment</w:t>
      </w:r>
      <w:r>
        <w:rPr>
          <w:rFonts w:ascii="arial" w:eastAsia="arial" w:hAnsi="arial" w:cs="arial"/>
          <w:sz w:val="20"/>
          <w:lang w:val="en-US" w:eastAsia="en-US" w:bidi="ar-SA"/>
        </w:rPr>
        <w:cr/>
      </w:r>
    </w:p>
    <w:p>
      <w:pPr>
        <w:rPr>
          <w:rFonts w:ascii="arial" w:eastAsia="arial" w:hAnsi="arial" w:cs="arial"/>
          <w:sz w:val="20"/>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2187"/>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rFonts w:ascii="arial" w:eastAsia="arial" w:hAnsi="arial" w:cs="arial"/>
                <w:sz w:val="20"/>
                <w:lang w:val="en-US" w:eastAsia="en-US" w:bidi="ar-SA"/>
              </w:rPr>
            </w:pPr>
            <w:bookmarkStart w:id="189" w:name="D.J. DARDI J."/>
            <w:bookmarkEnd w:id="189"/>
            <w:r>
              <w:rPr>
                <w:rFonts w:ascii="arial" w:eastAsia="arial" w:hAnsi="arial" w:cs="arial"/>
                <w:b/>
                <w:color w:val="000000"/>
                <w:sz w:val="30"/>
                <w:lang w:val="en-US" w:eastAsia="en-US" w:bidi="ar-SA"/>
              </w:rPr>
              <w:t>D.J. DARDI J.</w:t>
            </w:r>
          </w:p>
        </w:tc>
      </w:tr>
    </w:tbl>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INTRODUCTION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The plaintiff, Mr. Noriega, claims damages for personal injuries sustained in a motor vehicle accident on November 26, 2005. The defendant, Mr. Lewars, disputes both liability and the amount of damages claimed.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The plaintiff contends that as a result of the accident, he suffered soft-tissue injuries to his neck, shoulders, and upper back. In consequence, he says, he was forced to leave his job for less remunerative work. He claims damages for pain and suffering, past income loss, loss of housekeeping capacity, impairment of future income earning capacity, cost of future care, and special 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ISSUES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The issues for determination are:</w:t>
      </w:r>
      <w:r>
        <w:rPr>
          <w:rFonts w:ascii="arial" w:eastAsia="arial" w:hAnsi="arial" w:cs="arial"/>
          <w:sz w:val="20"/>
          <w:lang w:val="en-US" w:eastAsia="en-US" w:bidi="ar-SA"/>
        </w:rPr>
        <w:cr/>
      </w:r>
    </w:p>
    <w:p>
      <w:pPr>
        <w:numPr>
          <w:numId w:val="10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Liability; and</w:t>
      </w:r>
    </w:p>
    <w:p>
      <w:pPr>
        <w:numPr>
          <w:numId w:val="10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Entitlement to and quantum of 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PRE-ACCIDENT BACKGROUND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The plaintiff was 27 years old at the time of the trial. He has a high school diploma and attended two years at Douglas College. He was working at Federal Express in Burnaby as a courier at the time of the accident. He was healthy prior to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u w:val="single"/>
          <w:lang w:val="en-US" w:eastAsia="en-US" w:bidi="ar-SA"/>
        </w:rPr>
        <w:t>Plaintiff's Evidence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The accident occurred at the intersection of Hastings Street and Willingdon Avenue in Burnaby on November 26, 2005. The plaintiff was driving westbound on Hastings Street, travelling from his home in Coquitlam to his workplace in Burnaby. He was driving a 2002 Chevrolet Cavalier Coupe. The accident occurred at around 10:30 a.m. The weather was clear and sunny. The plaintiff was planning to stop at Brentwood Town Centre to meet his friend, Mr. Bains, for coffee before they started their shift. There were no mechanical problems with the vehicle. The plaintiff was wearing his seatbelt, which had both regular lap and shoulder belt. His seat had a head rest that was adjusted to his proper height.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The plaintiff testified that the collision occurred as he was making a left turn from Hastings onto Willingdon. There are three lanes on Hastings going both east and west, plus a designated left-turn lane. On Willingdon, there are two lanes in each direction. There was a car in front of Mr. Noriega (the "Front Car"), which made a left turn. The light was yellow when the Front Car entered the intersection. At the time, there was no other traffic travelling through the intersection, and the eastbound traffic on Hastings had stopped. The plaintiff checked the intersection to make sure traffic moving in the opposite direction had stopped and then he proceeded to make a left turn.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As the plaintiff was completing his left turn onto Willingdon, he saw the light turn from yellow to red. At that time his vehicle was already on Willingdon; his front wheels crossing over the pedestrian crosswalk which ran east to west across Willingdon. A red car in the right lane travelling eastbound on Hastings, driven by the defendant, collided with the rear passenger side of his vehicle. The light was red when the defendant's vehicle hit the plaintiff's vehicle. At the moment of impact, the plaintiff was looking to the right because in his peripheral vision he had seen the red car moving quickly. The plaintiff wanted to accelerate to avoid the red car, but the Front Car turning in front of him had already slowed down and there was nowhere for him to go.</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The plaintiff did honk his horn but did not put on the brakes. If he had done so, he likely would have been hit on the front side of his car. He did not hear any screeching of tires prior to the impact. On impact, his left arm hit the inside of the driver-side door and his head tilted to the right. Immediately after the collision, he was "in mild shock but didn't notice any pain." The defendant's vehicle was in the right lane closest to the curb. The front bumper had come off the defendant's vehicle from the force of the impact. The plaintiff's vehicle sustained damage to the rear-passenger side. The cost of repairs to the plaintiff's vehicle was $4,500.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The plaintiff pulled over to the curb-lane of Willingdon. He rolled down his car window and saw the driver of the other vehicle approaching. The defendant asked the plaintiff if he was okay and the defendant said he was sorry and that he was running a little late. The defendant left the scene shortly thereafter.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Emergency services, both the fire department and the paramedics, attended the scene of the accident but they left after speaking to both the parties. The plaintiff called his friend, Mr. Bains, who then attended at the scene. The plaintiff drove his own vehicle to his workplace.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u w:val="single"/>
          <w:lang w:val="en-US" w:eastAsia="en-US" w:bidi="ar-SA"/>
        </w:rPr>
        <w:t>Defendant's Evidence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The defendant, who was driving a 1991 red Cavalier vehicle, testified that at the time of the accident, he was travelling from North Vancouver to his son's soccer game and that he was travelling at approximately the speed limit of 50 kilometres per hour. He was travelling eastbound in the right-hand through lane. He testified that just as he was coming up to the mouth of the intersection, the light turned yellow a car-length or two before he reached the intersection. He considered braking but did not want to jar his seven year-old son who was in his vehicle at the time.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In direct examination, the defendant testified that when he entered the intersection, a vehicle in the left-turning lane on the westbound, opposite side, had already initiated a left-turn on the yellow light. That car turned safely in front of him on the yellow light. When he saw the first vehicle turning left, he "might have" depressed his brakes, an instantaneous depression, and taken "5 miles or so" off his speed to avert "any crowding" in what he described as a big intersection. According to the defendant, "it looked like there was room" and the defendant was "timing" and "precalculating things" in his head. The defendant testified that when he was in approximately the middle of the intersection, the plaintiff accelerated as if to close the gap between himself and the turning car turning left in front of him; he accelerated to make a fast turn from virtually a stopped position in the turning lane. The defendant did not anticipate the plaintiff's vehicle would follow the first left-turning vehicle through the intersection.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The defendant then found himself looking eye-to-eye with the plaintiff and realized the accident was inevitable. He swerved to avoid a head-on collision. The light turned red a split-second before the impact.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The defendant pulled his vehicle over and walked toward and spoke to the plaintiff who did not appear to be injured. He testified that he did not apologize to the plaintiff. He left the scene after exchanging information with the plaintiff.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THE PLAINTIFF'S POST-ACCIDENT CONDITION AND INJURY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w:t>
      </w:r>
      <w:r>
        <w:rPr>
          <w:rFonts w:ascii="arial" w:eastAsia="arial" w:hAnsi="arial" w:cs="arial"/>
          <w:color w:val="000000"/>
          <w:sz w:val="20"/>
          <w:lang w:val="en-US" w:eastAsia="en-US" w:bidi="ar-SA"/>
        </w:rPr>
        <w:t>  The plaintiff claims he suffered injury to his neck and shoulder and that he sought treatment from his doctors and physiotherapists to deal with the pain.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w:t>
      </w:r>
      <w:r>
        <w:rPr>
          <w:rFonts w:ascii="arial" w:eastAsia="arial" w:hAnsi="arial" w:cs="arial"/>
          <w:color w:val="000000"/>
          <w:sz w:val="20"/>
          <w:lang w:val="en-US" w:eastAsia="en-US" w:bidi="ar-SA"/>
        </w:rPr>
        <w:t>  The plaintiff was initially in shock following the collision, with pain developing later that day. He saw his family doctor on November 26, 2005. The next day he started to develop left-sided neck pain, as well as some pain in behind the left shoulder blade, trapezius, and in the muscles in the front of his upper neck.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w:t>
      </w:r>
      <w:r>
        <w:rPr>
          <w:rFonts w:ascii="arial" w:eastAsia="arial" w:hAnsi="arial" w:cs="arial"/>
          <w:color w:val="000000"/>
          <w:sz w:val="20"/>
          <w:lang w:val="en-US" w:eastAsia="en-US" w:bidi="ar-SA"/>
        </w:rPr>
        <w:t>  The plaintiff saw his new family doctor, Dr. David Steinson, on November 29, 2005. On examination, the plaintiff demonstrated "palpatory tenderness to the left rhomboid, left trapezius muscles, cervical muscles bilaterally, and left sternocleidomastoid muscle", and "examination of the cervical spine demonstrated pain with flexion and extension, as well as left rotation." The plaintiff had a decreased range-of-motion with respect to left rotation. Dr. Steinson recommended that the plaintiff take a week off work and that he commence physiotherapy.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w:t>
      </w:r>
      <w:r>
        <w:rPr>
          <w:rFonts w:ascii="arial" w:eastAsia="arial" w:hAnsi="arial" w:cs="arial"/>
          <w:color w:val="000000"/>
          <w:sz w:val="20"/>
          <w:lang w:val="en-US" w:eastAsia="en-US" w:bidi="ar-SA"/>
        </w:rPr>
        <w:t>  The plaintiff was next seen by Dr. Steinson on December 8, 2005. The plaintiff had been attending physiotherapy sessions and was doing some light stretching and exercises. Examination demonstrated palpatory tenderness in his left shoulder and neck. Dr. Steinson advised him to continue physiotherapy and to resume his usual duties at work.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w:t>
      </w:r>
      <w:r>
        <w:rPr>
          <w:rFonts w:ascii="arial" w:eastAsia="arial" w:hAnsi="arial" w:cs="arial"/>
          <w:color w:val="000000"/>
          <w:sz w:val="20"/>
          <w:lang w:val="en-US" w:eastAsia="en-US" w:bidi="ar-SA"/>
        </w:rPr>
        <w:t>  The plaintiff returned to work on December 12, 2005. He then saw Dr. Steinson on December 14, 2005. He was continuing to attend physiotherapy. He had ongoing pain and stiffness into his shoulder and neck on the left side, which was worse after working.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w:t>
      </w:r>
      <w:r>
        <w:rPr>
          <w:rFonts w:ascii="arial" w:eastAsia="arial" w:hAnsi="arial" w:cs="arial"/>
          <w:color w:val="000000"/>
          <w:sz w:val="20"/>
          <w:lang w:val="en-US" w:eastAsia="en-US" w:bidi="ar-SA"/>
        </w:rPr>
        <w:t>  The plaintiff saw Dr. Steinson next on January 6, 2006, by which time he had attended eight sessions of physiotherapy and his condition had improved. He was now sleeping fairly regularly and working full-time. He had ongoing shoulder and neck stiffness on his left side, as well as a significant increase in fatigue after work. The doctor's examination showed palpatory tenderness to the left trapezius muscle and the left rhomboid muscles into the cervical spine. He had some stiffness of his neck with flexion, extension, and rotation.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w:t>
      </w:r>
      <w:r>
        <w:rPr>
          <w:rFonts w:ascii="arial" w:eastAsia="arial" w:hAnsi="arial" w:cs="arial"/>
          <w:color w:val="000000"/>
          <w:sz w:val="20"/>
          <w:lang w:val="en-US" w:eastAsia="en-US" w:bidi="ar-SA"/>
        </w:rPr>
        <w:t>  The plaintiff attended approximately twelve sessions of physiotherapy in total, which sessions were paid for by the Insurance Corporation of British Columbia.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w:t>
      </w:r>
      <w:r>
        <w:rPr>
          <w:rFonts w:ascii="arial" w:eastAsia="arial" w:hAnsi="arial" w:cs="arial"/>
          <w:color w:val="000000"/>
          <w:sz w:val="20"/>
          <w:lang w:val="en-US" w:eastAsia="en-US" w:bidi="ar-SA"/>
        </w:rPr>
        <w:t>  On June 28, 2006, the plaintiff saw Dr. Steinson's colleague, Dr. Wong, for a flare-up of the pain in the left side of his neck and into his left shoulder, which the plaintiff attributed to shoulder-checking while driving as a courier. Upon examination, Dr. Wong found tender trapezius muscles and left upper neck muscles. Dr. Wong recommended the plaintiff re-start physiotherapy and prescribed an anti-inflammatory medication.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w:t>
      </w:r>
      <w:r>
        <w:rPr>
          <w:rFonts w:ascii="arial" w:eastAsia="arial" w:hAnsi="arial" w:cs="arial"/>
          <w:color w:val="000000"/>
          <w:sz w:val="20"/>
          <w:lang w:val="en-US" w:eastAsia="en-US" w:bidi="ar-SA"/>
        </w:rPr>
        <w:t>  In July 2006, the plaintiff suffered a work-related back injury after which he never resumed working as a courier.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w:t>
      </w:r>
      <w:r>
        <w:rPr>
          <w:rFonts w:ascii="arial" w:eastAsia="arial" w:hAnsi="arial" w:cs="arial"/>
          <w:color w:val="000000"/>
          <w:sz w:val="20"/>
          <w:lang w:val="en-US" w:eastAsia="en-US" w:bidi="ar-SA"/>
        </w:rPr>
        <w:t>  By July 31, 2007, the plaintiff was still experiencing neck pain, although it was not daily. His neck had improved after he ceased working as a courier in 2006. He continued to ice his neck and received home-based massage treatments. He was experiencing very occasional headaches associated with his neck pain. Upon examination he had some ongoing palpatory tenderness to the left trapezius and left cervical muscles. He had a full range of motion.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w:t>
      </w:r>
      <w:r>
        <w:rPr>
          <w:rFonts w:ascii="arial" w:eastAsia="arial" w:hAnsi="arial" w:cs="arial"/>
          <w:color w:val="000000"/>
          <w:sz w:val="20"/>
          <w:lang w:val="en-US" w:eastAsia="en-US" w:bidi="ar-SA"/>
        </w:rPr>
        <w:t>  The plaintiff next saw Dr. Steinson on November 20, 2007 because he was experiencing pain in the left neck and trapezius three or four times a week. The pain worsened when he had to do extra driving or shoulder-checking. Examination demonstrated that he had trapezius muscle pain with the possibility of a trigger-point in his left trapezius muscle. The doctor recommended massage therapy or acupuncture.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w:t>
      </w:r>
      <w:r>
        <w:rPr>
          <w:rFonts w:ascii="arial" w:eastAsia="arial" w:hAnsi="arial" w:cs="arial"/>
          <w:color w:val="000000"/>
          <w:sz w:val="20"/>
          <w:lang w:val="en-US" w:eastAsia="en-US" w:bidi="ar-SA"/>
        </w:rPr>
        <w:t>  On April 25, 2008, the plaintiff saw Dr. Steinson for ongoing neck and upper back pain and stiffness. Dr. Steinson recommended acupuncture and they discussed an ongoing exercise program. The plaintiff attended acupuncture in May 2008 and testified that the treatments were helpful and provided him with some relief.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w:t>
      </w:r>
      <w:r>
        <w:rPr>
          <w:rFonts w:ascii="arial" w:eastAsia="arial" w:hAnsi="arial" w:cs="arial"/>
          <w:color w:val="000000"/>
          <w:sz w:val="20"/>
          <w:lang w:val="en-US" w:eastAsia="en-US" w:bidi="ar-SA"/>
        </w:rPr>
        <w:t>  Dr. Steinson examined the plaintiff on July 18, 2008 and testified that on palpation the plaintiff had pain in his left neck and shoulder muscles. He had a causative trigger-point which is consistent with myofascial pain. He had some pain into his upper back with full flexion. Further, he demonstrated diminished left rotation of his neck and diminished right lateral flexion of the neck.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w:t>
      </w:r>
      <w:r>
        <w:rPr>
          <w:rFonts w:ascii="arial" w:eastAsia="arial" w:hAnsi="arial" w:cs="arial"/>
          <w:color w:val="000000"/>
          <w:sz w:val="20"/>
          <w:lang w:val="en-US" w:eastAsia="en-US" w:bidi="ar-SA"/>
        </w:rPr>
        <w:t>  Dr. Steinson provided an expert opinion dated May 22, 2008 stating that the plaintiff had developed myofascial pain syndrome involving the left side of his neck and trapezius and that this pain is directly related to his motor vehicle accident on November 26, 2005. Consequently, the plaintiff continues to experience episodic, although fairly regular and consistent, left-sided neck and trapezius muscle pain, which pain is aggravated by activities such as shoulder-checking. Dr. Steinson's prognosis for the plaintiff is set out in his report as follows: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 believe that he should be treated on an ongoing basis with as needed massage therapy or acupuncture with flare-ups, as well as he needs to be involved in a structured ongoing exercise program which incorporates aerobic activity as well as stretching and strengthening exercises to try to rehabilitate his injuries. At this time he cannot work in a job which requires a great deal of driving. I would also think that he probably would have to avoid occupations which require a lot of lifting, or shoulder checking as this may exacerbate his symptoms.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It is hard to know what the future holds for Mr. Noriega with respect to his ongoing episodic symptoms. It is possible that he will have ongoing episodic pain in the left trapezius and the left side of his neck for a prolonged period of time. I am hopeful that with his structured exercise program that incorporates aerobic exercise as well as stretching and strengthening work that given time his symptoms will continue to slowly improve as they have done since the time of the motor vehicle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w:t>
      </w:r>
      <w:r>
        <w:rPr>
          <w:rFonts w:ascii="arial" w:eastAsia="arial" w:hAnsi="arial" w:cs="arial"/>
          <w:color w:val="000000"/>
          <w:sz w:val="20"/>
          <w:lang w:val="en-US" w:eastAsia="en-US" w:bidi="ar-SA"/>
        </w:rPr>
        <w:t>  The defendant did not tender any expert medical evidence of the plaintiff's condition. It is the defendant's position that the plaintiff suffered at most a mild to moderate soft-tissue injury to his neck and shoulders, which had substantially resolved by January 2006, two months post-accident, with one purported flare-up after that time.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w:t>
      </w:r>
      <w:r>
        <w:rPr>
          <w:rFonts w:ascii="arial" w:eastAsia="arial" w:hAnsi="arial" w:cs="arial"/>
          <w:color w:val="000000"/>
          <w:sz w:val="20"/>
          <w:lang w:val="en-US" w:eastAsia="en-US" w:bidi="ar-SA"/>
        </w:rPr>
        <w:t>  The defendant submits that the plaintiff continued to drive as a courier after December 2005, and the fact that the plaintiff cancelled his last physiotherapy session on January 17, 2006 and did not seek an extension of physiotherapy treatments is consistent with there not being any ongoing complaint of accident-related injury after January 2006. The defendant also points to the fact that, although the plaintiff reported a flare-up of his neck problems to Dr. Wong in June 2006, there was no evidence that he re-started his physiotherapy treatments. Further, the plaintiff did not visit his doctor regarding his neck and shoulder until a year later, on July 31, 2007. The defendant notes that when the plaintiff saw Dr. Steinson for other unrelated medical issues in the intervening period, there was no record of any reporting of the plaintiff's symptoms regarding his neck and shoulder.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w:t>
      </w:r>
      <w:r>
        <w:rPr>
          <w:rFonts w:ascii="arial" w:eastAsia="arial" w:hAnsi="arial" w:cs="arial"/>
          <w:color w:val="000000"/>
          <w:sz w:val="20"/>
          <w:lang w:val="en-US" w:eastAsia="en-US" w:bidi="ar-SA"/>
        </w:rPr>
        <w:t>  The defendant points to the evidence that, at the plaintiff's next visit with Dr. Steinson in November 2007, he complained about pain three or four times a week, exacerbated by "extra driving and shoulder-checking" even though he had not worked as a courier for over a year at that point. Further, despite Dr. Steinson's recommendation, the plaintiff did not seek massage or acupuncture treatment until May 2008.</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w:t>
      </w:r>
      <w:r>
        <w:rPr>
          <w:rFonts w:ascii="arial" w:eastAsia="arial" w:hAnsi="arial" w:cs="arial"/>
          <w:color w:val="000000"/>
          <w:sz w:val="20"/>
          <w:lang w:val="en-US" w:eastAsia="en-US" w:bidi="ar-SA"/>
        </w:rPr>
        <w:t>  The defendant submits that, at best, this is evidence of the plaintiff's failure to mitigate and, at worse, the over-reporting of an accident-related injury. The defendant further submits that while the plaintiff has indicated a lack of funds as a reason for his failure to pursue treatment, he adduced no evidence of any efforts to obtain approval for further treatment.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DISCUSSION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LIABILITY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w:t>
      </w:r>
      <w:r>
        <w:rPr>
          <w:rFonts w:ascii="arial" w:eastAsia="arial" w:hAnsi="arial" w:cs="arial"/>
          <w:color w:val="000000"/>
          <w:sz w:val="20"/>
          <w:lang w:val="en-US" w:eastAsia="en-US" w:bidi="ar-SA"/>
        </w:rPr>
        <w:t>  The plaintiff submits that the defendant is liable for the accident. The defendant submits that the plaintiff is 100% responsible for the accident and in the alternative, if liability is to be apportioned, it should be 75/25% in favour of the defendant.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34</w:t>
      </w:r>
      <w:r>
        <w:rPr>
          <w:rFonts w:ascii="arial" w:eastAsia="arial" w:hAnsi="arial" w:cs="arial"/>
          <w:color w:val="000000"/>
          <w:sz w:val="20"/>
          <w:lang w:val="en-US" w:eastAsia="en-US" w:bidi="ar-SA"/>
        </w:rPr>
        <w:t xml:space="preserve">  Section 174 of the </w:t>
      </w:r>
      <w:r>
        <w:rPr>
          <w:rFonts w:ascii="arial" w:eastAsia="arial" w:hAnsi="arial" w:cs="arial"/>
          <w:b/>
          <w:i/>
          <w:color w:val="000000"/>
          <w:sz w:val="20"/>
          <w:lang w:val="en-US" w:eastAsia="en-US" w:bidi="ar-SA"/>
        </w:rPr>
        <w:t>Motor Vehicle Act</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R.S.B.C. 1996, c. 318</w:t>
      </w:r>
      <w:r>
        <w:rPr>
          <w:rFonts w:ascii="arial" w:eastAsia="arial" w:hAnsi="arial" w:cs="arial"/>
          <w:color w:val="000000"/>
          <w:sz w:val="20"/>
          <w:lang w:val="en-US" w:eastAsia="en-US" w:bidi="ar-SA"/>
        </w:rPr>
        <w:t xml:space="preserve"> [</w:t>
      </w:r>
      <w:r>
        <w:rPr>
          <w:rFonts w:ascii="arial" w:eastAsia="arial" w:hAnsi="arial" w:cs="arial"/>
          <w:b/>
          <w:i/>
          <w:color w:val="000000"/>
          <w:sz w:val="20"/>
          <w:lang w:val="en-US" w:eastAsia="en-US" w:bidi="ar-SA"/>
        </w:rPr>
        <w:t>MVA</w:t>
      </w:r>
      <w:r>
        <w:rPr>
          <w:rFonts w:ascii="arial" w:eastAsia="arial" w:hAnsi="arial" w:cs="arial"/>
          <w:color w:val="000000"/>
          <w:sz w:val="20"/>
          <w:lang w:val="en-US" w:eastAsia="en-US" w:bidi="ar-SA"/>
        </w:rPr>
        <w:t>], governs the right-of-way in situations where a driver is making a left turn:</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When a vehicle is in an intersection and its driver intends to turn left, the driver must yield the right of way to traffic approaching from the opposite direction that is in the intersection or so close as to constitute an immediate hazard, but having yielded and given a signal as required by sections 171 and 172, the driver may turn the vehicle to the left, and traffic approaching the intersection from the opposite direction must yield the right of way to the vehicle making the left turn.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35</w:t>
      </w:r>
      <w:r>
        <w:rPr>
          <w:rFonts w:ascii="arial" w:eastAsia="arial" w:hAnsi="arial" w:cs="arial"/>
          <w:color w:val="000000"/>
          <w:sz w:val="20"/>
          <w:lang w:val="en-US" w:eastAsia="en-US" w:bidi="ar-SA"/>
        </w:rPr>
        <w:t xml:space="preserve">  An immediate hazard exists if the oncoming vehicle must make a sudden or violent avoiding action to prevent a collision: </w:t>
      </w:r>
      <w:r>
        <w:rPr>
          <w:rFonts w:ascii="arial" w:eastAsia="arial" w:hAnsi="arial" w:cs="arial"/>
          <w:b/>
          <w:i/>
          <w:color w:val="000000"/>
          <w:sz w:val="20"/>
          <w:lang w:val="en-US" w:eastAsia="en-US" w:bidi="ar-SA"/>
        </w:rPr>
        <w:t>Aerabi-Boosheri v. Retallick</w:t>
      </w:r>
      <w:r>
        <w:rPr>
          <w:rFonts w:ascii="arial" w:eastAsia="arial" w:hAnsi="arial" w:cs="arial"/>
          <w:color w:val="000000"/>
          <w:sz w:val="20"/>
          <w:lang w:val="en-US" w:eastAsia="en-US" w:bidi="ar-SA"/>
        </w:rPr>
        <w:t xml:space="preserve">, </w:t>
      </w:r>
      <w:hyperlink r:id="rId576" w:history="1">
        <w:r>
          <w:rPr>
            <w:rFonts w:ascii="arial" w:eastAsia="arial" w:hAnsi="arial" w:cs="arial"/>
            <w:i/>
            <w:color w:val="0077CC"/>
            <w:sz w:val="20"/>
            <w:u w:val="single"/>
            <w:shd w:val="clear" w:color="auto" w:fill="FFFFFF"/>
            <w:lang w:val="en-US" w:eastAsia="en-US" w:bidi="ar-SA"/>
          </w:rPr>
          <w:t>[1996] B.C.J. No. 143</w:t>
        </w:r>
      </w:hyperlink>
      <w:r>
        <w:rPr>
          <w:rFonts w:ascii="arial" w:eastAsia="arial" w:hAnsi="arial" w:cs="arial"/>
          <w:color w:val="000000"/>
          <w:sz w:val="20"/>
          <w:lang w:val="en-US" w:eastAsia="en-US" w:bidi="ar-SA"/>
        </w:rPr>
        <w:t xml:space="preserve"> at para. 8.</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36</w:t>
      </w:r>
      <w:r>
        <w:rPr>
          <w:rFonts w:ascii="arial" w:eastAsia="arial" w:hAnsi="arial" w:cs="arial"/>
          <w:color w:val="000000"/>
          <w:sz w:val="20"/>
          <w:lang w:val="en-US" w:eastAsia="en-US" w:bidi="ar-SA"/>
        </w:rPr>
        <w:t xml:space="preserve">  Section 128 of the </w:t>
      </w:r>
      <w:r>
        <w:rPr>
          <w:rFonts w:ascii="arial" w:eastAsia="arial" w:hAnsi="arial" w:cs="arial"/>
          <w:b/>
          <w:i/>
          <w:color w:val="000000"/>
          <w:sz w:val="20"/>
          <w:lang w:val="en-US" w:eastAsia="en-US" w:bidi="ar-SA"/>
        </w:rPr>
        <w:t>MVA</w:t>
      </w:r>
      <w:r>
        <w:rPr>
          <w:rFonts w:ascii="arial" w:eastAsia="arial" w:hAnsi="arial" w:cs="arial"/>
          <w:color w:val="000000"/>
          <w:sz w:val="20"/>
          <w:lang w:val="en-US" w:eastAsia="en-US" w:bidi="ar-SA"/>
        </w:rPr>
        <w:t xml:space="preserve"> governs the duties of drivers when a traffic light turns yellow. It states, as far as is relevant, as follows: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128(1) When a yellow light alone is exhibited at an intersection by a traffic control signal, following the exhibition of a green light,</w:t>
      </w:r>
    </w:p>
    <w:p>
      <w:pPr>
        <w:numPr>
          <w:numId w:val="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driver of a vehicle approaching the intersection and facing the yellow light must cause it to stop before entering the marked crosswalk on the near side of the intersection, or if there is no marked crosswalk, before entering the intersection, unless the stop cannot be made in safety ...</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37</w:t>
      </w:r>
      <w:r>
        <w:rPr>
          <w:rFonts w:ascii="arial" w:eastAsia="arial" w:hAnsi="arial" w:cs="arial"/>
          <w:color w:val="000000"/>
          <w:sz w:val="20"/>
          <w:lang w:val="en-US" w:eastAsia="en-US" w:bidi="ar-SA"/>
        </w:rPr>
        <w:t xml:space="preserve">  Who has the statutory right-of-way is informative; however, it does not determine liability in an accident. Drivers with the statutory right-of-way must still exercise caution to avoid accidents where possible. In </w:t>
      </w:r>
      <w:r>
        <w:rPr>
          <w:rFonts w:ascii="arial" w:eastAsia="arial" w:hAnsi="arial" w:cs="arial"/>
          <w:b/>
          <w:i/>
          <w:color w:val="000000"/>
          <w:sz w:val="20"/>
          <w:lang w:val="en-US" w:eastAsia="en-US" w:bidi="ar-SA"/>
        </w:rPr>
        <w:t>Walker v. Brownlee</w:t>
      </w:r>
      <w:r>
        <w:rPr>
          <w:rFonts w:ascii="arial" w:eastAsia="arial" w:hAnsi="arial" w:cs="arial"/>
          <w:color w:val="000000"/>
          <w:sz w:val="20"/>
          <w:lang w:val="en-US" w:eastAsia="en-US" w:bidi="ar-SA"/>
        </w:rPr>
        <w:t xml:space="preserve">, </w:t>
      </w:r>
      <w:hyperlink r:id="rId577" w:history="1">
        <w:r>
          <w:rPr>
            <w:rFonts w:ascii="arial" w:eastAsia="arial" w:hAnsi="arial" w:cs="arial"/>
            <w:i/>
            <w:color w:val="0077CC"/>
            <w:sz w:val="20"/>
            <w:u w:val="single"/>
            <w:shd w:val="clear" w:color="auto" w:fill="FFFFFF"/>
            <w:lang w:val="en-US" w:eastAsia="en-US" w:bidi="ar-SA"/>
          </w:rPr>
          <w:t>[1952] 2 D.L.R. 450</w:t>
        </w:r>
      </w:hyperlink>
      <w:r>
        <w:rPr>
          <w:rFonts w:ascii="arial" w:eastAsia="arial" w:hAnsi="arial" w:cs="arial"/>
          <w:color w:val="000000"/>
          <w:sz w:val="20"/>
          <w:lang w:val="en-US" w:eastAsia="en-US" w:bidi="ar-SA"/>
        </w:rPr>
        <w:t>, Cartwright J. states at paras. 46-47:</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[46] The duty of a driver having the statutory right-of-way has been discussed in many cases. In my opinion it is stated briefly and accurately in the following passage in the judgment of Aylesworth J.A., concurred in by Robertson C.J.O., in </w:t>
      </w:r>
      <w:r>
        <w:rPr>
          <w:rFonts w:ascii="arial" w:eastAsia="arial" w:hAnsi="arial" w:cs="arial"/>
          <w:i/>
          <w:color w:val="000000"/>
          <w:sz w:val="20"/>
          <w:lang w:val="en-US" w:eastAsia="en-US" w:bidi="ar-SA"/>
        </w:rPr>
        <w:t>Woodward v. Harris</w:t>
      </w:r>
      <w:r>
        <w:rPr>
          <w:rFonts w:ascii="arial" w:eastAsia="arial" w:hAnsi="arial" w:cs="arial"/>
          <w:color w:val="000000"/>
          <w:sz w:val="20"/>
          <w:lang w:val="en-US" w:eastAsia="en-US" w:bidi="ar-SA"/>
        </w:rPr>
        <w:t xml:space="preserve">, </w:t>
      </w:r>
      <w:hyperlink r:id="rId578" w:history="1">
        <w:r>
          <w:rPr>
            <w:rFonts w:ascii="arial" w:eastAsia="arial" w:hAnsi="arial" w:cs="arial"/>
            <w:i/>
            <w:color w:val="0077CC"/>
            <w:sz w:val="20"/>
            <w:u w:val="single"/>
            <w:shd w:val="clear" w:color="auto" w:fill="FFFFFF"/>
            <w:lang w:val="en-US" w:eastAsia="en-US" w:bidi="ar-SA"/>
          </w:rPr>
          <w:t>[1951] O.W.N. 221</w:t>
        </w:r>
      </w:hyperlink>
      <w:r>
        <w:rPr>
          <w:rFonts w:ascii="arial" w:eastAsia="arial" w:hAnsi="arial" w:cs="arial"/>
          <w:color w:val="000000"/>
          <w:sz w:val="20"/>
          <w:lang w:val="en-US" w:eastAsia="en-US" w:bidi="ar-SA"/>
        </w:rPr>
        <w:t xml:space="preserve"> at p. 223: "Authority is not required in support of the principle that a driver entering an intersection, even although he has the right of way, is bound to act so as to avoid a collision if reasonable care on his part will prevent it. To put it another way: he ought not to exercise his right of way if the circumstances are such that the result of his so doing will be a collision which he reasonably should have foreseen and avoided."</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[47] While the judgment of the Court of Appeal in that case was set aside and a new trial ordered [ </w:t>
      </w:r>
      <w:hyperlink r:id="rId579" w:history="1">
        <w:r>
          <w:rPr>
            <w:rFonts w:ascii="arial" w:eastAsia="arial" w:hAnsi="arial" w:cs="arial"/>
            <w:i/>
            <w:color w:val="0077CC"/>
            <w:sz w:val="20"/>
            <w:u w:val="single"/>
            <w:shd w:val="clear" w:color="auto" w:fill="FFFFFF"/>
            <w:lang w:val="en-US" w:eastAsia="en-US" w:bidi="ar-SA"/>
          </w:rPr>
          <w:t>[1952] 1 D.L.R. 82</w:t>
        </w:r>
      </w:hyperlink>
      <w:r>
        <w:rPr>
          <w:rFonts w:ascii="arial" w:eastAsia="arial" w:hAnsi="arial" w:cs="arial"/>
          <w:color w:val="000000"/>
          <w:sz w:val="20"/>
          <w:lang w:val="en-US" w:eastAsia="en-US" w:bidi="ar-SA"/>
        </w:rPr>
        <w:t>] there is nothing said in the judgments delivered in this Court to throw any doubt on the accuracy of the statement quoted.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38</w:t>
      </w:r>
      <w:r>
        <w:rPr>
          <w:rFonts w:ascii="arial" w:eastAsia="arial" w:hAnsi="arial" w:cs="arial"/>
          <w:color w:val="000000"/>
          <w:sz w:val="20"/>
          <w:lang w:val="en-US" w:eastAsia="en-US" w:bidi="ar-SA"/>
        </w:rPr>
        <w:t>  The only evidence before the Court as to the cause of the accident is the testimony of the plaintiff and the defendant. Both claim the other was negligent. There is no evidence of any independent witnesses before the Court, nor was there expert evidence tendered at trial. The physical evidence of the damage to the vehicles is not determinative.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39</w:t>
      </w:r>
      <w:r>
        <w:rPr>
          <w:rFonts w:ascii="arial" w:eastAsia="arial" w:hAnsi="arial" w:cs="arial"/>
          <w:color w:val="000000"/>
          <w:sz w:val="20"/>
          <w:lang w:val="en-US" w:eastAsia="en-US" w:bidi="ar-SA"/>
        </w:rPr>
        <w:t>  At issue is whether the defendant entered the intersection when he should and probably could have stopped safely or, alternatively, whether the plaintiff should have appreciated the immediate hazard posed by the defendant's vehicle and waited for the defendant's vehicle to clear the intersection before making his left turn.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40</w:t>
      </w:r>
      <w:r>
        <w:rPr>
          <w:rFonts w:ascii="arial" w:eastAsia="arial" w:hAnsi="arial" w:cs="arial"/>
          <w:color w:val="000000"/>
          <w:sz w:val="20"/>
          <w:lang w:val="en-US" w:eastAsia="en-US" w:bidi="ar-SA"/>
        </w:rPr>
        <w:t>  The defendant gave no evidence that it was unsafe for him to stop at the yellow light, only that he did not want to jar his son in the passenger seat.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41</w:t>
      </w:r>
      <w:r>
        <w:rPr>
          <w:rFonts w:ascii="arial" w:eastAsia="arial" w:hAnsi="arial" w:cs="arial"/>
          <w:color w:val="000000"/>
          <w:sz w:val="20"/>
          <w:lang w:val="en-US" w:eastAsia="en-US" w:bidi="ar-SA"/>
        </w:rPr>
        <w:t>  The defendant testified in an evasive and less than straightforward manner. The defendant's evidence on cross-examination was as follows:</w:t>
      </w:r>
      <w:r>
        <w:rPr>
          <w:rFonts w:ascii="arial" w:eastAsia="arial" w:hAnsi="arial" w:cs="arial"/>
          <w:sz w:val="20"/>
          <w:lang w:val="en-US" w:eastAsia="en-US" w:bidi="ar-SA"/>
        </w:rPr>
        <w:cr/>
      </w:r>
    </w:p>
    <w:p>
      <w:pPr>
        <w:numPr>
          <w:numId w:val="3"/>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 light was yellow when he entered the intersection;</w:t>
      </w:r>
    </w:p>
    <w:p>
      <w:pPr>
        <w:numPr>
          <w:numId w:val="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Before he entered the intersection, he saw the Front Car initiating its left turn;</w:t>
      </w:r>
    </w:p>
    <w:p>
      <w:pPr>
        <w:numPr>
          <w:numId w:val="5"/>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As he was approaching the intersection, he also saw the plaintiff's vehicle behind the Front Car; the plaintiff's car had signalled and was moving in the left-turn lane, "inching its way to declare an intent;"</w:t>
      </w:r>
    </w:p>
    <w:p>
      <w:pPr>
        <w:numPr>
          <w:numId w:val="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gap between the plaintiff and the Front Car was narrow;</w:t>
      </w:r>
    </w:p>
    <w:p>
      <w:pPr>
        <w:numPr>
          <w:numId w:val="7"/>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He momentarily depressed his brakes to allow the Front Car to turn;</w:t>
      </w:r>
    </w:p>
    <w:p>
      <w:pPr>
        <w:numPr>
          <w:numId w:val="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light changed to red "just moments before impact" and the "people opposite had already come to a stop"; and</w:t>
      </w:r>
    </w:p>
    <w:p>
      <w:pPr>
        <w:numPr>
          <w:numId w:val="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He expected the plaintiff to stop.</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42</w:t>
      </w:r>
      <w:r>
        <w:rPr>
          <w:rFonts w:ascii="arial" w:eastAsia="arial" w:hAnsi="arial" w:cs="arial"/>
          <w:color w:val="000000"/>
          <w:sz w:val="20"/>
          <w:lang w:val="en-US" w:eastAsia="en-US" w:bidi="ar-SA"/>
        </w:rPr>
        <w:t>  The defendant also testified in cross-examination as follows: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6"/>
        <w:gridCol w:w="521"/>
        <w:gridCol w:w="240"/>
        <w:gridCol w:w="8027"/>
        <w:gridCol w:w="104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205"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The-this is me, this is the truck in front of me. The truck in front of me goes straight through the intersection. The car in front of the plaintiff turned there, and I'm right behind this truck, but I depressed my brake a little bit because this car turned right after the truck that was in front of me, but in front of me. He went between us. And then Mr. Noriega, the plaintiff, came behind that car.</w:t>
            </w:r>
          </w:p>
        </w:tc>
        <w:tc>
          <w:tcPr>
            <w:tcW w:w="102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205"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So there was one or two car lengths between the truck in front of you and-and your vehicle as you approached the intersection. The truck is-goes through on the green. The light turns to yellow and the vehicle in turning left in front of the plaintiff turns in between the two of you and there's only a gap of one or two car lengths?</w:t>
            </w:r>
          </w:p>
        </w:tc>
        <w:tc>
          <w:tcPr>
            <w:tcW w:w="102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205"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Yeah. And that's at that point I depressed the brake just to-as a courtesy to generate a-and as my own safety, to generate a safe enough distance for that car to successfully make it since it had, I guess, what, beat me to that point and I wasn't trying to get in an accident. But certainly I guess people get a little pushy and shovey even behind the wheel.</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43</w:t>
      </w:r>
      <w:r>
        <w:rPr>
          <w:rFonts w:ascii="arial" w:eastAsia="arial" w:hAnsi="arial" w:cs="arial"/>
          <w:color w:val="000000"/>
          <w:sz w:val="20"/>
          <w:lang w:val="en-US" w:eastAsia="en-US" w:bidi="ar-SA"/>
        </w:rPr>
        <w:t>  Given the defendant's admission that he was travelling approximately 50 kilometres per hour and that he may have depressed his brake and taken "5 miles or so per hour" off his speed, I do not find it plausible that the Front Car could have safely turned between the defendant and the truck as the defendant describes. I also note that the plaintiff was never asked in cross-examination whether he saw the truck travelling in front of the defendant.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44</w:t>
      </w:r>
      <w:r>
        <w:rPr>
          <w:rFonts w:ascii="arial" w:eastAsia="arial" w:hAnsi="arial" w:cs="arial"/>
          <w:color w:val="000000"/>
          <w:sz w:val="20"/>
          <w:lang w:val="en-US" w:eastAsia="en-US" w:bidi="ar-SA"/>
        </w:rPr>
        <w:t>  Further, on the defendant's own version of events and the position of the vehicles, the collision would have had to occur prior to the defendant's vehicle reaching the centre of the intersection. He testified that the light changed to red just prior to impact. At his examination for discovery he described the light as a "long yellow."</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45</w:t>
      </w:r>
      <w:r>
        <w:rPr>
          <w:rFonts w:ascii="arial" w:eastAsia="arial" w:hAnsi="arial" w:cs="arial"/>
          <w:color w:val="000000"/>
          <w:sz w:val="20"/>
          <w:lang w:val="en-US" w:eastAsia="en-US" w:bidi="ar-SA"/>
        </w:rPr>
        <w:t>  I find that the defendant did not enter the intersection at the beginning of the amber light. The defendant, who was in a hurry, entered the intersection when it was not safe for him to do so, on a very late stage amber or red light. He should have stopped.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46</w:t>
      </w:r>
      <w:r>
        <w:rPr>
          <w:rFonts w:ascii="arial" w:eastAsia="arial" w:hAnsi="arial" w:cs="arial"/>
          <w:color w:val="000000"/>
          <w:sz w:val="20"/>
          <w:lang w:val="en-US" w:eastAsia="en-US" w:bidi="ar-SA"/>
        </w:rPr>
        <w:t>  The next issue for consideration is whether or not any negligent conduct contributing to the cause of the accident is attributable to the plaintiff.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47</w:t>
      </w:r>
      <w:r>
        <w:rPr>
          <w:rFonts w:ascii="arial" w:eastAsia="arial" w:hAnsi="arial" w:cs="arial"/>
          <w:color w:val="000000"/>
          <w:sz w:val="20"/>
          <w:lang w:val="en-US" w:eastAsia="en-US" w:bidi="ar-SA"/>
        </w:rPr>
        <w:t>  The defendant points out various inconsistencies in the plaintiff's evidence in support of his submission that the plaintiff did not see the defendant's vehicle as it approached the intersection. The defendant submits that the proper inference to be drawn is that the plaintiff was not keeping a proper lookout when he proceeded with his left turn.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48</w:t>
      </w:r>
      <w:r>
        <w:rPr>
          <w:rFonts w:ascii="arial" w:eastAsia="arial" w:hAnsi="arial" w:cs="arial"/>
          <w:color w:val="000000"/>
          <w:sz w:val="20"/>
          <w:lang w:val="en-US" w:eastAsia="en-US" w:bidi="ar-SA"/>
        </w:rPr>
        <w:t>  The plaintiff was attempting to give a description of the collision, which happened very suddenly, and necessarily he would have a very brief opportunity to make any observations about the defendant's speed and what he actually saw at the time. Although there were some inconsistencies in the plaintiff's evidence, I am satisfied that he was telling the truth as he recalled the events. I find the plaintiff overall to be a forthright and credible witness.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49</w:t>
      </w:r>
      <w:r>
        <w:rPr>
          <w:rFonts w:ascii="arial" w:eastAsia="arial" w:hAnsi="arial" w:cs="arial"/>
          <w:color w:val="000000"/>
          <w:sz w:val="20"/>
          <w:lang w:val="en-US" w:eastAsia="en-US" w:bidi="ar-SA"/>
        </w:rPr>
        <w:t>  I accept the plaintiff's evidence that, prior to proceeding with his left turn, he checked that the oncoming traffic eastbound on Hastings had stopped. This is consistent with the Front Car safely executing the left turn. Given that the oncoming traffic had stopped and he saw no immediate hazard, it was reasonable for the plaintiff to follow the Front Car and proceed with his left turn. I also accept the plaintiff's evidence that, at the time of impact, his vehicle was already on Willingdon with his front wheels crossing over the pedestrian crosswalk running east-west on Willingdon. Furthermore, given that the traffic had stopped and that there were three lanes and a left-turn lane on the eastbound side of Hastings and that the plaintiff had almost completed his left turn at the time of the collision, it is not surprising that the plaintiff would not have seen the defendant in sufficient time to react and avoid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50</w:t>
      </w:r>
      <w:r>
        <w:rPr>
          <w:rFonts w:ascii="arial" w:eastAsia="arial" w:hAnsi="arial" w:cs="arial"/>
          <w:color w:val="000000"/>
          <w:sz w:val="20"/>
          <w:lang w:val="en-US" w:eastAsia="en-US" w:bidi="ar-SA"/>
        </w:rPr>
        <w:t>  I conclude that the plaintiff exercised reasonable care in the circumstances. He was not negligent. I find the defendant wholly responsible for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u w:val="single"/>
          <w:lang w:val="en-US" w:eastAsia="en-US" w:bidi="ar-SA"/>
        </w:rPr>
        <w:t>Non-Pecuniary 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51</w:t>
      </w:r>
      <w:r>
        <w:rPr>
          <w:rFonts w:ascii="arial" w:eastAsia="arial" w:hAnsi="arial" w:cs="arial"/>
          <w:color w:val="000000"/>
          <w:sz w:val="20"/>
          <w:lang w:val="en-US" w:eastAsia="en-US" w:bidi="ar-SA"/>
        </w:rPr>
        <w:t xml:space="preserve">  Non-pecuniary damages are awarded to compensate the plaintiff's pain, suffering, and loss of enjoyment of life. For purposes of assessing non-pecuniary damages, fairness is measured against awards made in comparable cases, although it is "impossible to develop a tariff". The factors to be considered in awarding non-pecuniary damages were enumerated by the B.C. Court of Appeal in </w:t>
      </w:r>
      <w:r>
        <w:rPr>
          <w:rFonts w:ascii="arial" w:eastAsia="arial" w:hAnsi="arial" w:cs="arial"/>
          <w:b/>
          <w:i/>
          <w:color w:val="000000"/>
          <w:sz w:val="20"/>
          <w:lang w:val="en-US" w:eastAsia="en-US" w:bidi="ar-SA"/>
        </w:rPr>
        <w:t>Stapley v. Hejslet</w:t>
      </w:r>
      <w:r>
        <w:rPr>
          <w:rFonts w:ascii="arial" w:eastAsia="arial" w:hAnsi="arial" w:cs="arial"/>
          <w:color w:val="000000"/>
          <w:sz w:val="20"/>
          <w:lang w:val="en-US" w:eastAsia="en-US" w:bidi="ar-SA"/>
        </w:rPr>
        <w:t xml:space="preserve">, </w:t>
      </w:r>
      <w:hyperlink r:id="rId580" w:history="1">
        <w:r>
          <w:rPr>
            <w:rFonts w:ascii="arial" w:eastAsia="arial" w:hAnsi="arial" w:cs="arial"/>
            <w:i/>
            <w:color w:val="0077CC"/>
            <w:sz w:val="20"/>
            <w:u w:val="single"/>
            <w:shd w:val="clear" w:color="auto" w:fill="FFFFFF"/>
            <w:lang w:val="en-US" w:eastAsia="en-US" w:bidi="ar-SA"/>
          </w:rPr>
          <w:t>2006 BCCA 34</w:t>
        </w:r>
      </w:hyperlink>
      <w:r>
        <w:rPr>
          <w:rFonts w:ascii="arial" w:eastAsia="arial" w:hAnsi="arial" w:cs="arial"/>
          <w:color w:val="000000"/>
          <w:sz w:val="20"/>
          <w:lang w:val="en-US" w:eastAsia="en-US" w:bidi="ar-SA"/>
        </w:rPr>
        <w:t xml:space="preserve">, </w:t>
      </w:r>
      <w:hyperlink r:id="rId580" w:history="1">
        <w:r>
          <w:rPr>
            <w:rFonts w:ascii="arial" w:eastAsia="arial" w:hAnsi="arial" w:cs="arial"/>
            <w:i/>
            <w:color w:val="0077CC"/>
            <w:sz w:val="20"/>
            <w:u w:val="single"/>
            <w:shd w:val="clear" w:color="auto" w:fill="FFFFFF"/>
            <w:lang w:val="en-US" w:eastAsia="en-US" w:bidi="ar-SA"/>
          </w:rPr>
          <w:t>263 D.L.R. (4th) 19</w:t>
        </w:r>
      </w:hyperlink>
      <w:r>
        <w:rPr>
          <w:rFonts w:ascii="arial" w:eastAsia="arial" w:hAnsi="arial" w:cs="arial"/>
          <w:color w:val="000000"/>
          <w:sz w:val="20"/>
          <w:lang w:val="en-US" w:eastAsia="en-US" w:bidi="ar-SA"/>
        </w:rPr>
        <w:t xml:space="preserve"> at para. 46. The inexhaustive list includes the age of the plaintiff; the nature of the injury; the severity and duration of pain; disability; emotional suffering; loss or impairment of life; impairment of family, marital, and social relationships; impairment of physical and mental abilities; and loss of lifestyle. However, each case is decided on its own unique facts: </w:t>
      </w:r>
      <w:r>
        <w:rPr>
          <w:rFonts w:ascii="arial" w:eastAsia="arial" w:hAnsi="arial" w:cs="arial"/>
          <w:b/>
          <w:i/>
          <w:color w:val="000000"/>
          <w:sz w:val="20"/>
          <w:lang w:val="en-US" w:eastAsia="en-US" w:bidi="ar-SA"/>
        </w:rPr>
        <w:t>Kuskis v. Tin</w:t>
      </w:r>
      <w:r>
        <w:rPr>
          <w:rFonts w:ascii="arial" w:eastAsia="arial" w:hAnsi="arial" w:cs="arial"/>
          <w:color w:val="000000"/>
          <w:sz w:val="20"/>
          <w:lang w:val="en-US" w:eastAsia="en-US" w:bidi="ar-SA"/>
        </w:rPr>
        <w:t xml:space="preserve">, </w:t>
      </w:r>
      <w:hyperlink r:id="rId581" w:history="1">
        <w:r>
          <w:rPr>
            <w:rFonts w:ascii="arial" w:eastAsia="arial" w:hAnsi="arial" w:cs="arial"/>
            <w:i/>
            <w:color w:val="0077CC"/>
            <w:sz w:val="20"/>
            <w:u w:val="single"/>
            <w:shd w:val="clear" w:color="auto" w:fill="FFFFFF"/>
            <w:lang w:val="en-US" w:eastAsia="en-US" w:bidi="ar-SA"/>
          </w:rPr>
          <w:t>2008 BCSC 862</w:t>
        </w:r>
      </w:hyperlink>
      <w:r>
        <w:rPr>
          <w:rFonts w:ascii="arial" w:eastAsia="arial" w:hAnsi="arial" w:cs="arial"/>
          <w:color w:val="000000"/>
          <w:sz w:val="20"/>
          <w:lang w:val="en-US" w:eastAsia="en-US" w:bidi="ar-SA"/>
        </w:rPr>
        <w:t xml:space="preserve"> at para. 136.</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52</w:t>
      </w:r>
      <w:r>
        <w:rPr>
          <w:rFonts w:ascii="arial" w:eastAsia="arial" w:hAnsi="arial" w:cs="arial"/>
          <w:color w:val="000000"/>
          <w:sz w:val="20"/>
          <w:lang w:val="en-US" w:eastAsia="en-US" w:bidi="ar-SA"/>
        </w:rPr>
        <w:t>  I have carefully assessed the plaintiff's evidence given his ongoing complaints of flare-ups with his neck and shoulder, the waving and waning of his symptoms and the lack of regular visits to his family doctor for those complaints. When testifying, the plaintiff answered questions responsively and in a straightforward and forthright manner. In the context of all of his evidence, I am not persuaded that any inconsistencies were particularly significant. I am satisfied that he did not exaggerate his symptoms.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53</w:t>
      </w:r>
      <w:r>
        <w:rPr>
          <w:rFonts w:ascii="arial" w:eastAsia="arial" w:hAnsi="arial" w:cs="arial"/>
          <w:color w:val="000000"/>
          <w:sz w:val="20"/>
          <w:lang w:val="en-US" w:eastAsia="en-US" w:bidi="ar-SA"/>
        </w:rPr>
        <w:t>  I find that the plaintiff suffered soft tissue injuries to his neck and left shoulder caused by the motor vehicle accident and that these injuries caused him pain and suffering. The injuries were such that he could not work for approximately two weeks. He also suffered from intermittent sleep problems. Pursuant to his doctor's recommendation, he attended approximately twelve physiotherapy sessions. He took anti-inflammatory medication and muscle relaxants, iced his sore muscles and did various stretching exercises. His wife helped him with home massages.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54</w:t>
      </w:r>
      <w:r>
        <w:rPr>
          <w:rFonts w:ascii="arial" w:eastAsia="arial" w:hAnsi="arial" w:cs="arial"/>
          <w:color w:val="000000"/>
          <w:sz w:val="20"/>
          <w:lang w:val="en-US" w:eastAsia="en-US" w:bidi="ar-SA"/>
        </w:rPr>
        <w:t>  For an initial period after the accident, his injury and the consequent discomfort he experienced while driving impacted his and his wife's social activities because his wife did not drive. His wife testified that this negatively affected their relationship. She testified that for a few months after the accident the plaintiff was withdrawn and short-tempered, and they had frequent arguments. Furthermore, the plaintiff could not perform any household chores for two weeks following the accident. His routine walks with his wife and his weight-lifting routine were disrupted.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55</w:t>
      </w:r>
      <w:r>
        <w:rPr>
          <w:rFonts w:ascii="arial" w:eastAsia="arial" w:hAnsi="arial" w:cs="arial"/>
          <w:color w:val="000000"/>
          <w:sz w:val="20"/>
          <w:lang w:val="en-US" w:eastAsia="en-US" w:bidi="ar-SA"/>
        </w:rPr>
        <w:t>  I accept that the plaintiff's evidence that his neck and shoulder injury has not resolved entirely. The plaintiff continues to experience episodes of neck and shoulder pain. He takes over-the-counter pain medication two or sometimes three times per week; although, he is cautious about not relying on medication. He continues to do his stretching exercises and uses an exercise ball. He cannot carry heavy items with his left arm. His pain is exacerbated by any repetitive motions of his head such as driving and shoulder-checking. It is difficult for him to drive for extended periods. Otherwise, his social and recreational activities are not significantly impacted. The plaintiff has resumed his weight-lifting routine and his routine walks with his wife. However, his walks are not as frequent nor as long as prior to the accident, nor his weight-lifting routine as strenuous.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56</w:t>
      </w:r>
      <w:r>
        <w:rPr>
          <w:rFonts w:ascii="arial" w:eastAsia="arial" w:hAnsi="arial" w:cs="arial"/>
          <w:color w:val="000000"/>
          <w:sz w:val="20"/>
          <w:lang w:val="en-US" w:eastAsia="en-US" w:bidi="ar-SA"/>
        </w:rPr>
        <w:t>  For the most part, the plaintiff is able to perform his duties as a customer service representative. He is a relatively stoic individual and I am satisfied that he continues to suffer periods of discomfort at work, for example, when he is required to dig through containers in the warehouse.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57</w:t>
      </w:r>
      <w:r>
        <w:rPr>
          <w:rFonts w:ascii="arial" w:eastAsia="arial" w:hAnsi="arial" w:cs="arial"/>
          <w:color w:val="000000"/>
          <w:sz w:val="20"/>
          <w:lang w:val="en-US" w:eastAsia="en-US" w:bidi="ar-SA"/>
        </w:rPr>
        <w:t>  Dr. Steinson was an impressive witness. I accept his opinion that the plaintiff has developed a myofascial pain syndrome in his neck and trapezius as a consequence of the injury in the motor vehicle accident. I also find that the episodic pain that the plaintiff continues to experience is mild to moderate. Dr. Steinson's prognosis for the plaintiff is guarded. Based on the medical evidence, the likelihood is that the plaintiff's symptoms will continue to improve over the next few years although there is a possibility that his episodic pain may persist further into the future.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58</w:t>
      </w:r>
      <w:r>
        <w:rPr>
          <w:rFonts w:ascii="arial" w:eastAsia="arial" w:hAnsi="arial" w:cs="arial"/>
          <w:color w:val="000000"/>
          <w:sz w:val="20"/>
          <w:lang w:val="en-US" w:eastAsia="en-US" w:bidi="ar-SA"/>
        </w:rPr>
        <w:t xml:space="preserve">  The defendant's position is that the plaintiff has failed to mitigate his damages by failing to seek out treatments after January 2006 and by failing to follow his doctor's advice regarding treatment. The burden to prove a failure to mitigate rests on the defendant: </w:t>
      </w:r>
      <w:r>
        <w:rPr>
          <w:rFonts w:ascii="arial" w:eastAsia="arial" w:hAnsi="arial" w:cs="arial"/>
          <w:b/>
          <w:i/>
          <w:color w:val="000000"/>
          <w:sz w:val="20"/>
          <w:lang w:val="en-US" w:eastAsia="en-US" w:bidi="ar-SA"/>
        </w:rPr>
        <w:t>Janiak v. Ippolito</w:t>
      </w:r>
      <w:r>
        <w:rPr>
          <w:rFonts w:ascii="arial" w:eastAsia="arial" w:hAnsi="arial" w:cs="arial"/>
          <w:color w:val="000000"/>
          <w:sz w:val="20"/>
          <w:lang w:val="en-US" w:eastAsia="en-US" w:bidi="ar-SA"/>
        </w:rPr>
        <w:t xml:space="preserve">, </w:t>
      </w:r>
      <w:hyperlink r:id="rId582" w:history="1">
        <w:r>
          <w:rPr>
            <w:rFonts w:ascii="arial" w:eastAsia="arial" w:hAnsi="arial" w:cs="arial"/>
            <w:i/>
            <w:color w:val="0077CC"/>
            <w:sz w:val="20"/>
            <w:u w:val="single"/>
            <w:shd w:val="clear" w:color="auto" w:fill="FFFFFF"/>
            <w:lang w:val="en-US" w:eastAsia="en-US" w:bidi="ar-SA"/>
          </w:rPr>
          <w:t>[1985] 1 S.C.R. 146</w:t>
        </w:r>
      </w:hyperlink>
      <w:r>
        <w:rPr>
          <w:rFonts w:ascii="arial" w:eastAsia="arial" w:hAnsi="arial" w:cs="arial"/>
          <w:color w:val="000000"/>
          <w:sz w:val="20"/>
          <w:lang w:val="en-US" w:eastAsia="en-US" w:bidi="ar-SA"/>
        </w:rPr>
        <w:t xml:space="preserve">, </w:t>
      </w:r>
      <w:hyperlink r:id="rId582" w:history="1">
        <w:r>
          <w:rPr>
            <w:rFonts w:ascii="arial" w:eastAsia="arial" w:hAnsi="arial" w:cs="arial"/>
            <w:i/>
            <w:color w:val="0077CC"/>
            <w:sz w:val="20"/>
            <w:u w:val="single"/>
            <w:shd w:val="clear" w:color="auto" w:fill="FFFFFF"/>
            <w:lang w:val="en-US" w:eastAsia="en-US" w:bidi="ar-SA"/>
          </w:rPr>
          <w:t>16 D.L.R. (4th) 1</w:t>
        </w:r>
      </w:hyperlink>
      <w:r>
        <w:rPr>
          <w:rFonts w:ascii="arial" w:eastAsia="arial" w:hAnsi="arial" w:cs="arial"/>
          <w:color w:val="000000"/>
          <w:sz w:val="20"/>
          <w:lang w:val="en-US" w:eastAsia="en-US" w:bidi="ar-SA"/>
        </w:rPr>
        <w:t xml:space="preserve"> at para. 32. In </w:t>
      </w:r>
      <w:r>
        <w:rPr>
          <w:rFonts w:ascii="arial" w:eastAsia="arial" w:hAnsi="arial" w:cs="arial"/>
          <w:b/>
          <w:i/>
          <w:color w:val="000000"/>
          <w:sz w:val="20"/>
          <w:lang w:val="en-US" w:eastAsia="en-US" w:bidi="ar-SA"/>
        </w:rPr>
        <w:t>Red Deer College v. Michaels</w:t>
      </w:r>
      <w:r>
        <w:rPr>
          <w:rFonts w:ascii="arial" w:eastAsia="arial" w:hAnsi="arial" w:cs="arial"/>
          <w:color w:val="000000"/>
          <w:sz w:val="20"/>
          <w:lang w:val="en-US" w:eastAsia="en-US" w:bidi="ar-SA"/>
        </w:rPr>
        <w:t xml:space="preserve">, </w:t>
      </w:r>
      <w:hyperlink r:id="rId583" w:history="1">
        <w:r>
          <w:rPr>
            <w:rFonts w:ascii="arial" w:eastAsia="arial" w:hAnsi="arial" w:cs="arial"/>
            <w:i/>
            <w:color w:val="0077CC"/>
            <w:sz w:val="20"/>
            <w:u w:val="single"/>
            <w:shd w:val="clear" w:color="auto" w:fill="FFFFFF"/>
            <w:lang w:val="en-US" w:eastAsia="en-US" w:bidi="ar-SA"/>
          </w:rPr>
          <w:t>[1976] 2 S.C.R. 324</w:t>
        </w:r>
      </w:hyperlink>
      <w:r>
        <w:rPr>
          <w:rFonts w:ascii="arial" w:eastAsia="arial" w:hAnsi="arial" w:cs="arial"/>
          <w:color w:val="000000"/>
          <w:sz w:val="20"/>
          <w:lang w:val="en-US" w:eastAsia="en-US" w:bidi="ar-SA"/>
        </w:rPr>
        <w:t xml:space="preserve"> at p. 331, </w:t>
      </w:r>
      <w:hyperlink r:id="rId583" w:history="1">
        <w:r>
          <w:rPr>
            <w:rFonts w:ascii="arial" w:eastAsia="arial" w:hAnsi="arial" w:cs="arial"/>
            <w:i/>
            <w:color w:val="0077CC"/>
            <w:sz w:val="20"/>
            <w:u w:val="single"/>
            <w:shd w:val="clear" w:color="auto" w:fill="FFFFFF"/>
            <w:lang w:val="en-US" w:eastAsia="en-US" w:bidi="ar-SA"/>
          </w:rPr>
          <w:t>[1975] 5 W.W.R. 575</w:t>
        </w:r>
      </w:hyperlink>
      <w:r>
        <w:rPr>
          <w:rFonts w:ascii="arial" w:eastAsia="arial" w:hAnsi="arial" w:cs="arial"/>
          <w:color w:val="000000"/>
          <w:sz w:val="20"/>
          <w:lang w:val="en-US" w:eastAsia="en-US" w:bidi="ar-SA"/>
        </w:rPr>
        <w:t>, the Court stated as follows: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If it is the defendant's position that the plaintiff could reasonably have avoided some part of the loss claimed, it is for the defendant to carry the burden of that issue, subject to the defendant being content to allow the matter to be disposed of on the trial judge's assessment of the plaintiff's evidence on avoidable consequences.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59</w:t>
      </w:r>
      <w:r>
        <w:rPr>
          <w:rFonts w:ascii="arial" w:eastAsia="arial" w:hAnsi="arial" w:cs="arial"/>
          <w:color w:val="000000"/>
          <w:sz w:val="20"/>
          <w:lang w:val="en-US" w:eastAsia="en-US" w:bidi="ar-SA"/>
        </w:rPr>
        <w:t>  The defendant has failed to discharge this onus. The defendant did not tender any evidence that the plaintiff's physical condition would be better today had he pursued other treatments. I am satisfied that the plaintiff did not pursue the other treatments because of cost considerations. Furthermore, I am satisfied that he did not seek the acupuncture treatment recommended by Dr. Steinson in November 2007 until May 2008 because of the personal and medically-related problems he and his wife were experiencing at the time. In so far as not following up with Dr. Wong's recommendation to pursue physiotherapy in June 2006 for his neck and shoulder, I find that the plaintiff likely did not do so because physiotherapy treatment for the work-related back injury he suffered in July 2006 took precedence.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60</w:t>
      </w:r>
      <w:r>
        <w:rPr>
          <w:rFonts w:ascii="arial" w:eastAsia="arial" w:hAnsi="arial" w:cs="arial"/>
          <w:color w:val="000000"/>
          <w:sz w:val="20"/>
          <w:lang w:val="en-US" w:eastAsia="en-US" w:bidi="ar-SA"/>
        </w:rPr>
        <w:t>  The plaintiff seeks an award of $35,000 to $80,000 for non-pecuniary 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61</w:t>
      </w:r>
      <w:r>
        <w:rPr>
          <w:rFonts w:ascii="arial" w:eastAsia="arial" w:hAnsi="arial" w:cs="arial"/>
          <w:color w:val="000000"/>
          <w:sz w:val="20"/>
          <w:lang w:val="en-US" w:eastAsia="en-US" w:bidi="ar-SA"/>
        </w:rPr>
        <w:t>  The defendant submits that, taking into account all the factors, the appropriate award for non-pecuniary damages is in the range of $10,000 to $15,000.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62</w:t>
      </w:r>
      <w:r>
        <w:rPr>
          <w:rFonts w:ascii="arial" w:eastAsia="arial" w:hAnsi="arial" w:cs="arial"/>
          <w:color w:val="000000"/>
          <w:sz w:val="20"/>
          <w:lang w:val="en-US" w:eastAsia="en-US" w:bidi="ar-SA"/>
        </w:rPr>
        <w:t>  The plaintiff has suffered some moderate interference with his life because of the pain and suffering associated with his neck and shoulder injury caused by the motor vehicle accident. Having reviewed the authorities provided to the Court by both the plaintiff and the defendant and considering all the evidence of the plaintiff's specific circumstances. I conclude that an appropriate award for damages for pain and suffering and loss of enjoyment of life is $30,000.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u w:val="single"/>
          <w:lang w:val="en-US" w:eastAsia="en-US" w:bidi="ar-SA"/>
        </w:rPr>
        <w:t>Past Income Loss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63</w:t>
      </w:r>
      <w:r>
        <w:rPr>
          <w:rFonts w:ascii="arial" w:eastAsia="arial" w:hAnsi="arial" w:cs="arial"/>
          <w:color w:val="000000"/>
          <w:sz w:val="20"/>
          <w:lang w:val="en-US" w:eastAsia="en-US" w:bidi="ar-SA"/>
        </w:rPr>
        <w:t>  The plaintiff claims that he incurred a past wage loss of $4,991.51 because of the injuries he sustained in the motor vehicle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64</w:t>
      </w:r>
      <w:r>
        <w:rPr>
          <w:rFonts w:ascii="arial" w:eastAsia="arial" w:hAnsi="arial" w:cs="arial"/>
          <w:color w:val="000000"/>
          <w:sz w:val="20"/>
          <w:lang w:val="en-US" w:eastAsia="en-US" w:bidi="ar-SA"/>
        </w:rPr>
        <w:t>  The defence entirely rejects this claim, submitting that the plaintiff has not proven a loss of income arising from the subject accident and that it was his subsequent back injury that prevented the plaintiff from working as a courier.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65</w:t>
      </w:r>
      <w:r>
        <w:rPr>
          <w:rFonts w:ascii="arial" w:eastAsia="arial" w:hAnsi="arial" w:cs="arial"/>
          <w:color w:val="000000"/>
          <w:sz w:val="20"/>
          <w:lang w:val="en-US" w:eastAsia="en-US" w:bidi="ar-SA"/>
        </w:rPr>
        <w:t>  The plaintiff's position is founded on the premise that he was forced by the injuries he suffered in the motor vehicle accident to change his position from a courier with Federal Express to a customer service representative with Federal Express at the Vancouver airport. As a customer service representative, his job duties include dealing with customers on the phone and in person, and processing envelopes and packages. This position is a pay level lower than the courier position held prior to the accident and the change entailed a pay cut from $16.88 per hour to $16.04 per hour.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66</w:t>
      </w:r>
      <w:r>
        <w:rPr>
          <w:rFonts w:ascii="arial" w:eastAsia="arial" w:hAnsi="arial" w:cs="arial"/>
          <w:color w:val="000000"/>
          <w:sz w:val="20"/>
          <w:lang w:val="en-US" w:eastAsia="en-US" w:bidi="ar-SA"/>
        </w:rPr>
        <w:t>  The plaintiff missed approximately two weeks of work immediately after the accident. He testified that he performed his duties as a courier in pain and that he was applying for other jobs after November of 2005. He did continue to work as a courier until July 2006 when he suffered a work-related back injury. Couriers are required as part of their job duties to lift and manoeuvre heavy packages.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67</w:t>
      </w:r>
      <w:r>
        <w:rPr>
          <w:rFonts w:ascii="arial" w:eastAsia="arial" w:hAnsi="arial" w:cs="arial"/>
          <w:color w:val="000000"/>
          <w:sz w:val="20"/>
          <w:lang w:val="en-US" w:eastAsia="en-US" w:bidi="ar-SA"/>
        </w:rPr>
        <w:t>  It was Dr. Steinson's evidence that the plaintiff's back injury was an "acute onset of lower back pain with sciatica." The plaintiff testified that his back continues to bother him. No medical evidence was tendered at trial to establish that the neck and shoulder injury suffered by the plaintiff as a result of the accident, and the symptoms associated with that injury contributed in any way to his work-related back injury.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68</w:t>
      </w:r>
      <w:r>
        <w:rPr>
          <w:rFonts w:ascii="arial" w:eastAsia="arial" w:hAnsi="arial" w:cs="arial"/>
          <w:color w:val="000000"/>
          <w:sz w:val="20"/>
          <w:lang w:val="en-US" w:eastAsia="en-US" w:bidi="ar-SA"/>
        </w:rPr>
        <w:t>  After his back injury in July 2006, the plaintiff never resumed his duties as a courier. His evidence was that after his back injury, he decided to take a new direction in his career. In cross-examination the plaintiff agreed that the new customer service position is "a better fit, more hours and more growth opportunity in the long-term." In all the circumstances, I am not satisfied that the plaintiff has established that it was his neck and shoulder injury that caused him to change jobs and therefore make no award for past wage loss.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69</w:t>
      </w:r>
      <w:r>
        <w:rPr>
          <w:rFonts w:ascii="arial" w:eastAsia="arial" w:hAnsi="arial" w:cs="arial"/>
          <w:color w:val="000000"/>
          <w:sz w:val="20"/>
          <w:lang w:val="en-US" w:eastAsia="en-US" w:bidi="ar-SA"/>
        </w:rPr>
        <w:t>  Further, on the evidence, there has been no claim established for wage loss for the period of work (November 26, 2005 to December 11, 2005) the plaintiff missed after the motor vehicle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u w:val="single"/>
          <w:lang w:val="en-US" w:eastAsia="en-US" w:bidi="ar-SA"/>
        </w:rPr>
        <w:t>Loss of Housekeeping Capacity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70</w:t>
      </w:r>
      <w:r>
        <w:rPr>
          <w:rFonts w:ascii="arial" w:eastAsia="arial" w:hAnsi="arial" w:cs="arial"/>
          <w:color w:val="000000"/>
          <w:sz w:val="20"/>
          <w:lang w:val="en-US" w:eastAsia="en-US" w:bidi="ar-SA"/>
        </w:rPr>
        <w:t xml:space="preserve">  The plaintiff submits that he has reduced capacity to perform all of the household cleaning and tasks that he was once able to perform and based on the principles enunciated in </w:t>
      </w:r>
      <w:r>
        <w:rPr>
          <w:rFonts w:ascii="arial" w:eastAsia="arial" w:hAnsi="arial" w:cs="arial"/>
          <w:b/>
          <w:i/>
          <w:color w:val="000000"/>
          <w:sz w:val="20"/>
          <w:lang w:val="en-US" w:eastAsia="en-US" w:bidi="ar-SA"/>
        </w:rPr>
        <w:t>Kroeker v. Jansen</w:t>
      </w:r>
      <w:r>
        <w:rPr>
          <w:rFonts w:ascii="arial" w:eastAsia="arial" w:hAnsi="arial" w:cs="arial"/>
          <w:color w:val="000000"/>
          <w:sz w:val="20"/>
          <w:lang w:val="en-US" w:eastAsia="en-US" w:bidi="ar-SA"/>
        </w:rPr>
        <w:t xml:space="preserve"> </w:t>
      </w:r>
      <w:hyperlink r:id="rId584" w:history="1">
        <w:r>
          <w:rPr>
            <w:rFonts w:ascii="arial" w:eastAsia="arial" w:hAnsi="arial" w:cs="arial"/>
            <w:i/>
            <w:color w:val="0077CC"/>
            <w:sz w:val="20"/>
            <w:u w:val="single"/>
            <w:shd w:val="clear" w:color="auto" w:fill="FFFFFF"/>
            <w:lang w:val="en-US" w:eastAsia="en-US" w:bidi="ar-SA"/>
          </w:rPr>
          <w:t>(1995), 123 D.L.R. (4th) 652</w:t>
        </w:r>
      </w:hyperlink>
      <w:r>
        <w:rPr>
          <w:rFonts w:ascii="arial" w:eastAsia="arial" w:hAnsi="arial" w:cs="arial"/>
          <w:color w:val="000000"/>
          <w:sz w:val="20"/>
          <w:lang w:val="en-US" w:eastAsia="en-US" w:bidi="ar-SA"/>
        </w:rPr>
        <w:t xml:space="preserve">, </w:t>
      </w:r>
      <w:hyperlink r:id="rId584" w:history="1">
        <w:r>
          <w:rPr>
            <w:rFonts w:ascii="arial" w:eastAsia="arial" w:hAnsi="arial" w:cs="arial"/>
            <w:i/>
            <w:color w:val="0077CC"/>
            <w:sz w:val="20"/>
            <w:u w:val="single"/>
            <w:shd w:val="clear" w:color="auto" w:fill="FFFFFF"/>
            <w:lang w:val="en-US" w:eastAsia="en-US" w:bidi="ar-SA"/>
          </w:rPr>
          <w:t>4 B.C.L.R. (3d) 178</w:t>
        </w:r>
      </w:hyperlink>
      <w:r>
        <w:rPr>
          <w:rFonts w:ascii="arial" w:eastAsia="arial" w:hAnsi="arial" w:cs="arial"/>
          <w:color w:val="000000"/>
          <w:sz w:val="20"/>
          <w:lang w:val="en-US" w:eastAsia="en-US" w:bidi="ar-SA"/>
        </w:rPr>
        <w:t xml:space="preserve"> (C.A.), that the appropriate range of damages under this head is $5,000. At the time of trial, for the most part, the plaintiff had resumed any household tasks he performed prior to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71</w:t>
      </w:r>
      <w:r>
        <w:rPr>
          <w:rFonts w:ascii="arial" w:eastAsia="arial" w:hAnsi="arial" w:cs="arial"/>
          <w:color w:val="000000"/>
          <w:sz w:val="20"/>
          <w:lang w:val="en-US" w:eastAsia="en-US" w:bidi="ar-SA"/>
        </w:rPr>
        <w:t>  I find that no compensable loss of housekeeping capacity has been established on the evidence.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u w:val="single"/>
          <w:lang w:val="en-US" w:eastAsia="en-US" w:bidi="ar-SA"/>
        </w:rPr>
        <w:t>Future Loss of Income and Diminished Earning Capacity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72</w:t>
      </w:r>
      <w:r>
        <w:rPr>
          <w:rFonts w:ascii="arial" w:eastAsia="arial" w:hAnsi="arial" w:cs="arial"/>
          <w:color w:val="000000"/>
          <w:sz w:val="20"/>
          <w:lang w:val="en-US" w:eastAsia="en-US" w:bidi="ar-SA"/>
        </w:rPr>
        <w:t>  The plaintiff is seeking compensation for future loss of income and diminished earning capacity. He is seeking damages in the range of $40,000 to $75,000.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73</w:t>
      </w:r>
      <w:r>
        <w:rPr>
          <w:rFonts w:ascii="arial" w:eastAsia="arial" w:hAnsi="arial" w:cs="arial"/>
          <w:color w:val="000000"/>
          <w:sz w:val="20"/>
          <w:lang w:val="en-US" w:eastAsia="en-US" w:bidi="ar-SA"/>
        </w:rPr>
        <w:t>  The defendant's position is that there is no evidence on which the Court can conclude that either the plaintiff has diminished work capacity or that the loss of capacity is related to the subject accident. In particular, the defendant notes that the plaintiff continued to work as a courier after the accident until his workplace accident some seven months later. The defendant submits it was the back injury that prevented the plaintiff from working as a courier. Further, the plaintiff has provided no functional capacity evaluation or other objective assessment of capacity.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74</w:t>
      </w:r>
      <w:r>
        <w:rPr>
          <w:rFonts w:ascii="arial" w:eastAsia="arial" w:hAnsi="arial" w:cs="arial"/>
          <w:color w:val="000000"/>
          <w:sz w:val="20"/>
          <w:lang w:val="en-US" w:eastAsia="en-US" w:bidi="ar-SA"/>
        </w:rPr>
        <w:t>  The plaintiff testified that by virtue of the injuries he sustained in the motor vehicle accident, his future employment prospects would be limited because he would not be able to be employed in any position that required physical labour. His evidence was that, for example, he could not return to work at Home Depot in the warehouse because of the heavy lifting and operation of a forklift required in that position. He also testified that working as a courier would probably "be out of the question."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75</w:t>
      </w:r>
      <w:r>
        <w:rPr>
          <w:rFonts w:ascii="arial" w:eastAsia="arial" w:hAnsi="arial" w:cs="arial"/>
          <w:color w:val="000000"/>
          <w:sz w:val="20"/>
          <w:lang w:val="en-US" w:eastAsia="en-US" w:bidi="ar-SA"/>
        </w:rPr>
        <w:t xml:space="preserve">  In </w:t>
      </w:r>
      <w:r>
        <w:rPr>
          <w:rFonts w:ascii="arial" w:eastAsia="arial" w:hAnsi="arial" w:cs="arial"/>
          <w:b/>
          <w:i/>
          <w:color w:val="000000"/>
          <w:sz w:val="20"/>
          <w:lang w:val="en-US" w:eastAsia="en-US" w:bidi="ar-SA"/>
        </w:rPr>
        <w:t>Kuskis</w:t>
      </w:r>
      <w:r>
        <w:rPr>
          <w:rFonts w:ascii="arial" w:eastAsia="arial" w:hAnsi="arial" w:cs="arial"/>
          <w:color w:val="000000"/>
          <w:sz w:val="20"/>
          <w:lang w:val="en-US" w:eastAsia="en-US" w:bidi="ar-SA"/>
        </w:rPr>
        <w:t>, the court succinctly summarized the relevant principles regarding a claim for future earning capacity at paras. 151-155 as follows: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[151] A claim for loss of future earning capacity raises two issues: (1) has the plaintiff's earning capacity been impaired to any degree by her injuries and, if so, (2) what amount should be awarded: </w:t>
      </w:r>
      <w:r>
        <w:rPr>
          <w:rFonts w:ascii="arial" w:eastAsia="arial" w:hAnsi="arial" w:cs="arial"/>
          <w:b/>
          <w:i/>
          <w:color w:val="000000"/>
          <w:sz w:val="20"/>
          <w:lang w:val="en-US" w:eastAsia="en-US" w:bidi="ar-SA"/>
        </w:rPr>
        <w:t>Fox</w:t>
      </w:r>
      <w:r>
        <w:rPr>
          <w:rFonts w:ascii="arial" w:eastAsia="arial" w:hAnsi="arial" w:cs="arial"/>
          <w:color w:val="000000"/>
          <w:sz w:val="20"/>
          <w:lang w:val="en-US" w:eastAsia="en-US" w:bidi="ar-SA"/>
        </w:rPr>
        <w:t xml:space="preserve"> </w:t>
      </w:r>
      <w:hyperlink r:id="rId585" w:history="1">
        <w:r>
          <w:rPr>
            <w:rFonts w:ascii="arial" w:eastAsia="arial" w:hAnsi="arial" w:cs="arial"/>
            <w:i/>
            <w:color w:val="0077CC"/>
            <w:sz w:val="20"/>
            <w:u w:val="single"/>
            <w:shd w:val="clear" w:color="auto" w:fill="FFFFFF"/>
            <w:lang w:val="en-US" w:eastAsia="en-US" w:bidi="ar-SA"/>
          </w:rPr>
          <w:t>[2005] B.C.J. No. 137</w:t>
        </w:r>
      </w:hyperlink>
      <w:r>
        <w:rPr>
          <w:rFonts w:ascii="arial" w:eastAsia="arial" w:hAnsi="arial" w:cs="arial"/>
          <w:color w:val="000000"/>
          <w:sz w:val="20"/>
          <w:lang w:val="en-US" w:eastAsia="en-US" w:bidi="ar-SA"/>
        </w:rPr>
        <w:t xml:space="preserve"> at para. 91.</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[152] To determine the question of impaired capacity the court considers factors such as whether the plaintiff has been rendered less capable overall of earning income from all types of employment; is less marketable or attractive as a potential employee; has lost the ability to take advantage of all job opportunities that might otherwise have been open; and is less valuable to herself as a person capable of earning income in a competitive labour market: </w:t>
      </w:r>
      <w:r>
        <w:rPr>
          <w:rFonts w:ascii="arial" w:eastAsia="arial" w:hAnsi="arial" w:cs="arial"/>
          <w:b/>
          <w:i/>
          <w:color w:val="000000"/>
          <w:sz w:val="20"/>
          <w:lang w:val="en-US" w:eastAsia="en-US" w:bidi="ar-SA"/>
        </w:rPr>
        <w:t>Brown v. Golaiy</w:t>
      </w:r>
      <w:r>
        <w:rPr>
          <w:rFonts w:ascii="arial" w:eastAsia="arial" w:hAnsi="arial" w:cs="arial"/>
          <w:color w:val="000000"/>
          <w:sz w:val="20"/>
          <w:lang w:val="en-US" w:eastAsia="en-US" w:bidi="ar-SA"/>
        </w:rPr>
        <w:t xml:space="preserve"> </w:t>
      </w:r>
      <w:hyperlink r:id="rId586" w:history="1">
        <w:r>
          <w:rPr>
            <w:rFonts w:ascii="arial" w:eastAsia="arial" w:hAnsi="arial" w:cs="arial"/>
            <w:i/>
            <w:color w:val="0077CC"/>
            <w:sz w:val="20"/>
            <w:u w:val="single"/>
            <w:shd w:val="clear" w:color="auto" w:fill="FFFFFF"/>
            <w:lang w:val="en-US" w:eastAsia="en-US" w:bidi="ar-SA"/>
          </w:rPr>
          <w:t>(1985), 26 B.C.L.R. (3d) 353</w:t>
        </w:r>
      </w:hyperlink>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[153] To quantify a loss of earning capacity the court conducts an assessment, based on the evidence, rather than applying a purely mathematical calculation: </w:t>
      </w:r>
      <w:r>
        <w:rPr>
          <w:rFonts w:ascii="arial" w:eastAsia="arial" w:hAnsi="arial" w:cs="arial"/>
          <w:b/>
          <w:i/>
          <w:color w:val="000000"/>
          <w:sz w:val="20"/>
          <w:lang w:val="en-US" w:eastAsia="en-US" w:bidi="ar-SA"/>
        </w:rPr>
        <w:t>Rosvold v. Dunlop</w:t>
      </w:r>
      <w:r>
        <w:rPr>
          <w:rFonts w:ascii="arial" w:eastAsia="arial" w:hAnsi="arial" w:cs="arial"/>
          <w:color w:val="000000"/>
          <w:sz w:val="20"/>
          <w:lang w:val="en-US" w:eastAsia="en-US" w:bidi="ar-SA"/>
        </w:rPr>
        <w:t xml:space="preserve">, </w:t>
      </w:r>
      <w:hyperlink r:id="rId587" w:history="1">
        <w:r>
          <w:rPr>
            <w:rFonts w:ascii="arial" w:eastAsia="arial" w:hAnsi="arial" w:cs="arial"/>
            <w:i/>
            <w:color w:val="0077CC"/>
            <w:sz w:val="20"/>
            <w:u w:val="single"/>
            <w:shd w:val="clear" w:color="auto" w:fill="FFFFFF"/>
            <w:lang w:val="en-US" w:eastAsia="en-US" w:bidi="ar-SA"/>
          </w:rPr>
          <w:t>(2002) 84 B.C.L.R. (3d) 158</w:t>
        </w:r>
      </w:hyperlink>
      <w:r>
        <w:rPr>
          <w:rFonts w:ascii="arial" w:eastAsia="arial" w:hAnsi="arial" w:cs="arial"/>
          <w:color w:val="000000"/>
          <w:sz w:val="20"/>
          <w:lang w:val="en-US" w:eastAsia="en-US" w:bidi="ar-SA"/>
        </w:rPr>
        <w:t xml:space="preserve">; </w:t>
      </w:r>
      <w:r>
        <w:rPr>
          <w:rFonts w:ascii="arial" w:eastAsia="arial" w:hAnsi="arial" w:cs="arial"/>
          <w:b/>
          <w:i/>
          <w:color w:val="000000"/>
          <w:sz w:val="20"/>
          <w:lang w:val="en-US" w:eastAsia="en-US" w:bidi="ar-SA"/>
        </w:rPr>
        <w:t>Durand v. Bolt</w:t>
      </w:r>
      <w:r>
        <w:rPr>
          <w:rFonts w:ascii="arial" w:eastAsia="arial" w:hAnsi="arial" w:cs="arial"/>
          <w:color w:val="000000"/>
          <w:sz w:val="20"/>
          <w:lang w:val="en-US" w:eastAsia="en-US" w:bidi="ar-SA"/>
        </w:rPr>
        <w:t xml:space="preserve">, </w:t>
      </w:r>
      <w:hyperlink r:id="rId588" w:history="1">
        <w:r>
          <w:rPr>
            <w:rFonts w:ascii="arial" w:eastAsia="arial" w:hAnsi="arial" w:cs="arial"/>
            <w:i/>
            <w:color w:val="0077CC"/>
            <w:sz w:val="20"/>
            <w:u w:val="single"/>
            <w:shd w:val="clear" w:color="auto" w:fill="FFFFFF"/>
            <w:lang w:val="en-US" w:eastAsia="en-US" w:bidi="ar-SA"/>
          </w:rPr>
          <w:t>2007 BCSC 480</w:t>
        </w:r>
      </w:hyperlink>
      <w:r>
        <w:rPr>
          <w:rFonts w:ascii="arial" w:eastAsia="arial" w:hAnsi="arial" w:cs="arial"/>
          <w:color w:val="000000"/>
          <w:sz w:val="20"/>
          <w:lang w:val="en-US" w:eastAsia="en-US" w:bidi="ar-SA"/>
        </w:rPr>
        <w:t xml:space="preserve">. For assessment purposes, income earning capacity is viewed as a capital asset and all relevant positive and negative contingencies must be considered: </w:t>
      </w:r>
      <w:r>
        <w:rPr>
          <w:rFonts w:ascii="arial" w:eastAsia="arial" w:hAnsi="arial" w:cs="arial"/>
          <w:b/>
          <w:i/>
          <w:color w:val="000000"/>
          <w:sz w:val="20"/>
          <w:lang w:val="en-US" w:eastAsia="en-US" w:bidi="ar-SA"/>
        </w:rPr>
        <w:t>Fox</w:t>
      </w:r>
      <w:r>
        <w:rPr>
          <w:rFonts w:ascii="arial" w:eastAsia="arial" w:hAnsi="arial" w:cs="arial"/>
          <w:color w:val="000000"/>
          <w:sz w:val="20"/>
          <w:lang w:val="en-US" w:eastAsia="en-US" w:bidi="ar-SA"/>
        </w:rPr>
        <w:t xml:space="preserve"> at para. 92 and 102-103; </w:t>
      </w:r>
      <w:r>
        <w:rPr>
          <w:rFonts w:ascii="arial" w:eastAsia="arial" w:hAnsi="arial" w:cs="arial"/>
          <w:b/>
          <w:i/>
          <w:color w:val="000000"/>
          <w:sz w:val="20"/>
          <w:lang w:val="en-US" w:eastAsia="en-US" w:bidi="ar-SA"/>
        </w:rPr>
        <w:t>Parypa v. Wickware</w:t>
      </w:r>
      <w:r>
        <w:rPr>
          <w:rFonts w:ascii="arial" w:eastAsia="arial" w:hAnsi="arial" w:cs="arial"/>
          <w:color w:val="000000"/>
          <w:sz w:val="20"/>
          <w:lang w:val="en-US" w:eastAsia="en-US" w:bidi="ar-SA"/>
        </w:rPr>
        <w:t xml:space="preserve">, </w:t>
      </w:r>
      <w:hyperlink r:id="rId589" w:history="1">
        <w:r>
          <w:rPr>
            <w:rFonts w:ascii="arial" w:eastAsia="arial" w:hAnsi="arial" w:cs="arial"/>
            <w:i/>
            <w:color w:val="0077CC"/>
            <w:sz w:val="20"/>
            <w:u w:val="single"/>
            <w:shd w:val="clear" w:color="auto" w:fill="FFFFFF"/>
            <w:lang w:val="en-US" w:eastAsia="en-US" w:bidi="ar-SA"/>
          </w:rPr>
          <w:t>[1999] B.C.J. No. 270</w:t>
        </w:r>
      </w:hyperlink>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[154] One method of assessing loss of future earning capacity is to compare the likely future income of the plaintiff if the accident had not occurred with the likely future income of the plaintiff now that it has occurred. In addition, the overall fairness and reasonableness of the award must be taken into account: </w:t>
      </w:r>
      <w:r>
        <w:rPr>
          <w:rFonts w:ascii="arial" w:eastAsia="arial" w:hAnsi="arial" w:cs="arial"/>
          <w:b/>
          <w:i/>
          <w:color w:val="000000"/>
          <w:sz w:val="20"/>
          <w:lang w:val="en-US" w:eastAsia="en-US" w:bidi="ar-SA"/>
        </w:rPr>
        <w:t>Rosvold</w:t>
      </w:r>
      <w:r>
        <w:rPr>
          <w:rFonts w:ascii="arial" w:eastAsia="arial" w:hAnsi="arial" w:cs="arial"/>
          <w:color w:val="000000"/>
          <w:sz w:val="20"/>
          <w:lang w:val="en-US" w:eastAsia="en-US" w:bidi="ar-SA"/>
        </w:rPr>
        <w:t xml:space="preserve"> at para. 11.</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[155] Relevant contingencies for consideration may be general or specific in nature. Such contingencies include, for example, the potential for improvement in health, opportunities for advancement, and the usual chances and hazards of life: </w:t>
      </w:r>
      <w:r>
        <w:rPr>
          <w:rFonts w:ascii="arial" w:eastAsia="arial" w:hAnsi="arial" w:cs="arial"/>
          <w:b/>
          <w:i/>
          <w:color w:val="000000"/>
          <w:sz w:val="20"/>
          <w:lang w:val="en-US" w:eastAsia="en-US" w:bidi="ar-SA"/>
        </w:rPr>
        <w:t>Djukic</w:t>
      </w:r>
      <w:r>
        <w:rPr>
          <w:rFonts w:ascii="arial" w:eastAsia="arial" w:hAnsi="arial" w:cs="arial"/>
          <w:color w:val="000000"/>
          <w:sz w:val="20"/>
          <w:lang w:val="en-US" w:eastAsia="en-US" w:bidi="ar-SA"/>
        </w:rPr>
        <w:t xml:space="preserve"> </w:t>
      </w:r>
      <w:hyperlink r:id="rId590" w:history="1">
        <w:r>
          <w:rPr>
            <w:rFonts w:ascii="arial" w:eastAsia="arial" w:hAnsi="arial" w:cs="arial"/>
            <w:i/>
            <w:color w:val="0077CC"/>
            <w:sz w:val="20"/>
            <w:u w:val="single"/>
            <w:shd w:val="clear" w:color="auto" w:fill="FFFFFF"/>
            <w:lang w:val="en-US" w:eastAsia="en-US" w:bidi="ar-SA"/>
          </w:rPr>
          <w:t>[2006] B.C.J. No. 199</w:t>
        </w:r>
      </w:hyperlink>
      <w:r>
        <w:rPr>
          <w:rFonts w:ascii="arial" w:eastAsia="arial" w:hAnsi="arial" w:cs="arial"/>
          <w:color w:val="000000"/>
          <w:sz w:val="20"/>
          <w:lang w:val="en-US" w:eastAsia="en-US" w:bidi="ar-SA"/>
        </w:rPr>
        <w:t xml:space="preserve"> at para. 105.</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76</w:t>
      </w:r>
      <w:r>
        <w:rPr>
          <w:rFonts w:ascii="arial" w:eastAsia="arial" w:hAnsi="arial" w:cs="arial"/>
          <w:color w:val="000000"/>
          <w:sz w:val="20"/>
          <w:lang w:val="en-US" w:eastAsia="en-US" w:bidi="ar-SA"/>
        </w:rPr>
        <w:t xml:space="preserve">  In </w:t>
      </w:r>
      <w:r>
        <w:rPr>
          <w:rFonts w:ascii="arial" w:eastAsia="arial" w:hAnsi="arial" w:cs="arial"/>
          <w:b/>
          <w:i/>
          <w:color w:val="000000"/>
          <w:sz w:val="20"/>
          <w:lang w:val="en-US" w:eastAsia="en-US" w:bidi="ar-SA"/>
        </w:rPr>
        <w:t>Palmer v. Goodall</w:t>
      </w:r>
      <w:r>
        <w:rPr>
          <w:rFonts w:ascii="arial" w:eastAsia="arial" w:hAnsi="arial" w:cs="arial"/>
          <w:color w:val="000000"/>
          <w:sz w:val="20"/>
          <w:lang w:val="en-US" w:eastAsia="en-US" w:bidi="ar-SA"/>
        </w:rPr>
        <w:t xml:space="preserve"> </w:t>
      </w:r>
      <w:hyperlink r:id="rId591" w:history="1">
        <w:r>
          <w:rPr>
            <w:rFonts w:ascii="arial" w:eastAsia="arial" w:hAnsi="arial" w:cs="arial"/>
            <w:i/>
            <w:color w:val="0077CC"/>
            <w:sz w:val="20"/>
            <w:u w:val="single"/>
            <w:shd w:val="clear" w:color="auto" w:fill="FFFFFF"/>
            <w:lang w:val="en-US" w:eastAsia="en-US" w:bidi="ar-SA"/>
          </w:rPr>
          <w:t>(1991), 53 B.C.L.R. (2d) 44</w:t>
        </w:r>
      </w:hyperlink>
      <w:r>
        <w:rPr>
          <w:rFonts w:ascii="arial" w:eastAsia="arial" w:hAnsi="arial" w:cs="arial"/>
          <w:color w:val="000000"/>
          <w:sz w:val="20"/>
          <w:lang w:val="en-US" w:eastAsia="en-US" w:bidi="ar-SA"/>
        </w:rPr>
        <w:t xml:space="preserve"> (C.A.), Madam Justice Southin stated: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Because it is impairment that is being redressed, even a plaintiff who is apparently going to be able to earn as much as he could have earned if not injured or who, with retraining, on the balance of probabilities will be able to do so, is entitled to some compensation for the impairment. He is entitled to it because for the rest of his life some occupations will be closed to him and it is impossible to say that over his working life the impairment will not harm his income earning ability.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77</w:t>
      </w:r>
      <w:r>
        <w:rPr>
          <w:rFonts w:ascii="arial" w:eastAsia="arial" w:hAnsi="arial" w:cs="arial"/>
          <w:color w:val="000000"/>
          <w:sz w:val="20"/>
          <w:lang w:val="en-US" w:eastAsia="en-US" w:bidi="ar-SA"/>
        </w:rPr>
        <w:t xml:space="preserve">  Based on the authorities in order to determine damages for loss of future earning capacity, the following questions as set out in </w:t>
      </w:r>
      <w:r>
        <w:rPr>
          <w:rFonts w:ascii="arial" w:eastAsia="arial" w:hAnsi="arial" w:cs="arial"/>
          <w:b/>
          <w:i/>
          <w:color w:val="000000"/>
          <w:sz w:val="20"/>
          <w:lang w:val="en-US" w:eastAsia="en-US" w:bidi="ar-SA"/>
        </w:rPr>
        <w:t>Earnshaw v. Despins</w:t>
      </w:r>
      <w:r>
        <w:rPr>
          <w:rFonts w:ascii="arial" w:eastAsia="arial" w:hAnsi="arial" w:cs="arial"/>
          <w:color w:val="000000"/>
          <w:sz w:val="20"/>
          <w:lang w:val="en-US" w:eastAsia="en-US" w:bidi="ar-SA"/>
        </w:rPr>
        <w:t xml:space="preserve"> </w:t>
      </w:r>
      <w:hyperlink r:id="rId592" w:history="1">
        <w:r>
          <w:rPr>
            <w:rFonts w:ascii="arial" w:eastAsia="arial" w:hAnsi="arial" w:cs="arial"/>
            <w:i/>
            <w:color w:val="0077CC"/>
            <w:sz w:val="20"/>
            <w:u w:val="single"/>
            <w:shd w:val="clear" w:color="auto" w:fill="FFFFFF"/>
            <w:lang w:val="en-US" w:eastAsia="en-US" w:bidi="ar-SA"/>
          </w:rPr>
          <w:t>(1990), 45 B.C.L.R. (2d) 380</w:t>
        </w:r>
      </w:hyperlink>
      <w:r>
        <w:rPr>
          <w:rFonts w:ascii="arial" w:eastAsia="arial" w:hAnsi="arial" w:cs="arial"/>
          <w:color w:val="000000"/>
          <w:sz w:val="20"/>
          <w:lang w:val="en-US" w:eastAsia="en-US" w:bidi="ar-SA"/>
        </w:rPr>
        <w:t xml:space="preserve"> (C.A.), must be addressed:</w:t>
      </w:r>
      <w:r>
        <w:rPr>
          <w:rFonts w:ascii="arial" w:eastAsia="arial" w:hAnsi="arial" w:cs="arial"/>
          <w:sz w:val="20"/>
          <w:lang w:val="en-US" w:eastAsia="en-US" w:bidi="ar-SA"/>
        </w:rPr>
        <w:cr/>
      </w:r>
    </w:p>
    <w:p>
      <w:pPr>
        <w:numPr>
          <w:numId w:val="1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Has the plaintiff's earning capacity been impaired to any degree by his injuries?</w:t>
      </w:r>
    </w:p>
    <w:p>
      <w:pPr>
        <w:numPr>
          <w:numId w:val="1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If so, what amount in the light of all the evidence should be awarded for that impairment?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78</w:t>
      </w:r>
      <w:r>
        <w:rPr>
          <w:rFonts w:ascii="arial" w:eastAsia="arial" w:hAnsi="arial" w:cs="arial"/>
          <w:color w:val="000000"/>
          <w:sz w:val="20"/>
          <w:lang w:val="en-US" w:eastAsia="en-US" w:bidi="ar-SA"/>
        </w:rPr>
        <w:t xml:space="preserve">  The plaintiff testified that his back continues to bother him and I find that the plaintiff's work-related back injury is a divisible injury from his neck and shoulder injury. At para. 24 of </w:t>
      </w:r>
      <w:r>
        <w:rPr>
          <w:rFonts w:ascii="arial" w:eastAsia="arial" w:hAnsi="arial" w:cs="arial"/>
          <w:b/>
          <w:i/>
          <w:color w:val="000000"/>
          <w:sz w:val="20"/>
          <w:lang w:val="en-US" w:eastAsia="en-US" w:bidi="ar-SA"/>
        </w:rPr>
        <w:t>Athey v. Leonati</w:t>
      </w:r>
      <w:r>
        <w:rPr>
          <w:rFonts w:ascii="arial" w:eastAsia="arial" w:hAnsi="arial" w:cs="arial"/>
          <w:color w:val="000000"/>
          <w:sz w:val="20"/>
          <w:lang w:val="en-US" w:eastAsia="en-US" w:bidi="ar-SA"/>
        </w:rPr>
        <w:t xml:space="preserve">, </w:t>
      </w:r>
      <w:hyperlink r:id="rId593" w:history="1">
        <w:r>
          <w:rPr>
            <w:rFonts w:ascii="arial" w:eastAsia="arial" w:hAnsi="arial" w:cs="arial"/>
            <w:i/>
            <w:color w:val="0077CC"/>
            <w:sz w:val="20"/>
            <w:u w:val="single"/>
            <w:shd w:val="clear" w:color="auto" w:fill="FFFFFF"/>
            <w:lang w:val="en-US" w:eastAsia="en-US" w:bidi="ar-SA"/>
          </w:rPr>
          <w:t>[1996] 3 S.C.R. 458</w:t>
        </w:r>
      </w:hyperlink>
      <w:r>
        <w:rPr>
          <w:rFonts w:ascii="arial" w:eastAsia="arial" w:hAnsi="arial" w:cs="arial"/>
          <w:color w:val="000000"/>
          <w:sz w:val="20"/>
          <w:lang w:val="en-US" w:eastAsia="en-US" w:bidi="ar-SA"/>
        </w:rPr>
        <w:t xml:space="preserve">, </w:t>
      </w:r>
      <w:hyperlink r:id="rId593" w:history="1">
        <w:r>
          <w:rPr>
            <w:rFonts w:ascii="arial" w:eastAsia="arial" w:hAnsi="arial" w:cs="arial"/>
            <w:i/>
            <w:color w:val="0077CC"/>
            <w:sz w:val="20"/>
            <w:u w:val="single"/>
            <w:shd w:val="clear" w:color="auto" w:fill="FFFFFF"/>
            <w:lang w:val="en-US" w:eastAsia="en-US" w:bidi="ar-SA"/>
          </w:rPr>
          <w:t>140 D.L.R. (4th) 235</w:t>
        </w:r>
      </w:hyperlink>
      <w:r>
        <w:rPr>
          <w:rFonts w:ascii="arial" w:eastAsia="arial" w:hAnsi="arial" w:cs="arial"/>
          <w:color w:val="000000"/>
          <w:sz w:val="20"/>
          <w:lang w:val="en-US" w:eastAsia="en-US" w:bidi="ar-SA"/>
        </w:rPr>
        <w:t xml:space="preserve"> [</w:t>
      </w:r>
      <w:r>
        <w:rPr>
          <w:rFonts w:ascii="arial" w:eastAsia="arial" w:hAnsi="arial" w:cs="arial"/>
          <w:b/>
          <w:i/>
          <w:color w:val="000000"/>
          <w:sz w:val="20"/>
          <w:lang w:val="en-US" w:eastAsia="en-US" w:bidi="ar-SA"/>
        </w:rPr>
        <w:t>Athey</w:t>
      </w:r>
      <w:r>
        <w:rPr>
          <w:rFonts w:ascii="arial" w:eastAsia="arial" w:hAnsi="arial" w:cs="arial"/>
          <w:color w:val="000000"/>
          <w:sz w:val="20"/>
          <w:lang w:val="en-US" w:eastAsia="en-US" w:bidi="ar-SA"/>
        </w:rPr>
        <w:t>], the court discusses the assessment of damages when the plaintiff has suffered injuries as a result of two separate incidents as follows: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Separation of distinct and divisible injuries is not truly apportionment; it is simply making each defendant liable only for the injury he or she has caused, according to the usual rule .... such cases merely recognize that the defendant is not liable for injuries which were not caused by his or her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79</w:t>
      </w:r>
      <w:r>
        <w:rPr>
          <w:rFonts w:ascii="arial" w:eastAsia="arial" w:hAnsi="arial" w:cs="arial"/>
          <w:color w:val="000000"/>
          <w:sz w:val="20"/>
          <w:lang w:val="en-US" w:eastAsia="en-US" w:bidi="ar-SA"/>
        </w:rPr>
        <w:t xml:space="preserve">  The standard of proof in relation to hypothetical or future events is not the balance of probabilities; a future or hypothetical possibility will be taken into consideration as long as it is a real and substantial possibility. Hypothetical events are to be given weight according to their relative likelihood: </w:t>
      </w:r>
      <w:r>
        <w:rPr>
          <w:rFonts w:ascii="arial" w:eastAsia="arial" w:hAnsi="arial" w:cs="arial"/>
          <w:b/>
          <w:i/>
          <w:color w:val="000000"/>
          <w:sz w:val="20"/>
          <w:lang w:val="en-US" w:eastAsia="en-US" w:bidi="ar-SA"/>
        </w:rPr>
        <w:t>Athey</w:t>
      </w:r>
      <w:r>
        <w:rPr>
          <w:rFonts w:ascii="arial" w:eastAsia="arial" w:hAnsi="arial" w:cs="arial"/>
          <w:color w:val="000000"/>
          <w:sz w:val="20"/>
          <w:lang w:val="en-US" w:eastAsia="en-US" w:bidi="ar-SA"/>
        </w:rPr>
        <w:t xml:space="preserve"> at para. 27.</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80</w:t>
      </w:r>
      <w:r>
        <w:rPr>
          <w:rFonts w:ascii="arial" w:eastAsia="arial" w:hAnsi="arial" w:cs="arial"/>
          <w:color w:val="000000"/>
          <w:sz w:val="20"/>
          <w:lang w:val="en-US" w:eastAsia="en-US" w:bidi="ar-SA"/>
        </w:rPr>
        <w:t>  Dr. Steinson opined that the plaintiff would have to avoid occupations which required a great deal of driving, a lot of lifting or shoulder-checking as this may exacerbate his symptoms. The evidence with respect to the extent of the impairment of his earning capacity was not well-developed. Even so, I accept that the condition of the plaintiff's neck and shoulder has resulted in some impairment of his future earning capacity. For as long as his neck and shoulder pain persists, there will be some occupations closed to him; for example, those occupations requiring repetitive motion of his neck and shoulders. Given the plaintiff's age, level of education, lack of specialized skills, and past work history, some allowance should be made for the possibility that the plaintiff may have lost the capacity to take up a strenuous labouring job if he should ever need to engage in such employment.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81</w:t>
      </w:r>
      <w:r>
        <w:rPr>
          <w:rFonts w:ascii="arial" w:eastAsia="arial" w:hAnsi="arial" w:cs="arial"/>
          <w:color w:val="000000"/>
          <w:sz w:val="20"/>
          <w:lang w:val="en-US" w:eastAsia="en-US" w:bidi="ar-SA"/>
        </w:rPr>
        <w:t xml:space="preserve">  In applying the relevant legal principles and gazing "deeply into the crystal ball" described by the court in </w:t>
      </w:r>
      <w:r>
        <w:rPr>
          <w:rFonts w:ascii="arial" w:eastAsia="arial" w:hAnsi="arial" w:cs="arial"/>
          <w:b/>
          <w:i/>
          <w:color w:val="000000"/>
          <w:sz w:val="20"/>
          <w:lang w:val="en-US" w:eastAsia="en-US" w:bidi="ar-SA"/>
        </w:rPr>
        <w:t>Andrews v. Grand &amp; Toy Alberta Ltd.</w:t>
      </w:r>
      <w:r>
        <w:rPr>
          <w:rFonts w:ascii="arial" w:eastAsia="arial" w:hAnsi="arial" w:cs="arial"/>
          <w:color w:val="000000"/>
          <w:sz w:val="20"/>
          <w:lang w:val="en-US" w:eastAsia="en-US" w:bidi="ar-SA"/>
        </w:rPr>
        <w:t xml:space="preserve">, </w:t>
      </w:r>
      <w:hyperlink r:id="rId594" w:history="1">
        <w:r>
          <w:rPr>
            <w:rFonts w:ascii="arial" w:eastAsia="arial" w:hAnsi="arial" w:cs="arial"/>
            <w:i/>
            <w:color w:val="0077CC"/>
            <w:sz w:val="20"/>
            <w:u w:val="single"/>
            <w:shd w:val="clear" w:color="auto" w:fill="FFFFFF"/>
            <w:lang w:val="en-US" w:eastAsia="en-US" w:bidi="ar-SA"/>
          </w:rPr>
          <w:t>[1978] 2 S.C.R. 229</w:t>
        </w:r>
      </w:hyperlink>
      <w:r>
        <w:rPr>
          <w:rFonts w:ascii="arial" w:eastAsia="arial" w:hAnsi="arial" w:cs="arial"/>
          <w:color w:val="000000"/>
          <w:sz w:val="20"/>
          <w:lang w:val="en-US" w:eastAsia="en-US" w:bidi="ar-SA"/>
        </w:rPr>
        <w:t xml:space="preserve">, </w:t>
      </w:r>
      <w:hyperlink r:id="rId594" w:history="1">
        <w:r>
          <w:rPr>
            <w:rFonts w:ascii="arial" w:eastAsia="arial" w:hAnsi="arial" w:cs="arial"/>
            <w:i/>
            <w:color w:val="0077CC"/>
            <w:sz w:val="20"/>
            <w:u w:val="single"/>
            <w:shd w:val="clear" w:color="auto" w:fill="FFFFFF"/>
            <w:lang w:val="en-US" w:eastAsia="en-US" w:bidi="ar-SA"/>
          </w:rPr>
          <w:t>83 D.L.R. (3d) 452</w:t>
        </w:r>
      </w:hyperlink>
      <w:r>
        <w:rPr>
          <w:rFonts w:ascii="arial" w:eastAsia="arial" w:hAnsi="arial" w:cs="arial"/>
          <w:color w:val="000000"/>
          <w:sz w:val="20"/>
          <w:lang w:val="en-US" w:eastAsia="en-US" w:bidi="ar-SA"/>
        </w:rPr>
        <w:t>, I am left to make an assessment as it relates solely to the plaintiff's neck and shoulder injury.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82</w:t>
      </w:r>
      <w:r>
        <w:rPr>
          <w:rFonts w:ascii="arial" w:eastAsia="arial" w:hAnsi="arial" w:cs="arial"/>
          <w:color w:val="000000"/>
          <w:sz w:val="20"/>
          <w:lang w:val="en-US" w:eastAsia="en-US" w:bidi="ar-SA"/>
        </w:rPr>
        <w:t>  I conclude that the plaintiff's future earning capacity has been impaired by the injuries he suffered in the motor vehicle accident. In these circumstances, taking into account the many future contingencies that may arise and the prospect of recovery or at least improvement in his symptomology, I assess the plaintiff's damages for loss of future earning capacity at $20,000.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u w:val="single"/>
          <w:lang w:val="en-US" w:eastAsia="en-US" w:bidi="ar-SA"/>
        </w:rPr>
        <w:t>Future Cost of Care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83</w:t>
      </w:r>
      <w:r>
        <w:rPr>
          <w:rFonts w:ascii="arial" w:eastAsia="arial" w:hAnsi="arial" w:cs="arial"/>
          <w:color w:val="000000"/>
          <w:sz w:val="20"/>
          <w:lang w:val="en-US" w:eastAsia="en-US" w:bidi="ar-SA"/>
        </w:rPr>
        <w:t>  The plaintiff seeks a lump-sum award of $2,000 to allow him, pursuant to Dr. Steinson's recommendation, to seek pain management modalities such as acupuncture or massage therapy, as well as to participate in a structured exercise program in an effort to rehabilitate his injuries. The plaintiff testified that the acupuncture treatments he has received, which cost $70 per visit, provided him with some pain relief. I am also satisfied that the plaintiff would benefit from a structured exercise program, although there was no evidence tendered with respect to the costs associated with such a program.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84</w:t>
      </w:r>
      <w:r>
        <w:rPr>
          <w:rFonts w:ascii="arial" w:eastAsia="arial" w:hAnsi="arial" w:cs="arial"/>
          <w:color w:val="000000"/>
          <w:sz w:val="20"/>
          <w:lang w:val="en-US" w:eastAsia="en-US" w:bidi="ar-SA"/>
        </w:rPr>
        <w:t xml:space="preserve">  The Court in </w:t>
      </w:r>
      <w:r>
        <w:rPr>
          <w:rFonts w:ascii="arial" w:eastAsia="arial" w:hAnsi="arial" w:cs="arial"/>
          <w:b/>
          <w:i/>
          <w:color w:val="000000"/>
          <w:sz w:val="20"/>
          <w:lang w:val="en-US" w:eastAsia="en-US" w:bidi="ar-SA"/>
        </w:rPr>
        <w:t>Kuskis</w:t>
      </w:r>
      <w:r>
        <w:rPr>
          <w:rFonts w:ascii="arial" w:eastAsia="arial" w:hAnsi="arial" w:cs="arial"/>
          <w:color w:val="000000"/>
          <w:sz w:val="20"/>
          <w:lang w:val="en-US" w:eastAsia="en-US" w:bidi="ar-SA"/>
        </w:rPr>
        <w:t xml:space="preserve"> summarized the relevant principles on cost of future care at paras. 163-164:</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[163] An award for the cost of future care is notional and imprecise in nature: </w:t>
      </w:r>
      <w:r>
        <w:rPr>
          <w:rFonts w:ascii="arial" w:eastAsia="arial" w:hAnsi="arial" w:cs="arial"/>
          <w:b/>
          <w:i/>
          <w:color w:val="000000"/>
          <w:sz w:val="20"/>
          <w:lang w:val="en-US" w:eastAsia="en-US" w:bidi="ar-SA"/>
        </w:rPr>
        <w:t>Strachan (Guardian ad Litem of) v. Reynolds</w:t>
      </w:r>
      <w:r>
        <w:rPr>
          <w:rFonts w:ascii="arial" w:eastAsia="arial" w:hAnsi="arial" w:cs="arial"/>
          <w:color w:val="000000"/>
          <w:sz w:val="20"/>
          <w:lang w:val="en-US" w:eastAsia="en-US" w:bidi="ar-SA"/>
        </w:rPr>
        <w:t xml:space="preserve">, </w:t>
      </w:r>
      <w:hyperlink r:id="rId595" w:history="1">
        <w:r>
          <w:rPr>
            <w:rFonts w:ascii="arial" w:eastAsia="arial" w:hAnsi="arial" w:cs="arial"/>
            <w:i/>
            <w:color w:val="0077CC"/>
            <w:sz w:val="20"/>
            <w:u w:val="single"/>
            <w:shd w:val="clear" w:color="auto" w:fill="FFFFFF"/>
            <w:lang w:val="en-US" w:eastAsia="en-US" w:bidi="ar-SA"/>
          </w:rPr>
          <w:t>2006 BCSC 362</w:t>
        </w:r>
      </w:hyperlink>
      <w:r>
        <w:rPr>
          <w:rFonts w:ascii="arial" w:eastAsia="arial" w:hAnsi="arial" w:cs="arial"/>
          <w:color w:val="000000"/>
          <w:sz w:val="20"/>
          <w:lang w:val="en-US" w:eastAsia="en-US" w:bidi="ar-SA"/>
        </w:rPr>
        <w:t xml:space="preserve">. The court must consider evidence regarding what care is likely in the injured person's best interest and calculate its present cost, with appropriate adjustment for contingencies in all of the circumstances of the case: </w:t>
      </w:r>
      <w:r>
        <w:rPr>
          <w:rFonts w:ascii="arial" w:eastAsia="arial" w:hAnsi="arial" w:cs="arial"/>
          <w:b/>
          <w:i/>
          <w:color w:val="000000"/>
          <w:sz w:val="20"/>
          <w:lang w:val="en-US" w:eastAsia="en-US" w:bidi="ar-SA"/>
        </w:rPr>
        <w:t>Courdin v. Meyers</w:t>
      </w:r>
      <w:r>
        <w:rPr>
          <w:rFonts w:ascii="arial" w:eastAsia="arial" w:hAnsi="arial" w:cs="arial"/>
          <w:color w:val="000000"/>
          <w:sz w:val="20"/>
          <w:lang w:val="en-US" w:eastAsia="en-US" w:bidi="ar-SA"/>
        </w:rPr>
        <w:t xml:space="preserve">, </w:t>
      </w:r>
      <w:hyperlink r:id="rId596" w:history="1">
        <w:r>
          <w:rPr>
            <w:rFonts w:ascii="arial" w:eastAsia="arial" w:hAnsi="arial" w:cs="arial"/>
            <w:i/>
            <w:color w:val="0077CC"/>
            <w:sz w:val="20"/>
            <w:u w:val="single"/>
            <w:shd w:val="clear" w:color="auto" w:fill="FFFFFF"/>
            <w:lang w:val="en-US" w:eastAsia="en-US" w:bidi="ar-SA"/>
          </w:rPr>
          <w:t>2005 BCCA 91</w:t>
        </w:r>
      </w:hyperlink>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85</w:t>
      </w:r>
      <w:r>
        <w:rPr>
          <w:rFonts w:ascii="arial" w:eastAsia="arial" w:hAnsi="arial" w:cs="arial"/>
          <w:color w:val="000000"/>
          <w:sz w:val="20"/>
          <w:lang w:val="en-US" w:eastAsia="en-US" w:bidi="ar-SA"/>
        </w:rPr>
        <w:t>  I am satisfied that an award of $2,000 is appropriate.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u w:val="single"/>
          <w:lang w:val="en-US" w:eastAsia="en-US" w:bidi="ar-SA"/>
        </w:rPr>
        <w:t>Special 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86</w:t>
      </w:r>
      <w:r>
        <w:rPr>
          <w:rFonts w:ascii="arial" w:eastAsia="arial" w:hAnsi="arial" w:cs="arial"/>
          <w:color w:val="000000"/>
          <w:sz w:val="20"/>
          <w:lang w:val="en-US" w:eastAsia="en-US" w:bidi="ar-SA"/>
        </w:rPr>
        <w:t>  The plaintiff claims special damages of $600 for non-prescription drugs, mileage, and out-of-pocket expenses of $135 for his physiotherapy treatments. Given the evidence, I award the plaintiff $500 for special 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CONCLUSION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87</w:t>
      </w:r>
      <w:r>
        <w:rPr>
          <w:rFonts w:ascii="arial" w:eastAsia="arial" w:hAnsi="arial" w:cs="arial"/>
          <w:color w:val="000000"/>
          <w:sz w:val="20"/>
          <w:lang w:val="en-US" w:eastAsia="en-US" w:bidi="ar-SA"/>
        </w:rPr>
        <w:t>  In summary, the defendant is held wholly liable for the accident and damages are awarded to the plaintiff as follows:</w:t>
      </w:r>
      <w:r>
        <w:rPr>
          <w:rFonts w:ascii="arial" w:eastAsia="arial" w:hAnsi="arial" w:cs="arial"/>
          <w:sz w:val="20"/>
          <w:lang w:val="en-US" w:eastAsia="en-US" w:bidi="ar-SA"/>
        </w:rPr>
        <w:cr/>
      </w:r>
    </w:p>
    <w:p>
      <w:pPr>
        <w:numPr>
          <w:numId w:val="11"/>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Non-pecuniary loss $30,000;</w:t>
      </w:r>
    </w:p>
    <w:p>
      <w:pPr>
        <w:numPr>
          <w:numId w:val="11"/>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Loss of future earning capacity $20,000;</w:t>
      </w:r>
    </w:p>
    <w:p>
      <w:pPr>
        <w:numPr>
          <w:numId w:val="11"/>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Cost of future care $2,000; and</w:t>
      </w:r>
    </w:p>
    <w:p>
      <w:pPr>
        <w:numPr>
          <w:numId w:val="11"/>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Special damages $500.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88</w:t>
      </w:r>
      <w:r>
        <w:rPr>
          <w:rFonts w:ascii="arial" w:eastAsia="arial" w:hAnsi="arial" w:cs="arial"/>
          <w:color w:val="000000"/>
          <w:sz w:val="20"/>
          <w:lang w:val="en-US" w:eastAsia="en-US" w:bidi="ar-SA"/>
        </w:rPr>
        <w:t>  The damages awarded total $52,500.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COSTS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89</w:t>
      </w:r>
      <w:r>
        <w:rPr>
          <w:rFonts w:ascii="arial" w:eastAsia="arial" w:hAnsi="arial" w:cs="arial"/>
          <w:color w:val="000000"/>
          <w:sz w:val="20"/>
          <w:lang w:val="en-US" w:eastAsia="en-US" w:bidi="ar-SA"/>
        </w:rPr>
        <w:t>  In the event that the parties cannot reach an agreement on costs, they have liberty to apply by contacting the Registry to set a date for submissions on the matter.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D.J. DARDI J.</w:t>
      </w:r>
      <w:r>
        <w:rPr>
          <w:rFonts w:ascii="arial" w:eastAsia="arial" w:hAnsi="arial" w:cs="arial"/>
          <w:sz w:val="20"/>
          <w:lang w:val="en-US" w:eastAsia="en-US" w:bidi="ar-SA"/>
        </w:rPr>
        <w:cr/>
      </w:r>
    </w:p>
    <w:p>
      <w:pPr>
        <w:rPr>
          <w:rFonts w:ascii="arial" w:eastAsia="arial" w:hAnsi="arial" w:cs="arial"/>
          <w:sz w:val="20"/>
          <w:lang w:val="en-US" w:eastAsia="en-US" w:bidi="ar-SA"/>
        </w:rPr>
      </w:pPr>
    </w:p>
    <w:p>
      <w:pPr>
        <w:ind w:left="200"/>
        <w:rPr>
          <w:rFonts w:ascii="arial" w:eastAsia="arial" w:hAnsi="arial" w:cs="arial"/>
          <w:sz w:val="20"/>
          <w:lang w:val="en-US" w:eastAsia="en-US" w:bidi="ar-SA"/>
        </w:rPr>
        <w:sectPr>
          <w:type w:val="continuous"/>
          <w:pgMar w:top="840" w:right="1000" w:bottom="840" w:left="1000" w:header="400" w:footer="400"/>
          <w:pgNumType w:fmt="decimal"/>
          <w:cols w:space="720"/>
        </w:sectPr>
      </w:pPr>
      <w:r>
        <w:rPr>
          <w:rFonts w:ascii="arial" w:eastAsia="arial" w:hAnsi="arial" w:cs="arial"/>
          <w:sz w:val="20"/>
          <w:lang w:val="en-US" w:eastAsia="en-US" w:bidi="ar-SA"/>
        </w:rPr>
        <w:br/>
      </w:r>
      <w:r>
        <w:pict>
          <v:line id="_x0000_s1170" style="position:absolute;z-index:251883520" from="0,10pt" to="512pt,10pt" strokecolor="black" strokeweight="1pt">
            <v:stroke linestyle="single"/>
          </v:line>
        </w:pict>
      </w:r>
      <w:r>
        <w:rPr>
          <w:b/>
          <w:color w:val="767676"/>
          <w:sz w:val="16"/>
          <w:lang w:val="en-US" w:eastAsia="en-US" w:bidi="ar-SA"/>
        </w:rPr>
        <w:t>End of Document</w:t>
      </w:r>
    </w:p>
    <w:p>
      <w:pPr>
        <w:rPr>
          <w:rFonts w:ascii="arial" w:eastAsia="arial" w:hAnsi="arial" w:cs="arial"/>
          <w:sz w:val="20"/>
          <w:lang w:val="en-US" w:eastAsia="en-US" w:bidi="ar-SA"/>
        </w:rPr>
        <w:sectPr>
          <w:headerReference w:type="even" r:id="rId597"/>
          <w:headerReference w:type="default" r:id="rId598"/>
          <w:footerReference w:type="even" r:id="rId599"/>
          <w:footerReference w:type="default" r:id="rId600"/>
          <w:headerReference w:type="first" r:id="rId601"/>
          <w:footerReference w:type="first" r:id="rId602"/>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eastAsia="arial" w:hAnsi="Arial" w:cs="Arial"/>
          <w:b/>
          <w:bCs/>
          <w:kern w:val="32"/>
          <w:sz w:val="32"/>
          <w:szCs w:val="32"/>
          <w:lang w:val="en-US" w:eastAsia="en-US" w:bidi="ar-SA"/>
        </w:rPr>
      </w:pPr>
      <w:hyperlink r:id="rId603" w:history="1">
        <w:r>
          <w:rPr>
            <w:rFonts w:ascii="arial" w:eastAsia="arial" w:hAnsi="arial" w:cs="arial"/>
            <w:b/>
            <w:bCs/>
            <w:i/>
            <w:color w:val="0077CC"/>
            <w:kern w:val="32"/>
            <w:sz w:val="28"/>
            <w:szCs w:val="32"/>
            <w:u w:val="single"/>
            <w:shd w:val="clear" w:color="auto" w:fill="FFFFFF"/>
            <w:lang w:val="en-US" w:eastAsia="en-US" w:bidi="ar-SA"/>
          </w:rPr>
          <w:t>Radjenovic v. Bains, [2013] B.C.J. No. 749</w:t>
        </w:r>
      </w:hyperlink>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Judgments</w:t>
      </w:r>
    </w:p>
    <w:p>
      <w:pPr>
        <w:rPr>
          <w:rFonts w:ascii="arial" w:eastAsia="arial" w:hAnsi="arial" w:cs="arial"/>
          <w:sz w:val="20"/>
          <w:lang w:val="en-US" w:eastAsia="en-US" w:bidi="ar-SA"/>
        </w:rPr>
      </w:pP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Vancouver, British Columbia</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T.J. Melnick J.</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Heard: April 8 and 9, 2013.</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Judgment: April 15, 2013.</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Dockets: M100008, M105293</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Registry: Vancouver</w:t>
      </w:r>
    </w:p>
    <w:p>
      <w:pPr>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r>
        <w:rPr>
          <w:rFonts w:ascii="arial" w:eastAsia="arial" w:hAnsi="arial" w:cs="arial"/>
          <w:b/>
          <w:color w:val="000000"/>
          <w:sz w:val="20"/>
          <w:lang w:val="en-US" w:eastAsia="en-US" w:bidi="ar-SA"/>
        </w:rPr>
        <w:t>[2013] B.C.J. No. 749</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2013 BCSC 654</w:t>
      </w:r>
    </w:p>
    <w:p>
      <w:pPr>
        <w:spacing w:before="120" w:line="260" w:lineRule="atLeast"/>
        <w:rPr>
          <w:rFonts w:ascii="arial" w:eastAsia="arial" w:hAnsi="arial" w:cs="arial"/>
          <w:sz w:val="20"/>
          <w:lang w:val="en-US" w:eastAsia="en-US" w:bidi="ar-SA"/>
        </w:rPr>
      </w:pPr>
      <w:r>
        <w:rPr>
          <w:rFonts w:ascii="arial" w:eastAsia="arial" w:hAnsi="arial" w:cs="arial"/>
          <w:color w:val="000000"/>
          <w:sz w:val="20"/>
          <w:lang w:val="en-US" w:eastAsia="en-US" w:bidi="ar-SA"/>
        </w:rPr>
        <w:t>Between Sandra Radjenovic, Plaintiff, and Parbhjot Bains, Vancouver Taxi Ltd., Uros Budimac, Slavica Budimac, Maynard Eugene Embree, and Susan Lee Embree, Defendants, and Insurance Corporation of British Columbia, Third Party And between Uros Budimac, Plaintiff, and Parbhjot Bains and Vancouver Taxi Ltd., Defendants</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(17 paras.)</w:t>
      </w:r>
    </w:p>
    <w:p>
      <w:pPr>
        <w:keepNext/>
        <w:spacing w:before="12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Case Summary</w:t>
      </w:r>
    </w:p>
    <w:p>
      <w:pPr>
        <w:spacing w:line="60" w:lineRule="exact"/>
        <w:rPr>
          <w:rFonts w:ascii="arial" w:eastAsia="arial" w:hAnsi="arial" w:cs="arial"/>
          <w:sz w:val="20"/>
          <w:lang w:val="en-US" w:eastAsia="en-US" w:bidi="ar-SA"/>
        </w:rPr>
      </w:pPr>
      <w:r>
        <w:pict>
          <v:line id="_x0000_s1171" style="position:absolute;z-index:251688960"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bookmarkStart w:id="190" w:name="Keywords_28"/>
      <w:bookmarkEnd w:id="190"/>
      <w:r>
        <w:rPr>
          <w:rFonts w:ascii="arial" w:eastAsia="arial" w:hAnsi="arial" w:cs="arial"/>
          <w:b/>
          <w:color w:val="000000"/>
          <w:sz w:val="20"/>
          <w:lang w:val="en-US" w:eastAsia="en-US" w:bidi="ar-SA"/>
        </w:rPr>
        <w:t>Damages — Proceedings — Action by Radjenovic and Budimac for damages in relation to a motor vehicle accident allowed — Radjenovic was a passenger in Budimac's vehicle when it was struck by the defendant Bains' taxi as Radjenovic pulled out from a parking spot — The only issue was liability as damages had been agreed to — Budimac started to leave his parking spot because there was no apparent reason to be concerned about oncoming traffic — Bains was driving too fast to come to a stop behind Budimac's vehicle once he saw it and was 100 per cent at fault.</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 xml:space="preserve">Tort law — </w:t>
      </w:r>
      <w:r>
        <w:rPr>
          <w:rFonts w:ascii="arial" w:eastAsia="arial" w:hAnsi="arial" w:cs="arial"/>
          <w:b/>
          <w:i/>
          <w:color w:val="000000"/>
          <w:sz w:val="20"/>
          <w:u w:val="single"/>
          <w:lang w:val="en-US" w:eastAsia="en-US" w:bidi="ar-SA"/>
        </w:rPr>
        <w:t>Negligence</w:t>
      </w:r>
      <w:r>
        <w:rPr>
          <w:rFonts w:ascii="arial" w:eastAsia="arial" w:hAnsi="arial" w:cs="arial"/>
          <w:b/>
          <w:color w:val="000000"/>
          <w:sz w:val="20"/>
          <w:lang w:val="en-US" w:eastAsia="en-US" w:bidi="ar-SA"/>
        </w:rPr>
        <w:t xml:space="preserve"> — Motor vehicles — Liability of driver — Rules of the road — Action by Radjenovic and Budimac for damages in relation to a motor vehicle accident allowed — Radjenovic was a passenger in Budimac's vehicle when it was struck by the defendant Bains' taxi as Radjenovic pulled out from a parking spot — The only issue was liability as damages had been agreed to — Budimac started to leave his parking spot because there was no apparent reason to be concerned about oncoming traffic — Bains was driving too fast to come to a stop behind Budimac's vehicle once he saw it and was 100 per cent at fault.</w:t>
      </w:r>
    </w:p>
    <w:p>
      <w:pPr>
        <w:jc w:val="both"/>
        <w:rPr>
          <w:rFonts w:ascii="arial" w:eastAsia="arial" w:hAnsi="arial" w:cs="arial"/>
          <w:sz w:val="20"/>
          <w:lang w:val="en-US" w:eastAsia="en-US" w:bidi="ar-SA"/>
        </w:rPr>
      </w:pPr>
      <w:bookmarkStart w:id="191" w:name="Legislation Cited_22"/>
      <w:bookmarkEnd w:id="191"/>
      <w:r>
        <w:rPr>
          <w:rFonts w:ascii="arial" w:eastAsia="arial" w:hAnsi="arial" w:cs="arial"/>
          <w:sz w:val="20"/>
          <w:lang w:val="en-US" w:eastAsia="en-US" w:bidi="ar-SA"/>
        </w:rPr>
        <w:br/>
      </w:r>
    </w:p>
    <w:p>
      <w:pPr>
        <w:keepNext/>
        <w:spacing w:before="24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Statutes, Regulations and Rules Cited:</w:t>
      </w:r>
    </w:p>
    <w:p>
      <w:pPr>
        <w:spacing w:line="60" w:lineRule="exact"/>
        <w:rPr>
          <w:rFonts w:ascii="arial" w:eastAsia="arial" w:hAnsi="arial" w:cs="arial"/>
          <w:sz w:val="20"/>
          <w:lang w:val="en-US" w:eastAsia="en-US" w:bidi="ar-SA"/>
        </w:rPr>
      </w:pPr>
      <w:r>
        <w:pict>
          <v:line id="_x0000_s1172" style="position:absolute;z-index:251740160"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Motor Vehicle Act, </w:t>
      </w:r>
      <w:hyperlink r:id="rId58" w:history="1">
        <w:r>
          <w:rPr>
            <w:rFonts w:ascii="arial" w:eastAsia="arial" w:hAnsi="arial" w:cs="arial"/>
            <w:i/>
            <w:color w:val="0077CC"/>
            <w:sz w:val="20"/>
            <w:u w:val="single"/>
            <w:shd w:val="clear" w:color="auto" w:fill="FFFFFF"/>
            <w:lang w:val="en-US" w:eastAsia="en-US" w:bidi="ar-SA"/>
          </w:rPr>
          <w:t>RSBC 1996, CHAPTER 318, s. 144</w:t>
        </w:r>
      </w:hyperlink>
      <w:r>
        <w:rPr>
          <w:rFonts w:ascii="arial" w:eastAsia="arial" w:hAnsi="arial" w:cs="arial"/>
          <w:color w:val="000000"/>
          <w:sz w:val="20"/>
          <w:lang w:val="en-US" w:eastAsia="en-US" w:bidi="ar-SA"/>
        </w:rPr>
        <w:t>(1), s. 169, s. 171(1)</w:t>
      </w:r>
      <w:r>
        <w:rPr>
          <w:rFonts w:ascii="arial" w:eastAsia="arial" w:hAnsi="arial" w:cs="arial"/>
          <w:sz w:val="20"/>
          <w:lang w:val="en-US" w:eastAsia="en-US" w:bidi="ar-SA"/>
        </w:rPr>
        <w:cr/>
      </w:r>
    </w:p>
    <w:p>
      <w:pPr>
        <w:keepNext/>
        <w:spacing w:before="240" w:line="340" w:lineRule="atLeast"/>
        <w:rPr>
          <w:rFonts w:ascii="arial" w:eastAsia="arial" w:hAnsi="arial" w:cs="arial"/>
          <w:sz w:val="20"/>
          <w:lang w:val="en-US" w:eastAsia="en-US" w:bidi="ar-SA"/>
        </w:rPr>
      </w:pPr>
      <w:bookmarkStart w:id="192" w:name="Counsel_28"/>
      <w:bookmarkEnd w:id="192"/>
      <w:r>
        <w:rPr>
          <w:rFonts w:ascii="arial" w:eastAsia="arial" w:hAnsi="arial" w:cs="arial"/>
          <w:b/>
          <w:color w:val="000000"/>
          <w:sz w:val="28"/>
          <w:lang w:val="en-US" w:eastAsia="en-US" w:bidi="ar-SA"/>
        </w:rPr>
        <w:t>Counsel</w:t>
      </w:r>
    </w:p>
    <w:p>
      <w:pPr>
        <w:spacing w:line="60" w:lineRule="exact"/>
        <w:rPr>
          <w:rFonts w:ascii="arial" w:eastAsia="arial" w:hAnsi="arial" w:cs="arial"/>
          <w:sz w:val="20"/>
          <w:lang w:val="en-US" w:eastAsia="en-US" w:bidi="ar-SA"/>
        </w:rPr>
      </w:pPr>
      <w:r>
        <w:pict>
          <v:line id="_x0000_s1173" style="position:absolute;z-index:251791360"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Counsel for the Plaintiff in M100008: Stephen Yung.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Counsel for the Defendants in M100008, Uros Budimac and Slavica Budimac and Plaintiff in M105293, Uros Budimac: Derek M. Mah.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Counsel for the Defendants in both actions, Parbhjot Bains, Vancouver Taxi Ltd. and the Third Party, ICBC: Michael D. Murphy.</w:t>
      </w:r>
      <w:r>
        <w:rPr>
          <w:rFonts w:ascii="arial" w:eastAsia="arial" w:hAnsi="arial" w:cs="arial"/>
          <w:sz w:val="20"/>
          <w:lang w:val="en-US" w:eastAsia="en-US" w:bidi="ar-SA"/>
        </w:rPr>
        <w:cr/>
      </w:r>
    </w:p>
    <w:p>
      <w:pPr>
        <w:spacing w:after="240"/>
        <w:rPr>
          <w:rFonts w:ascii="arial" w:eastAsia="arial" w:hAnsi="arial" w:cs="arial"/>
          <w:sz w:val="20"/>
          <w:lang w:val="en-US" w:eastAsia="en-US" w:bidi="ar-SA"/>
        </w:rPr>
      </w:pPr>
      <w:bookmarkStart w:id="193" w:name="Judgment_29"/>
      <w:bookmarkEnd w:id="193"/>
      <w:r>
        <w:pict>
          <v:line id="_x0000_s1174" style="position:absolute;z-index:251840512" from="0,12pt" to="512pt,12pt" strokecolor="#009ddb" strokeweight="1.5pt">
            <v:stroke linestyle="single"/>
          </v:line>
        </w:pict>
      </w:r>
    </w:p>
    <w:p>
      <w:pPr>
        <w:spacing w:before="120" w:line="260" w:lineRule="atLeast"/>
        <w:jc w:val="center"/>
        <w:rPr>
          <w:rFonts w:ascii="arial" w:eastAsia="arial" w:hAnsi="arial" w:cs="arial"/>
          <w:sz w:val="20"/>
          <w:lang w:val="en-US" w:eastAsia="en-US" w:bidi="ar-SA"/>
        </w:rPr>
      </w:pPr>
      <w:r>
        <w:rPr>
          <w:rFonts w:ascii="arial" w:eastAsia="arial" w:hAnsi="arial" w:cs="arial"/>
          <w:b/>
          <w:color w:val="000000"/>
          <w:sz w:val="20"/>
          <w:lang w:val="en-US" w:eastAsia="en-US" w:bidi="ar-SA"/>
        </w:rPr>
        <w:t>Reasons for Judgment</w:t>
      </w:r>
      <w:r>
        <w:rPr>
          <w:rFonts w:ascii="arial" w:eastAsia="arial" w:hAnsi="arial" w:cs="arial"/>
          <w:sz w:val="20"/>
          <w:lang w:val="en-US" w:eastAsia="en-US" w:bidi="ar-SA"/>
        </w:rPr>
        <w:cr/>
      </w:r>
    </w:p>
    <w:p>
      <w:pPr>
        <w:rPr>
          <w:rFonts w:ascii="arial" w:eastAsia="arial" w:hAnsi="arial" w:cs="arial"/>
          <w:sz w:val="20"/>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2570"/>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rFonts w:ascii="arial" w:eastAsia="arial" w:hAnsi="arial" w:cs="arial"/>
                <w:sz w:val="20"/>
                <w:lang w:val="en-US" w:eastAsia="en-US" w:bidi="ar-SA"/>
              </w:rPr>
            </w:pPr>
            <w:bookmarkStart w:id="194" w:name="T.J. MELNICK J."/>
            <w:bookmarkEnd w:id="194"/>
            <w:r>
              <w:rPr>
                <w:rFonts w:ascii="arial" w:eastAsia="arial" w:hAnsi="arial" w:cs="arial"/>
                <w:b/>
                <w:color w:val="000000"/>
                <w:sz w:val="30"/>
                <w:lang w:val="en-US" w:eastAsia="en-US" w:bidi="ar-SA"/>
              </w:rPr>
              <w:t>T.J. MELNICK J.</w:t>
            </w:r>
          </w:p>
        </w:tc>
      </w:tr>
    </w:tbl>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These actions arise out of a motor vehicle accident that occurred on October 31, 2008 on West 11th Avenue in Vancouver. One vehicle, exiting from a parking stall, was struck by another which was proceeding in the same direction. The only issue is liability. Did the driver of the one vehicle pull out into the travelled portion of the roadway when it was unsafe to do so, or was the driver of the approaching vehicle driving too fast and without due care and attention so that he failed to see the exiting vehicle?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 xml:space="preserve">I. </w:t>
      </w:r>
      <w:r>
        <w:rPr>
          <w:rFonts w:ascii="arial" w:eastAsia="arial" w:hAnsi="arial" w:cs="arial"/>
          <w:b/>
          <w:color w:val="000000"/>
          <w:sz w:val="20"/>
          <w:u w:val="single"/>
          <w:lang w:val="en-US" w:eastAsia="en-US" w:bidi="ar-SA"/>
        </w:rPr>
        <w:t>BACKGROUND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Uros Budimac ("Mr. Budimac") and his fiancé (now wife) Sandra Radjenovic decided to drive from North Vancouver to go to Vij's, a restaurant on West 11th Avenue in Vancouver. Mr. Budimac drove an orange 2007 Mitsubishi Eclipse registered in the name of Slavica Budimac. He parallel parked on the south side of West 11th Avenue, just past an alley on the east side of Vij's. Mr. Budimac and Ms. Radjenovic decided that the length of time they would have to wait to be seated at Vij's was too long so they left, intending to go elsewhere. The time was just after 7:00 p.m. It was dark, but streetlights were on. It had been raining earlier.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According to Mr. Budimac, he put on his seatbelt, activated the left-hand signal light, checked his rear view mirror and noticed a vehicle waiting behind him in the entrance to the alley, apparently prepared to move into his parking spot. He alleges he did a shoulder check, determined that it was clear to exit, and began to do so slowly. He proceeded part way out of his parking place when, upon doing another shoulder check, he saw headlights approaching in the eastbound lane from the direction of Granville Street at what appeared to him to be a fast speed. He came to a complete stop. His vehicle was then struck on the left front side and pushed forward and sideways into a minivan that was parked ahead of the space from which he was exiting.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Parbhjot Bains was on duty that evening driving a 2007 Toyota Sienna van owned by Vancouver Taxi Ltd. He had just dropped off a customer at Fir Street and West 10th Avenue when he received a call to pick up a customer on Oak Street. He decided to drive to Oak Street via West 11th Avenue. He said he stopped before crossing Granville Street, then proceeded past Vij's, proceeding east on West 11th. He maintains that he was going about 40 kph, the speed limit being 50 kph. Mr. Bains said that as soon as he crossed the alley behind Vij's, a car suddenly pulled out so quickly that he could not take evasive action.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Just prior to the accident, Iolanda Millar was driving west on West 11th Avenue, heading in the direction of Granville Street. She was driving her Honda Civic at 20 to 30 kph, she said. She said that she recalled a taxi van coming around the corner, turning right on West 11th from Granville Street. As the taxi was about to go by her, she said, lights came on in a parked car and it started to pull out. She recalled the driver of the taxi pausing briefly, then continuing around the bumper of the protruding car when suddenly the car came out really fast and hit the side of the taxi very hard. At the time the car pulled out, she said, the taxi was "two thirds up beside" the car, measured from the back of the car. The lighting conditions at the time were between dusk and dark, she recalled. She had her headlights on. She believed the car that pulled out was a four door sedan.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Marek Buksowicz and his wife arrived on West 11th Avenue just as Mr. Budimac and Ms. Radjenovic were leaving. Mr. Buksowicz pulled his vehicle in behind that of Mr. Budimac, out of the east bound driving lane, effectively blocking the alley, to wait for Mr. Budimac to leave so he could take his parking spot. Mr. Buksowicz said that the orange car ahead of his vehicle pulled out into the east bound lane and shortly afterward was hit by a taxi. He recalled that the car left in what he described as an "orderly controlled manner"; not excessively slow or fast; it was normal. His impression of the taxi was that it was going fast. He said that the car was one-half to two-thirds of the way out of the parking spot, at an angle of 30 to 40 degrees, when it was hit. When he saw the taxi, about half of its width was in the west bound lane. The collision was a couple of seconds after the orange car pulled out, he said. Both vehicles came to a stop fairly quickly, he noted.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Robin Brown, a professional engineer, gave opinion evidence in the area of motor vehicle accident reconstruction. He was retained by the defendants last year and authored a report dated November 16, 2012. He examined the accident site on October 31, 2012 as well as photographs of the vehicles damaged in the collision. He relied upon assumed events provided by then counsel for the defence. He was able to provide aerial photographs of the area taken in 2008. It was his opinion that the right front corner of the taxi struck the front half of the left door and fender of the Mitsubishi. This caused the Mitsubishi to rotate clockwise. It was his opinion that the right front corner of the Mitsubishi must have been just left of the left rear corner of the minivan parked ahead of it, and moving forward, to produce the damage he observed to the vehicles. He concluded that the taxi had been steered to the left to travel around the Mitsubishi as there had not been continuous contact down the taxi's right side. He said that the taxi and the Mitsubishi which it struck both moved to the left after the Mitsubishi had been pushed into the minivan. He estimated that the taxi had likely been travelling at a speed in the range of 40 to 50 kph on initial impact. In cross-examination, he agreed that the evidence he observed was consistent with the taxi's speed being as high as 60 kph on contact, but not more.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A photograph taken by Mr. Budimac, from behind the accident scene looking east, showed the position of the vehicles at rest being such that the Mitsubishi was virtually opposite and parallel to the minivan with a space between those two vehicles sufficient for a person to comfortably walk between them. The taxi was at an angle pointing east south east, facing in a direction from the westbound lane toward the eastbound lane. The rear of the taxi was at rest at the front portion of the driver's door of the Mitsubishi.</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 xml:space="preserve">II. </w:t>
      </w:r>
      <w:r>
        <w:rPr>
          <w:rFonts w:ascii="arial" w:eastAsia="arial" w:hAnsi="arial" w:cs="arial"/>
          <w:b/>
          <w:color w:val="000000"/>
          <w:sz w:val="20"/>
          <w:u w:val="single"/>
          <w:lang w:val="en-US" w:eastAsia="en-US" w:bidi="ar-SA"/>
        </w:rPr>
        <w:t>DISCUSSION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Cases such as this are dependent on their particular facts.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xml:space="preserve">  The applicable sections of the </w:t>
      </w:r>
      <w:r>
        <w:rPr>
          <w:rFonts w:ascii="arial" w:eastAsia="arial" w:hAnsi="arial" w:cs="arial"/>
          <w:i/>
          <w:color w:val="000000"/>
          <w:sz w:val="20"/>
          <w:lang w:val="en-US" w:eastAsia="en-US" w:bidi="ar-SA"/>
        </w:rPr>
        <w:t>Motor Vehicle Act</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R.S.B.C. 1996, c. 318</w:t>
      </w:r>
      <w:r>
        <w:rPr>
          <w:rFonts w:ascii="arial" w:eastAsia="arial" w:hAnsi="arial" w:cs="arial"/>
          <w:color w:val="000000"/>
          <w:sz w:val="20"/>
          <w:lang w:val="en-US" w:eastAsia="en-US" w:bidi="ar-SA"/>
        </w:rPr>
        <w:t xml:space="preserve"> in this situation are: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144(1) A person must not drive a motor vehicle on a highway</w:t>
      </w:r>
    </w:p>
    <w:p>
      <w:pPr>
        <w:numPr>
          <w:numId w:val="10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without due care and attention,</w:t>
      </w:r>
    </w:p>
    <w:p>
      <w:pPr>
        <w:numPr>
          <w:numId w:val="10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without reasonable consideration for other persons using the highway, or</w:t>
      </w:r>
    </w:p>
    <w:p>
      <w:pPr>
        <w:numPr>
          <w:numId w:val="10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at a speed that is excessive relative to the road, traffic, visibility or weather conditions.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169 A person must not move a vehicle that is stopped, standing or parked unless the movement can be made with reasonable safety and he or she first gives the appropriate signal under section 171 or 172.</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171(1) Subject to subsection (2), if a signal is required a driver must give it by means of</w:t>
      </w:r>
    </w:p>
    <w:p>
      <w:pPr>
        <w:numPr>
          <w:numId w:val="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his or her hand and arm,</w:t>
      </w:r>
    </w:p>
    <w:p>
      <w:pPr>
        <w:numPr>
          <w:numId w:val="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 signal lamp of a type approved by the director, or</w:t>
      </w:r>
    </w:p>
    <w:p>
      <w:pPr>
        <w:numPr>
          <w:numId w:val="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 mechanical device of a type approved by the director.</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I place no reliance on the evidence of Ms. Millar. I find her version of the events inconsistent with the physical evidence of where each of the three vehicles involved was damaged. Between her and Mr. Buksowicz, the latter had the best opportunity to view the impact and the movement of the Mitsubishi in the seconds leading up to the collision. He did not have an opportunity to see the approach of the taxi, but did see it move past him with his peripheral vision. His evidence best accords with the evidence of the expert, Mr. Brown.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I accept the evidence of Mr. Budimac that he signalled mechanically to turn left and mirror and shoulder checked before he began to slowly exit his parking spot. I accept that the taxi driven by Mr. Bains was not evident to him because it probably still had not approached the area of West 11th east of Granville to be evident to anyone considering moving out of a parking position just east of the alleyway behind Vij's. Mr. Budimac commenced leaving his parking spot because, as he did so, there was no apparent reason to be concerned about oncoming traffic.</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I conclude that Mr. Bains was driving faster than the 30 to 40 kph he estimated at trial. He was probably driving in the range of 50 kph, a speed that was legal for that street, but imprudent for the nature of the surroundings, the time of day and light conditions. He was going too fast to come to a stop behind the Mitsubishi once he saw it and tried unsuccessfully to drive around it.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This was a case of Mr. Bains failing to yield to a vehicle that had lawfully assumed a dominant position in the eastbound lane notwithstanding that it had not yet pulled out fully into that lane. When Mr. Bains came upon the scene, Mr. Budimac had, exercising appropriate caution, already moved his vehicle substantially into the eastbound lane. He did not, I conclude, suddenly and without warning, pull into the path of Mr. Bains' taxi. Mr. Bains is at fault for the accident, not Mr. Bucimac.</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 xml:space="preserve">III. </w:t>
      </w:r>
      <w:r>
        <w:rPr>
          <w:rFonts w:ascii="arial" w:eastAsia="arial" w:hAnsi="arial" w:cs="arial"/>
          <w:b/>
          <w:color w:val="000000"/>
          <w:sz w:val="20"/>
          <w:u w:val="single"/>
          <w:lang w:val="en-US" w:eastAsia="en-US" w:bidi="ar-SA"/>
        </w:rPr>
        <w:t>CONCLUSION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w:t>
      </w:r>
      <w:r>
        <w:rPr>
          <w:rFonts w:ascii="arial" w:eastAsia="arial" w:hAnsi="arial" w:cs="arial"/>
          <w:color w:val="000000"/>
          <w:sz w:val="20"/>
          <w:lang w:val="en-US" w:eastAsia="en-US" w:bidi="ar-SA"/>
        </w:rPr>
        <w:t>  I find Mr. Bains 100% at fault for the damages flowing from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w:t>
      </w:r>
      <w:r>
        <w:rPr>
          <w:rFonts w:ascii="arial" w:eastAsia="arial" w:hAnsi="arial" w:cs="arial"/>
          <w:color w:val="000000"/>
          <w:sz w:val="20"/>
          <w:lang w:val="en-US" w:eastAsia="en-US" w:bidi="ar-SA"/>
        </w:rPr>
        <w:t>  Thus, in the action brought by Ms. Radjenovic, I find Mr. Bains and Vancouver Taxi Ltd. liable to compensate her for the damages which, I am advised, have been agreed. That action is dismissed as against Mr. Budimac and Slavica Budimac. Ms. Radjenovic, Mr. Budimac, and Slavica Budimac are entitled to their costs on Scale "B" to be taxed.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w:t>
      </w:r>
      <w:r>
        <w:rPr>
          <w:rFonts w:ascii="arial" w:eastAsia="arial" w:hAnsi="arial" w:cs="arial"/>
          <w:color w:val="000000"/>
          <w:sz w:val="20"/>
          <w:lang w:val="en-US" w:eastAsia="en-US" w:bidi="ar-SA"/>
        </w:rPr>
        <w:t>  In the action brought by Mr. Budimac, I find Mr. Bains and Vancouver Taxi Ltd. liable to compensate Mr. Budimac for all his damages that have been agreed. He is entitled to his costs on Scale B to be taxed.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T.J. MELNICK J.</w:t>
      </w:r>
      <w:r>
        <w:rPr>
          <w:rFonts w:ascii="arial" w:eastAsia="arial" w:hAnsi="arial" w:cs="arial"/>
          <w:sz w:val="20"/>
          <w:lang w:val="en-US" w:eastAsia="en-US" w:bidi="ar-SA"/>
        </w:rPr>
        <w:cr/>
      </w:r>
    </w:p>
    <w:p>
      <w:pPr>
        <w:rPr>
          <w:rFonts w:ascii="arial" w:eastAsia="arial" w:hAnsi="arial" w:cs="arial"/>
          <w:sz w:val="20"/>
          <w:lang w:val="en-US" w:eastAsia="en-US" w:bidi="ar-SA"/>
        </w:rPr>
      </w:pPr>
    </w:p>
    <w:p>
      <w:pPr>
        <w:ind w:left="200"/>
        <w:rPr>
          <w:rFonts w:ascii="arial" w:eastAsia="arial" w:hAnsi="arial" w:cs="arial"/>
          <w:sz w:val="20"/>
          <w:lang w:val="en-US" w:eastAsia="en-US" w:bidi="ar-SA"/>
        </w:rPr>
        <w:sectPr>
          <w:type w:val="continuous"/>
          <w:pgMar w:top="840" w:right="1000" w:bottom="840" w:left="1000" w:header="400" w:footer="400"/>
          <w:pgNumType w:fmt="decimal"/>
          <w:cols w:space="720"/>
        </w:sectPr>
      </w:pPr>
      <w:r>
        <w:rPr>
          <w:rFonts w:ascii="arial" w:eastAsia="arial" w:hAnsi="arial" w:cs="arial"/>
          <w:sz w:val="20"/>
          <w:lang w:val="en-US" w:eastAsia="en-US" w:bidi="ar-SA"/>
        </w:rPr>
        <w:br/>
      </w:r>
      <w:r>
        <w:pict>
          <v:line id="_x0000_s1175" style="position:absolute;z-index:251884544" from="0,10pt" to="512pt,10pt" strokecolor="black" strokeweight="1pt">
            <v:stroke linestyle="single"/>
          </v:line>
        </w:pict>
      </w:r>
      <w:r>
        <w:rPr>
          <w:b/>
          <w:color w:val="767676"/>
          <w:sz w:val="16"/>
          <w:lang w:val="en-US" w:eastAsia="en-US" w:bidi="ar-SA"/>
        </w:rPr>
        <w:t>End of Document</w:t>
      </w:r>
    </w:p>
    <w:p>
      <w:pPr>
        <w:rPr>
          <w:rFonts w:ascii="arial" w:eastAsia="arial" w:hAnsi="arial" w:cs="arial"/>
          <w:sz w:val="20"/>
          <w:lang w:val="en-US" w:eastAsia="en-US" w:bidi="ar-SA"/>
        </w:rPr>
        <w:sectPr>
          <w:headerReference w:type="even" r:id="rId604"/>
          <w:headerReference w:type="default" r:id="rId605"/>
          <w:footerReference w:type="even" r:id="rId606"/>
          <w:footerReference w:type="default" r:id="rId607"/>
          <w:headerReference w:type="first" r:id="rId608"/>
          <w:footerReference w:type="first" r:id="rId609"/>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eastAsia="arial" w:hAnsi="Arial" w:cs="Arial"/>
          <w:b/>
          <w:bCs/>
          <w:kern w:val="32"/>
          <w:sz w:val="32"/>
          <w:szCs w:val="32"/>
          <w:lang w:val="en-US" w:eastAsia="en-US" w:bidi="ar-SA"/>
        </w:rPr>
      </w:pPr>
      <w:hyperlink r:id="rId610" w:history="1">
        <w:r>
          <w:rPr>
            <w:rFonts w:ascii="arial" w:eastAsia="arial" w:hAnsi="arial" w:cs="arial"/>
            <w:b/>
            <w:bCs/>
            <w:i/>
            <w:color w:val="0077CC"/>
            <w:kern w:val="32"/>
            <w:sz w:val="28"/>
            <w:szCs w:val="32"/>
            <w:u w:val="single"/>
            <w:shd w:val="clear" w:color="auto" w:fill="FFFFFF"/>
            <w:lang w:val="en-US" w:eastAsia="en-US" w:bidi="ar-SA"/>
          </w:rPr>
          <w:t>Salvatierra v. Vancouver (City), [2008] B.C.J. No. 771</w:t>
        </w:r>
      </w:hyperlink>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Judgments</w:t>
      </w:r>
    </w:p>
    <w:p>
      <w:pPr>
        <w:rPr>
          <w:rFonts w:ascii="arial" w:eastAsia="arial" w:hAnsi="arial" w:cs="arial"/>
          <w:sz w:val="20"/>
          <w:lang w:val="en-US" w:eastAsia="en-US" w:bidi="ar-SA"/>
        </w:rPr>
      </w:pP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Vancouver, British Columbia</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J.S. Sigurdson J.</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Heard: February 4-8 and 11-13, 2008.</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Judgment: May 1, 2008.</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Docket: M050260</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Registry: Vancouver</w:t>
      </w:r>
    </w:p>
    <w:p>
      <w:pPr>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r>
        <w:rPr>
          <w:rFonts w:ascii="arial" w:eastAsia="arial" w:hAnsi="arial" w:cs="arial"/>
          <w:b/>
          <w:color w:val="000000"/>
          <w:sz w:val="20"/>
          <w:lang w:val="en-US" w:eastAsia="en-US" w:bidi="ar-SA"/>
        </w:rPr>
        <w:t>[2008] B.C.J. No. 771</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hyperlink r:id="rId611" w:history="1">
        <w:r>
          <w:rPr>
            <w:rFonts w:ascii="arial" w:eastAsia="arial" w:hAnsi="arial" w:cs="arial"/>
            <w:i/>
            <w:color w:val="0077CC"/>
            <w:sz w:val="20"/>
            <w:u w:val="single"/>
            <w:shd w:val="clear" w:color="auto" w:fill="FFFFFF"/>
            <w:lang w:val="en-US" w:eastAsia="en-US" w:bidi="ar-SA"/>
          </w:rPr>
          <w:t>2008 BCSC 537</w:t>
        </w:r>
      </w:hyperlink>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hyperlink r:id="rId611" w:history="1">
        <w:r>
          <w:rPr>
            <w:rFonts w:ascii="arial" w:eastAsia="arial" w:hAnsi="arial" w:cs="arial"/>
            <w:i/>
            <w:color w:val="0077CC"/>
            <w:sz w:val="20"/>
            <w:u w:val="single"/>
            <w:shd w:val="clear" w:color="auto" w:fill="FFFFFF"/>
            <w:lang w:val="en-US" w:eastAsia="en-US" w:bidi="ar-SA"/>
          </w:rPr>
          <w:t>166 A.C.W.S. (3d) 691</w:t>
        </w:r>
      </w:hyperlink>
    </w:p>
    <w:p>
      <w:pPr>
        <w:spacing w:before="120" w:line="260" w:lineRule="atLeast"/>
        <w:rPr>
          <w:rFonts w:ascii="arial" w:eastAsia="arial" w:hAnsi="arial" w:cs="arial"/>
          <w:sz w:val="20"/>
          <w:lang w:val="en-US" w:eastAsia="en-US" w:bidi="ar-SA"/>
        </w:rPr>
      </w:pPr>
      <w:r>
        <w:rPr>
          <w:rFonts w:ascii="arial" w:eastAsia="arial" w:hAnsi="arial" w:cs="arial"/>
          <w:color w:val="000000"/>
          <w:sz w:val="20"/>
          <w:lang w:val="en-US" w:eastAsia="en-US" w:bidi="ar-SA"/>
        </w:rPr>
        <w:t>Between Blanca Salvatierra, Plaintiff, and The City of Vancouver and John Rooney, Defendants, and Insurance Corporation of British Columbia, Third Party</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(85 paras.)</w:t>
      </w:r>
    </w:p>
    <w:p>
      <w:pPr>
        <w:keepNext/>
        <w:spacing w:before="12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Case Summary</w:t>
      </w:r>
    </w:p>
    <w:p>
      <w:pPr>
        <w:spacing w:line="60" w:lineRule="exact"/>
        <w:rPr>
          <w:rFonts w:ascii="arial" w:eastAsia="arial" w:hAnsi="arial" w:cs="arial"/>
          <w:sz w:val="20"/>
          <w:lang w:val="en-US" w:eastAsia="en-US" w:bidi="ar-SA"/>
        </w:rPr>
      </w:pPr>
      <w:r>
        <w:pict>
          <v:line id="_x0000_s1176" style="position:absolute;z-index:251689984"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bookmarkStart w:id="195" w:name="Keywords_29"/>
      <w:bookmarkEnd w:id="195"/>
      <w:r>
        <w:rPr>
          <w:rFonts w:ascii="arial" w:eastAsia="arial" w:hAnsi="arial" w:cs="arial"/>
          <w:b/>
          <w:color w:val="000000"/>
          <w:sz w:val="20"/>
          <w:lang w:val="en-US" w:eastAsia="en-US" w:bidi="ar-SA"/>
        </w:rPr>
        <w:t>Damages — General damages — For personal injuries — Retroactive loss of income — Action by the plaintiff, Salvatierra, for damages for personal injuries allowed in part — Salvatierra had ongoing pain and the accident had affected her family, her studies and her enjoyment of life — However, she was not as disabled as she believed — She did not continue to suffer impairment to her earning capacity and was not entitled to damages for future loss — Salvatierra was awarded $45,000 of general damages and $25,000 for past lost income.</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Damages — Special damages — Cost of housekeeping services — Rehabilitation costs — Action by the plaintiff, Salvatierra, for damages for personal injuries allowed in part — Salvatierra had required some additional child care and housekeeping as a result of her injuries — Thus, she was awarded $15,000 of special damages — However, since her pain and discomfort had almost resolved and would resolve in the near future, Salvatierra was only awarded $2000 for future care — Salvatierra was also awarded $45,000 in general damages and $25,000 for lost income but there was no award for loss of earning capacity.</w:t>
      </w:r>
    </w:p>
    <w:p>
      <w:pPr>
        <w:rPr>
          <w:rFonts w:ascii="arial" w:eastAsia="arial" w:hAnsi="arial" w:cs="arial"/>
          <w:sz w:val="20"/>
          <w:lang w:val="en-US" w:eastAsia="en-US" w:bidi="ar-SA"/>
        </w:rPr>
      </w:pPr>
    </w:p>
    <w:tbl>
      <w:tblPr>
        <w:tblStyle w:val="TableNormal"/>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
      <w:tblGrid>
        <w:gridCol w:w="10225"/>
      </w:tblGrid>
      <w:tr>
        <w:tblPrEx>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Ex>
        <w:tc>
          <w:tcPr/>
          <w:p>
            <w:pPr>
              <w:rPr>
                <w:rFonts w:ascii="arial" w:eastAsia="arial" w:hAnsi="arial" w:cs="arial"/>
                <w:sz w:val="20"/>
                <w:lang w:val="en-US" w:eastAsia="en-US" w:bidi="ar-SA"/>
              </w:rPr>
            </w:pPr>
            <w:bookmarkStart w:id="196" w:name="Case Summary_27"/>
            <w:bookmarkEnd w:id="196"/>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Action by the plaintiff, Salvatierra, for damages for personal injuries. Salvatierra was injured in a motor vehicle accident in 2003 which was caused by the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of the defendant, Rooney. Salvatierra's injuries included soft tissue injuries to her neck, left shoulder and left arm. Salvatierra took the position that she was still partially disabled from chronic pain which restricted her ability to work full-time. Salvatierra submitted that she was entitled to general damages of $85,000 to $100,000, $40,000 for past wage loss, $350,000 for future loss, $16,915 in special damages and $181 every 90 days for the cost of future care. In contrast, Rooney took the position that Salvatierra had not proven any past income loss or loss of earning capacity. Accordingly, Rooney submitted that Salvatierra was only entitled to $25000 to $35000 of general damages, $12,324 in special damages and $1000 for the cost of future care. Furthermore, Rooney took the position that Salvatierra had failed to mitigate her damages and, therefore, a reduction in her damages of 20 per cent was appropriate. </w:t>
            </w:r>
            <w:r>
              <w:rPr>
                <w:rFonts w:ascii="arial" w:eastAsia="arial" w:hAnsi="arial" w:cs="arial"/>
                <w:sz w:val="20"/>
                <w:lang w:val="en-US" w:eastAsia="en-US" w:bidi="ar-SA"/>
              </w:rPr>
              <w:cr/>
            </w:r>
          </w:p>
          <w:p>
            <w:pPr>
              <w:spacing w:before="120" w:line="260" w:lineRule="atLeast"/>
              <w:ind w:left="240"/>
              <w:jc w:val="both"/>
              <w:rPr>
                <w:rFonts w:ascii="arial" w:eastAsia="arial" w:hAnsi="arial" w:cs="arial"/>
                <w:sz w:val="20"/>
                <w:lang w:val="en-US" w:eastAsia="en-US" w:bidi="ar-SA"/>
              </w:rPr>
            </w:pPr>
            <w:bookmarkStart w:id="197" w:name="Holdings of Court_21"/>
            <w:bookmarkEnd w:id="197"/>
            <w:r>
              <w:rPr>
                <w:rFonts w:ascii="arial" w:eastAsia="arial" w:hAnsi="arial" w:cs="arial"/>
                <w:color w:val="000000"/>
                <w:sz w:val="20"/>
                <w:lang w:val="en-US" w:eastAsia="en-US" w:bidi="ar-SA"/>
              </w:rPr>
              <w:t>HELD: Action allowed in part.</w:t>
            </w:r>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Salvatierra had ongoing pain and the accident had affected her family, her studies and her enjoyment of life. However, the Court concluded that she was not as disabled as she believed. As a result, Salvatierra was awarded general damages in the amount of $45,000. She was also awarded $25,000 for lost income. However, Salvatierra did not continue to suffer impairment to her earning capacity and was not entitled to damages for future loss. Since Salvatierra had required some additional child care and housekeeping as a result of her injuries, she was awarded $15,000 of special damages. For future care, Salvatierra was awarded $2000, as her pain and discomfort had almost resolved and would resolve in the near future. As Rooney failed to discharge the burden to prove that Salvatierra failed to act reasonably and to mitigate her damages, no reduction was appropriate. In total, Salvatierra was awarded $87,000 in damages. </w:t>
            </w:r>
            <w:r>
              <w:rPr>
                <w:rFonts w:ascii="arial" w:eastAsia="arial" w:hAnsi="arial" w:cs="arial"/>
                <w:sz w:val="20"/>
                <w:lang w:val="en-US" w:eastAsia="en-US" w:bidi="ar-SA"/>
              </w:rPr>
              <w:cr/>
            </w:r>
          </w:p>
          <w:p>
            <w:pPr>
              <w:rPr>
                <w:rFonts w:ascii="arial" w:eastAsia="arial" w:hAnsi="arial" w:cs="arial"/>
                <w:sz w:val="20"/>
                <w:lang w:val="en-US" w:eastAsia="en-US" w:bidi="ar-SA"/>
              </w:rPr>
            </w:pPr>
          </w:p>
        </w:tc>
      </w:tr>
    </w:tbl>
    <w:p>
      <w:pPr>
        <w:jc w:val="both"/>
        <w:rPr>
          <w:rFonts w:ascii="arial" w:eastAsia="arial" w:hAnsi="arial" w:cs="arial"/>
          <w:sz w:val="20"/>
          <w:lang w:val="en-US" w:eastAsia="en-US" w:bidi="ar-SA"/>
        </w:rPr>
      </w:pPr>
      <w:bookmarkStart w:id="198" w:name="Counsel_29"/>
      <w:bookmarkEnd w:id="198"/>
      <w:r>
        <w:rPr>
          <w:rFonts w:ascii="arial" w:eastAsia="arial" w:hAnsi="arial" w:cs="arial"/>
          <w:sz w:val="20"/>
          <w:lang w:val="en-US" w:eastAsia="en-US" w:bidi="ar-SA"/>
        </w:rPr>
        <w:br/>
      </w:r>
    </w:p>
    <w:p>
      <w:pPr>
        <w:keepNext/>
        <w:spacing w:before="24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Counsel</w:t>
      </w:r>
    </w:p>
    <w:p>
      <w:pPr>
        <w:spacing w:line="60" w:lineRule="exact"/>
        <w:rPr>
          <w:rFonts w:ascii="arial" w:eastAsia="arial" w:hAnsi="arial" w:cs="arial"/>
          <w:sz w:val="20"/>
          <w:lang w:val="en-US" w:eastAsia="en-US" w:bidi="ar-SA"/>
        </w:rPr>
      </w:pPr>
      <w:r>
        <w:pict>
          <v:line id="_x0000_s1177" style="position:absolute;z-index:251741184"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Counsel for Plaintiff: G.J. Collette.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Counsel for Defendants and Third Party: T.S. Hawkins and P. Mooney.</w:t>
      </w:r>
      <w:r>
        <w:rPr>
          <w:rFonts w:ascii="arial" w:eastAsia="arial" w:hAnsi="arial" w:cs="arial"/>
          <w:sz w:val="20"/>
          <w:lang w:val="en-US" w:eastAsia="en-US" w:bidi="ar-SA"/>
        </w:rPr>
        <w:cr/>
      </w:r>
    </w:p>
    <w:p>
      <w:pPr>
        <w:spacing w:after="240"/>
        <w:rPr>
          <w:rFonts w:ascii="arial" w:eastAsia="arial" w:hAnsi="arial" w:cs="arial"/>
          <w:sz w:val="20"/>
          <w:lang w:val="en-US" w:eastAsia="en-US" w:bidi="ar-SA"/>
        </w:rPr>
      </w:pPr>
      <w:bookmarkStart w:id="199" w:name="Judgment_30"/>
      <w:bookmarkEnd w:id="199"/>
      <w:r>
        <w:pict>
          <v:line id="_x0000_s1178" style="position:absolute;z-index:251792384" from="0,12pt" to="512pt,12pt" strokecolor="#009ddb" strokeweight="1.5pt">
            <v:stroke linestyle="single"/>
          </v:line>
        </w:pict>
      </w:r>
    </w:p>
    <w:p>
      <w:pPr>
        <w:spacing w:before="120" w:line="260" w:lineRule="atLeast"/>
        <w:jc w:val="center"/>
        <w:rPr>
          <w:rFonts w:ascii="arial" w:eastAsia="arial" w:hAnsi="arial" w:cs="arial"/>
          <w:sz w:val="20"/>
          <w:lang w:val="en-US" w:eastAsia="en-US" w:bidi="ar-SA"/>
        </w:rPr>
      </w:pPr>
      <w:r>
        <w:rPr>
          <w:rFonts w:ascii="arial" w:eastAsia="arial" w:hAnsi="arial" w:cs="arial"/>
          <w:b/>
          <w:color w:val="000000"/>
          <w:sz w:val="20"/>
          <w:lang w:val="en-US" w:eastAsia="en-US" w:bidi="ar-SA"/>
        </w:rPr>
        <w:t>Reasons for Judgment</w:t>
      </w:r>
      <w:r>
        <w:rPr>
          <w:rFonts w:ascii="arial" w:eastAsia="arial" w:hAnsi="arial" w:cs="arial"/>
          <w:sz w:val="20"/>
          <w:lang w:val="en-US" w:eastAsia="en-US" w:bidi="ar-SA"/>
        </w:rPr>
        <w:cr/>
      </w:r>
    </w:p>
    <w:p>
      <w:pPr>
        <w:rPr>
          <w:rFonts w:ascii="arial" w:eastAsia="arial" w:hAnsi="arial" w:cs="arial"/>
          <w:sz w:val="20"/>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3037"/>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rFonts w:ascii="arial" w:eastAsia="arial" w:hAnsi="arial" w:cs="arial"/>
                <w:sz w:val="20"/>
                <w:lang w:val="en-US" w:eastAsia="en-US" w:bidi="ar-SA"/>
              </w:rPr>
            </w:pPr>
            <w:bookmarkStart w:id="200" w:name="J.S. SIGURDSON J."/>
            <w:bookmarkEnd w:id="200"/>
            <w:r>
              <w:rPr>
                <w:rFonts w:ascii="arial" w:eastAsia="arial" w:hAnsi="arial" w:cs="arial"/>
                <w:b/>
                <w:color w:val="000000"/>
                <w:sz w:val="30"/>
                <w:lang w:val="en-US" w:eastAsia="en-US" w:bidi="ar-SA"/>
              </w:rPr>
              <w:t>J.S. SIGURDSON J.</w:t>
            </w:r>
          </w:p>
        </w:tc>
      </w:tr>
    </w:tbl>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sz w:val="20"/>
          <w:lang w:val="en-US" w:eastAsia="en-US" w:bidi="ar-SA"/>
        </w:rPr>
        <w:br/>
      </w:r>
      <w:r>
        <w:rPr>
          <w:rFonts w:ascii="arial" w:eastAsia="arial" w:hAnsi="arial" w:cs="arial"/>
          <w:b/>
          <w:color w:val="000000"/>
          <w:sz w:val="20"/>
          <w:lang w:val="en-US" w:eastAsia="en-US" w:bidi="ar-SA"/>
        </w:rPr>
        <w:t>INTRODUCTION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xml:space="preserve">  This is a claim for damages for personal injuries. The plaintiff, Blanca Salvatierra, was injured in a motor vehicle accident on November 15, 2003, which was caused by the defendant John Rooney's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Ms. Salvatierra suffered soft tissue injuries to the upper left portion of her body, including her neck, shoulder and arm. It is now over four years since the accident, and the plaintiff's counsel, Mr. Collette, argues that she still has a partial disability from chronic pain that restricts her ability to work full-time. He argues that she is entitled to significant general damages, compensation for past wage loss (largely reflecting the delay in getting into the work place because the completion of her Master's degree was delayed), and damages for impairment of her earning capacity due to ongoing pain.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The defendant, while acknowledging that the plaintiff was injured in the accident, says that general damages should be much more modest than the plaintiff seeks, and says that there has been no proven past income loss or loss of earning capacity.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The defendant's counsel, Mr. Hawkins, says the credibility of the plaintiff and reliability of her reporting to her physician and other expert witnesses is very much in issue, and affects the weight to be given to those expert opinions that support any ongoing disability.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BACKGROUND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On Saturday, November 15, 2003, the plaintiff was driving with her eldest of three boys. She had stopped at the intersection of Kingsway and Inverness Streets in Vancouver, signalled, and was waiting to make a left turn. She was wearing her seat belt. Her left hand was on the steering wheel, and she reached down to change the radio station. She was then struck from behind by a City of Vancouver vehicle driven by the defendant John Rooney, and was pushed into oncoming traffic where she was struck by a vehicle coming in the opposite direction.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The airbag in her vehicle went off and struck her in the face. The cost to repair the damage to her vehicle exceeded $16,000, and as such, her van was labelled a write-off. In a moment, I will discuss the injuries to which she testified.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The accident occurred within two blocks of Ms. Salvatierra's home. She did not go to the hospital, but says that she went home and spent time in bed. She then went to a drop-in clinic within a day or so, and went to see her family physician on November 20, 2003, about five days after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Ms. Salvatierra is 41 years old. She was born in Nicaragua and came to Canada in 1988 as a Convention refugee. She arrived in Canada with the equivalent of a grade 12 education, had almost no money, and hoped to learn English and go to university. She landed in Calgary and then moved to Kamloops where she lived for four or five years. While living in Kamloops, Ms. Salvatierra enrolled in a Bachelor of Arts program.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Ms. Salvatierra met her husband in Kamloops and in 1996 they married. In 2007, they separated.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Prior to the accident, Ms. Salvatierra appears to have been quite physically fit, playing volleyball on a drop-in basis at quite a high level.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After the accident, she put on weight, and has since lost some. Currently, she is about twenty-five pounds heavier than she was at the time of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Prior to the accident, she did some catering work with an organization that she has worked with for a number of years called Women Working Together.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Ms. Salvatierra has, it appears, always had a strong interest in local community development and international community development work, particularly focussing on Latin American issues and the condition of immigrant women in Canada.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She studied for her Master's degree in Anthropology at Simon Fraser University. It was ultimately conferred upon her in November 2005. There is an issue whether that Master's degree was delayed due to the injuries she suffered.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w:t>
      </w:r>
      <w:r>
        <w:rPr>
          <w:rFonts w:ascii="arial" w:eastAsia="arial" w:hAnsi="arial" w:cs="arial"/>
          <w:color w:val="000000"/>
          <w:sz w:val="20"/>
          <w:lang w:val="en-US" w:eastAsia="en-US" w:bidi="ar-SA"/>
        </w:rPr>
        <w:t>  The work that Ms. Salvatierra did both before and after the accident was often on a contract or on a limited term basis. At the time of the accident, she was working on a mental health manual to be used for the volunteers in a society assisting new immigrants. In 2004, she worked with other women making and selling home-made salsa at farmers' markets. I will not describe all of the particular contracts that she worked on, as there are many. By the time of trial, Ms. Salvatierra testified that she could physically work for only about 20-25 hours per week, and was at the time of trial working about 20 hours per week. Ms. Salvatierra says that her ongoing pain restricts her from working more time than that, and her counsel argues that this has caused an income loss pending trial, as well as a loss of earning capacity for the future. Her earnings in the year 2007 from all of her contracts and employment were $20,770.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w:t>
      </w:r>
      <w:r>
        <w:rPr>
          <w:rFonts w:ascii="arial" w:eastAsia="arial" w:hAnsi="arial" w:cs="arial"/>
          <w:color w:val="000000"/>
          <w:sz w:val="20"/>
          <w:lang w:val="en-US" w:eastAsia="en-US" w:bidi="ar-SA"/>
        </w:rPr>
        <w:t>  Immediately after the accident, Ms. Salvatierra complained of pain in her left eye and the back of her neck. She said that she iced her shoulder, took Tylenol and stayed in bed. When she saw her general practitioner, Dr. Lawson, five days after the accident, she said every bit of her body hurt, and she felt like she was thrown into a blender. She said she had a massive headache, pain in her mid and lower back, and that she applied ice for three or four days to her left shoulder and shoulder blade.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w:t>
      </w:r>
      <w:r>
        <w:rPr>
          <w:rFonts w:ascii="arial" w:eastAsia="arial" w:hAnsi="arial" w:cs="arial"/>
          <w:color w:val="000000"/>
          <w:sz w:val="20"/>
          <w:lang w:val="en-US" w:eastAsia="en-US" w:bidi="ar-SA"/>
        </w:rPr>
        <w:t>  Dr. Lawson reported that on November 20, 2003, Ms. Salvatierra complained of a left-side headache, bilateral neck pain, pain in her left arm, wrist and fifth finger, as well anxiety and insomnia. Dr. Lawson examined her and found a tender left trapezius muscle, tender left rotator cuff muscles, painful active neck range-of-motion in all directions, and bruising at the base of the left fifth finger.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w:t>
      </w:r>
      <w:r>
        <w:rPr>
          <w:rFonts w:ascii="arial" w:eastAsia="arial" w:hAnsi="arial" w:cs="arial"/>
          <w:color w:val="000000"/>
          <w:sz w:val="20"/>
          <w:lang w:val="en-US" w:eastAsia="en-US" w:bidi="ar-SA"/>
        </w:rPr>
        <w:t>  Over time, Ms. Salvatierra was treated by Dr. Lawson with anti-inflammatory muscle relaxants and other analgesics, as well as antidepressant/anxiolygic medication for what Dr. Lawson saw as post-traumatic stress disorder symptoms. She also attended physiotherapy. She was referred to counselling and attended same for a couple of years. Ms. Salvatierra has been seen by the following professionals: Dr. Shuckett, a rheumatologist; Dr. Hunt, a neurosurgeon; Dr. Gouws, an occupational health doctor; Dr. Keyes, a neurologist; and Dr. Loomer, an orthopaedic surgeon who saw her at the defendants' request.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w:t>
      </w:r>
      <w:r>
        <w:rPr>
          <w:rFonts w:ascii="arial" w:eastAsia="arial" w:hAnsi="arial" w:cs="arial"/>
          <w:color w:val="000000"/>
          <w:sz w:val="20"/>
          <w:lang w:val="en-US" w:eastAsia="en-US" w:bidi="ar-SA"/>
        </w:rPr>
        <w:t>  Now, more than four years after the accident, Ms. Salvatierra continues to complain of pain, and although she says she has improved and that she feels good about what she can do, she also says she has learned to accept having chronic pain. She testified that it takes longer for her to do what she did in the past. If she travels, she says that it takes time for her to recover from that travel to be able to work.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EXPERT MEDICAL EVIDENCE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w:t>
      </w:r>
      <w:r>
        <w:rPr>
          <w:rFonts w:ascii="arial" w:eastAsia="arial" w:hAnsi="arial" w:cs="arial"/>
          <w:color w:val="000000"/>
          <w:sz w:val="20"/>
          <w:lang w:val="en-US" w:eastAsia="en-US" w:bidi="ar-SA"/>
        </w:rPr>
        <w:t>  Let me briefly review the evidence of the expert witnesses at trial.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w:t>
      </w:r>
      <w:r>
        <w:rPr>
          <w:rFonts w:ascii="arial" w:eastAsia="arial" w:hAnsi="arial" w:cs="arial"/>
          <w:color w:val="000000"/>
          <w:sz w:val="20"/>
          <w:lang w:val="en-US" w:eastAsia="en-US" w:bidi="ar-SA"/>
        </w:rPr>
        <w:t>  Dr. Lawson, who has been Ms. Salvatierra's family doctor since 1999, said in her report of January 2007 that Ms. Salvatierra continues to suffer from pain in her left shoulder and arm that is consistent with a soft tissue injury, lower back pain that is consistent with nerve root irritation, as well as insomnia and anxiety that is consistent with post-traumatic stress disorder. Dr. Lawson said the severity of these symptoms tends to fluctuate with the degree of other life demands, and the amount Ms. Salvatierra is able to rest. She opined that given the amount of time that has passed since the accident, it is likely that Ms. Salvatierra's recovery will not be complete and she will continue to have to make some accommodation in her life for her symptoms.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w:t>
      </w:r>
      <w:r>
        <w:rPr>
          <w:rFonts w:ascii="arial" w:eastAsia="arial" w:hAnsi="arial" w:cs="arial"/>
          <w:color w:val="000000"/>
          <w:sz w:val="20"/>
          <w:lang w:val="en-US" w:eastAsia="en-US" w:bidi="ar-SA"/>
        </w:rPr>
        <w:t>  As I noted earlier, Dr. Lawson saw the plaintiff shortly after the accident and found that by March 2004, Ms. Salvatierra was improving. Dr. Lawson treated the plaintiff with various medications for her musculoskeletal pain and sleeping disorders, and recommended physiotherapy. Dr. Lawson noted that Ms. Salvatierra did not say she had been knocked unconscious in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w:t>
      </w:r>
      <w:r>
        <w:rPr>
          <w:rFonts w:ascii="arial" w:eastAsia="arial" w:hAnsi="arial" w:cs="arial"/>
          <w:color w:val="000000"/>
          <w:sz w:val="20"/>
          <w:lang w:val="en-US" w:eastAsia="en-US" w:bidi="ar-SA"/>
        </w:rPr>
        <w:t>  On the original examination, Ms. Salvatierra mentioned that her shoulder was painful, but did not specifically mention her left arm. Dr. Lawson noted that Ms. Salvatierra did not complain of back pain when she first examined her, and that the range of motion of her shoulder was full at the time.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w:t>
      </w:r>
      <w:r>
        <w:rPr>
          <w:rFonts w:ascii="arial" w:eastAsia="arial" w:hAnsi="arial" w:cs="arial"/>
          <w:color w:val="000000"/>
          <w:sz w:val="20"/>
          <w:lang w:val="en-US" w:eastAsia="en-US" w:bidi="ar-SA"/>
        </w:rPr>
        <w:t>  Dr. Lawson noted that although she asked the plaintiff about symptoms a week later on November 27, 2003, no back pain was mentioned, and it was two months following the accident, on January 14, 2004, that Ms. Salvatierra complained of "ongoing back pain". Dr. Lawson noted that in the two months following February 7, 2004, the complaints Ms. Salvatierra made were recorded as being anxiety related, but there was no reference at that time to the motor vehicle accident. However, on May 13, 2004, there was reference to ongoing pain in the neck, back, and arm, and Ms. Salvatierra said it was improving with physiotherapy. Dr. Lawson said it seemed to be correct that it was not until seventeen months after the accident, in May 2005, that Ms. Salvatierra complained of left lumbar back pain.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w:t>
      </w:r>
      <w:r>
        <w:rPr>
          <w:rFonts w:ascii="arial" w:eastAsia="arial" w:hAnsi="arial" w:cs="arial"/>
          <w:color w:val="000000"/>
          <w:sz w:val="20"/>
          <w:lang w:val="en-US" w:eastAsia="en-US" w:bidi="ar-SA"/>
        </w:rPr>
        <w:t>  Dr. Rhona Shuckett, a rheumatologist, examined the plaintiff at the request of the plaintiff's counsel. Dr. Shuckett agreed that she had to rely on the plaintiff's history as given by her. She said that based on Ms. Salvatierra's description, her main problems were pain in her head, left arm, and upper back. She opined that Ms. Salvatierra did not meet the criteria for fibromyalgia. Dr. Shuckett's diagnoses were that Ms. Salvatierra had cervicogenic headaches, which were related to the cervical spine or neck, that her neck pain was related to soft tissue or connective tissue injury of the muscle and ligaments, and she may also have a joint capsular injury of the left side of the neck. Dr. Shuckett described the plaintiff as having myofascial pain syndrome of the left neck shoulder girdle with painful trigger points, a left shoulder acromioclavicular injury, and rotator cuff tendonitis with good range of motion. She was of the opinion that Ms. Salvatierra's symptoms appeared to have plateaued. Dr. Shuckett said that once two years have passed after an injury, the prospect of further improvement in ongoing soft tissue injury is diminished. She said that Ms. Salvatierra's chronic pain and chronic pain syndrome "both contribute to worsening her future outlook". She said that the chances of improvement decrease after four years of pain, but such estimates are not "written in stone" as each patient is different.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w:t>
      </w:r>
      <w:r>
        <w:rPr>
          <w:rFonts w:ascii="arial" w:eastAsia="arial" w:hAnsi="arial" w:cs="arial"/>
          <w:color w:val="000000"/>
          <w:sz w:val="20"/>
          <w:lang w:val="en-US" w:eastAsia="en-US" w:bidi="ar-SA"/>
        </w:rPr>
        <w:t>  Dr. Shuckett agreed that if Ms. Salvatierra had a rotator cuff injury from the accident, she would expect to see some symptoms within a few months of the accident. Some of her testing lead her to consider the possibility that there was some pain amplification by Ms. Salvatierra. Dr. Shuckett said that Ms. Salvatierra had myofascial pain which she described as regionalized soft tissue pain, and agreed that there was a subjective element of Ms. Salvatierra's reporting that she had to rely 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w:t>
      </w:r>
      <w:r>
        <w:rPr>
          <w:rFonts w:ascii="arial" w:eastAsia="arial" w:hAnsi="arial" w:cs="arial"/>
          <w:color w:val="000000"/>
          <w:sz w:val="20"/>
          <w:lang w:val="en-US" w:eastAsia="en-US" w:bidi="ar-SA"/>
        </w:rPr>
        <w:t>  With respect to a possible shoulder injury, Mr. Hawkins, counsel for the defendant, said that the court should accept the opinion of Dr. Loomer, an orthopaedic surgeon. Dr. Loomer examined Ms. Salvatierra in June 2004, and found a full range of motion of her shoulder joint, including forward elevation to 140 degrees, external rotation in adduction of 70 degrees, and internal rotation to T-5. He said she has a mildly positive impingement test with straightforward flexion and none with flexion and internal rotation. His opinion was that "[the plaintiff] suffered a soft tissue injury as a result of the motor vehicle accident ...". He described this as being to the paracervical muscles in the left side of the neck, as well as the trapezius and the periscapular muscles, and very likely the pectoralis. In addition, Dr. Loomer said that she has probably received a similar soft tissue injury in the muscles of the lumbosacral spine. He said he could not identify any specific pathology for the pain in the posterior aspect of her left leg. Dr. Loomer opined that he could not find any evidence of any permanent damage and anticipated that (as of June 8, 2004) she would gradually recover. He said this could be a fairly prolonged recovery, and he estimated when he saw her in 2004 that it could be up to two years before she would be back to normal.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w:t>
      </w:r>
      <w:r>
        <w:rPr>
          <w:rFonts w:ascii="arial" w:eastAsia="arial" w:hAnsi="arial" w:cs="arial"/>
          <w:color w:val="000000"/>
          <w:sz w:val="20"/>
          <w:lang w:val="en-US" w:eastAsia="en-US" w:bidi="ar-SA"/>
        </w:rPr>
        <w:t>  Dr. Gouws is an occupational health physician who saw Ms. Salvatierra on one occasion on October 10, 2007, following a functional capacity evaluation done by Louise Craig, a physiotherapist at his firm, Ultima Health Assessments Corp. Dr. Gouws was of the opinion that the pain has lasted longer than expected. He opined that a person's life becomes more and more affected by the ongoing pain, that Ms. Salvatierra's pain has become more widespread than one would expect, and that she has become quite deconditioned. From an occupational health perspective, Dr. Gouws said that Ms. Salvatierra's presentation reflects her current physical condition, and that she was considerably limited by pain. In his opinion, she had developed a chronic pain condition, which he felt continues to be a significant barrier to her recovery. His prognosis for any significant improvement in her symptoms and function remained guarded. He agreed on cross-examination that he took a history and relied on that information from Louise Craig, and that if his factual assumptions change, his opinion could change. Dr. Gouws agreed that the timing of the onset of the symptoms was important, and symptoms that appear months later may have nothing to do with the accident. However, he said that the fact that her first complaint of lumbar pain was over seventeen months after the accident, would not change his opinion.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w:t>
      </w:r>
      <w:r>
        <w:rPr>
          <w:rFonts w:ascii="arial" w:eastAsia="arial" w:hAnsi="arial" w:cs="arial"/>
          <w:color w:val="000000"/>
          <w:sz w:val="20"/>
          <w:lang w:val="en-US" w:eastAsia="en-US" w:bidi="ar-SA"/>
        </w:rPr>
        <w:t>  Dr. Hunt, a neurosurgeon, saw the plaintiff on May 4, 2005. He was of the opinion that the plaintiff "suffered a muscle and ligamentous injury of her entire spine, but principally her cervical spine". He said she demonstrates problems relating probably to the left L4/5 facet joint, inflammation, and that the pain she experienced down her left leg along with the numbness and tingling was likely a referred phenomenon from the deep paravertebral muscles and ligaments in the lumbar area adjacent to the L4/5 and L5/S1 lumbar levels. He said she had a partially frozen left shoulder, which contributed to some degree to the shoulder hand syndrome, where the shoulder joint is a source of pain and the pain is referred down the left arm.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w:t>
      </w:r>
      <w:r>
        <w:rPr>
          <w:rFonts w:ascii="arial" w:eastAsia="arial" w:hAnsi="arial" w:cs="arial"/>
          <w:color w:val="000000"/>
          <w:sz w:val="20"/>
          <w:lang w:val="en-US" w:eastAsia="en-US" w:bidi="ar-SA"/>
        </w:rPr>
        <w:t>  Dr. Hunt referred to the possibility that Ms. Salvatierra's left arm symptoms were a "left thoracic outlet syndrome", something that he did not have the expertise to diagnose. In that respect, Ms. Salvatierra was referred to Dr. Keyes, who reported: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There is no evidence of generalized neuropathy or entrapment neuropathy involving the left upper extremity. There is no evidence of neurogenic thoracic outlet syndrome or rediculopathy in the left upper limb.</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w:t>
      </w:r>
      <w:r>
        <w:rPr>
          <w:rFonts w:ascii="arial" w:eastAsia="arial" w:hAnsi="arial" w:cs="arial"/>
          <w:color w:val="000000"/>
          <w:sz w:val="20"/>
          <w:lang w:val="en-US" w:eastAsia="en-US" w:bidi="ar-SA"/>
        </w:rPr>
        <w:t>  Dr. Keyes went on to say:</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 see no evidence to suggest any significant primary neurological abnormality as a cause for her symptoms. The patient may have some intermittent muscle spasm in the scalenus muscles in her left thoracic outlet syndrome and perhaps, this is causing some of her symptoms. Her neck symptoms are rising from the C 6/7 disc abnormality and her headaches are cervicogenic in nature arising from the disco and musculoligamentous sources in the neck. The scalenus muscle spasm is probably secondary to the disc abnormality in her neck. Her symptoms have been getting better and I don't think that any further neurological investigations are required.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w:t>
      </w:r>
      <w:r>
        <w:rPr>
          <w:rFonts w:ascii="arial" w:eastAsia="arial" w:hAnsi="arial" w:cs="arial"/>
          <w:color w:val="000000"/>
          <w:sz w:val="20"/>
          <w:lang w:val="en-US" w:eastAsia="en-US" w:bidi="ar-SA"/>
        </w:rPr>
        <w:t>  Ms. Salvatierra had functional capacity assessments done by both Ms. Louise Craig, a physiotherapist and functional capacity evaluator, and by Ms. Shannon Smith, an occupational and hand therapist. In my assessment, overall their evidence indicates that Ms. Salvatierra was capable of doing somewhat more than she perceived that she was able to at the time of testing.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w:t>
      </w:r>
      <w:r>
        <w:rPr>
          <w:rFonts w:ascii="arial" w:eastAsia="arial" w:hAnsi="arial" w:cs="arial"/>
          <w:color w:val="000000"/>
          <w:sz w:val="20"/>
          <w:lang w:val="en-US" w:eastAsia="en-US" w:bidi="ar-SA"/>
        </w:rPr>
        <w:t>  In general, I find that the medical evidence indicates that the plaintiff suffered soft tissue injuries, primarily to her neck and upper left region of her body. The extent to which she continues to suffer pain, and whether she has chronic pain, depends on my assessment of her credibility and the reliability of her reports to the doctors. The evidence indicates that ordinarily the injuries from which she suffered would have healed by the time of trial, and although the plaintiff testified that they have not, the injuries appear to have improved, according to both her evidence and to my understanding of the medical reports. Whether the injuries will persist and the degree to which they will persist and affect the plaintiff is largely a question of assessing the opinion evidence in light of the reliability of the plaintiff's reporting.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CREDIBILITY OF THE PLAINTIFF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34</w:t>
      </w:r>
      <w:r>
        <w:rPr>
          <w:rFonts w:ascii="arial" w:eastAsia="arial" w:hAnsi="arial" w:cs="arial"/>
          <w:color w:val="000000"/>
          <w:sz w:val="20"/>
          <w:lang w:val="en-US" w:eastAsia="en-US" w:bidi="ar-SA"/>
        </w:rPr>
        <w:t>  I turn to the question of the plaintiff's credibility and reliability.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35</w:t>
      </w:r>
      <w:r>
        <w:rPr>
          <w:rFonts w:ascii="arial" w:eastAsia="arial" w:hAnsi="arial" w:cs="arial"/>
          <w:color w:val="000000"/>
          <w:sz w:val="20"/>
          <w:lang w:val="en-US" w:eastAsia="en-US" w:bidi="ar-SA"/>
        </w:rPr>
        <w:t>  The defendants acknowledge that the plaintiff was injured and that she expended money and effort attempting to recover from her injuries. However, the defendants say that all diagnoses, treatment, and prognoses depend primarily on the plaintiff's reporting to the experts, and Mr. Hawkins argues that there is no objective finding except for a minimal bulge at the C6/7 level that supports the suggestion that the injuries continue.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36</w:t>
      </w:r>
      <w:r>
        <w:rPr>
          <w:rFonts w:ascii="arial" w:eastAsia="arial" w:hAnsi="arial" w:cs="arial"/>
          <w:color w:val="000000"/>
          <w:sz w:val="20"/>
          <w:lang w:val="en-US" w:eastAsia="en-US" w:bidi="ar-SA"/>
        </w:rPr>
        <w:t>  Mr. Hawkins referred to a number of aspects of the plaintiff's evidence and that of other witnesses that, in his submission, put into question the reliability of her evidence. In assessing the plaintiff's evidence, I think it is important to consider the evidence not in isolation or in small parts, but by considering the evidence as a whole. Some of the evidence referred to by the defendant's counsel must be considered in light of the entire context in which that evidence was given to understand whether it is inconsistent and contradictory as the defendant suggests.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37</w:t>
      </w:r>
      <w:r>
        <w:rPr>
          <w:rFonts w:ascii="arial" w:eastAsia="arial" w:hAnsi="arial" w:cs="arial"/>
          <w:color w:val="000000"/>
          <w:sz w:val="20"/>
          <w:lang w:val="en-US" w:eastAsia="en-US" w:bidi="ar-SA"/>
        </w:rPr>
        <w:t>  Mr. Hawkins argued that the plaintiff was inconsistent and untruthful in her reporting to her doctors.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38</w:t>
      </w:r>
      <w:r>
        <w:rPr>
          <w:rFonts w:ascii="arial" w:eastAsia="arial" w:hAnsi="arial" w:cs="arial"/>
          <w:color w:val="000000"/>
          <w:sz w:val="20"/>
          <w:lang w:val="en-US" w:eastAsia="en-US" w:bidi="ar-SA"/>
        </w:rPr>
        <w:t>  For example, he argued that the plaintiff initially reported only pain in her eye and arm, but in her evidence said that she reported more immediate symptoms (other than pain in her eye and arm), than that to her family doctor. In this respect, Mr. Hawkins points out that Dr. Lawson testified that the only immediate symptoms Ms. Salvatierra reported to her were her pain in her right eye and right arm. Dr. Lawson testified that the plaintiff told her that an hour after the accident, she began to notice pain in her left arm, wrist, and left pinkie finger.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39</w:t>
      </w:r>
      <w:r>
        <w:rPr>
          <w:rFonts w:ascii="arial" w:eastAsia="arial" w:hAnsi="arial" w:cs="arial"/>
          <w:color w:val="000000"/>
          <w:sz w:val="20"/>
          <w:lang w:val="en-US" w:eastAsia="en-US" w:bidi="ar-SA"/>
        </w:rPr>
        <w:t>  Further, Mr. Hawkins submitted that on cross-examination, the plaintiff said that she told Dr. Lawson on November 20, 2003 that her left shoulder and back were injured or painful. Dr. Lawson testified Ms. Salvatierra did not tell her that. Additionally, the plaintiff said she could not remember that Dr. Lawson tested her for neck and left shoulder and found they both had a full range of motion. In this respect, Mr. Hawkins said that Dr. Lawson testified on examination on November 20, 2003 that the plaintiff's neck and shoulder had a full range of motion.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40</w:t>
      </w:r>
      <w:r>
        <w:rPr>
          <w:rFonts w:ascii="arial" w:eastAsia="arial" w:hAnsi="arial" w:cs="arial"/>
          <w:color w:val="000000"/>
          <w:sz w:val="20"/>
          <w:lang w:val="en-US" w:eastAsia="en-US" w:bidi="ar-SA"/>
        </w:rPr>
        <w:t>  With regard to the plaintiff's reporting of her symptoms to Dr. Lawson, I recognize that there are some inconsistencies in the plaintiff's reports, but overall, I think that the plaintiff's complaints of her injuries to Dr. Lawson did not contain sufficient inaccuracies or inconsistencies to suggest her complaints are not reliable. Some of the inconsistencies relate to the reporting of the onset of symptoms over a relatively short time. I found that the discrepancies that Mr. Hawkins pointed out to be understandable, not unexpected and not, as a whole, of great significance.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41</w:t>
      </w:r>
      <w:r>
        <w:rPr>
          <w:rFonts w:ascii="arial" w:eastAsia="arial" w:hAnsi="arial" w:cs="arial"/>
          <w:color w:val="000000"/>
          <w:sz w:val="20"/>
          <w:lang w:val="en-US" w:eastAsia="en-US" w:bidi="ar-SA"/>
        </w:rPr>
        <w:t>  Upon a consideration of all of the evidence, however, I find that the reporting by the plaintiff of some of her symptoms over time does raise some concerns about the reliability of her reporting of her symptoms. For example, she reported to Dr. Gouws, Dr. Shucketts and Dr. Hunt that she thought that she might have been knocked out momentarily, but she did not report that to anyone in the period shortly after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42</w:t>
      </w:r>
      <w:r>
        <w:rPr>
          <w:rFonts w:ascii="arial" w:eastAsia="arial" w:hAnsi="arial" w:cs="arial"/>
          <w:color w:val="000000"/>
          <w:sz w:val="20"/>
          <w:lang w:val="en-US" w:eastAsia="en-US" w:bidi="ar-SA"/>
        </w:rPr>
        <w:t>  The defendants argue that Ms. Salvatierra's functional capacity evaluations show that she could do more than she said she could, particularly in something called the PACT Sort Test, which indicated whether a person believes she is able to do certain tasks. Mr. Hawkins argued that her self-reporting to Dr. Gouws and Louise Craig did not correspond with her actual abilities. I think the evidence as a whole including the functional capacity evaluations shows that Ms. Salvatierra is able to lift and move greater weight than she believes.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43</w:t>
      </w:r>
      <w:r>
        <w:rPr>
          <w:rFonts w:ascii="arial" w:eastAsia="arial" w:hAnsi="arial" w:cs="arial"/>
          <w:color w:val="000000"/>
          <w:sz w:val="20"/>
          <w:lang w:val="en-US" w:eastAsia="en-US" w:bidi="ar-SA"/>
        </w:rPr>
        <w:t>  Mr. Hawkins also points to videotape surveillance evidence of the plaintiff in 2007, working with other women at farmers' markets selling home-made salsa, which shows her moving coolers, umbrellas and tables (and perhaps a fridge). The defendants say that it indicates that at two different time periods, four months and one month prior to the work capacity evaluations in October 2007, Ms. Salvatierra performed these activities with no apparent discomfort.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44</w:t>
      </w:r>
      <w:r>
        <w:rPr>
          <w:rFonts w:ascii="arial" w:eastAsia="arial" w:hAnsi="arial" w:cs="arial"/>
          <w:color w:val="000000"/>
          <w:sz w:val="20"/>
          <w:lang w:val="en-US" w:eastAsia="en-US" w:bidi="ar-SA"/>
        </w:rPr>
        <w:t>  I think the evidence shows that, to some degree, Ms. Salvatierra underestimates her ability to lift and carry objects. Her counsel says it is because she knows that she pays for it later with persisting pain. The surveillance video that was shown in court was highlights of a longer period of time in which surveillance was undertaken. The excerpts from the actual surveillance, I find, did not include a period of time when Ms. Salvatierra was sitting in the farmers' market crying.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45</w:t>
      </w:r>
      <w:r>
        <w:rPr>
          <w:rFonts w:ascii="arial" w:eastAsia="arial" w:hAnsi="arial" w:cs="arial"/>
          <w:color w:val="000000"/>
          <w:sz w:val="20"/>
          <w:lang w:val="en-US" w:eastAsia="en-US" w:bidi="ar-SA"/>
        </w:rPr>
        <w:t>  The defendants argue that Ms. Salvatierra did not tell Mr. Neil Trainor, an expert witness called as a rehabilitation consultant, about all of her work that she had done. Again, I do not think this is a significant point. The evidence as a whole does not disclose any failure on the part of Ms. Salvatierra to disclose remunerative work that she was doing at any time. Given the number and variety of small contracts that she had, I am not surprised that she did not mention them all during her interview with Mr. Trainor.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46</w:t>
      </w:r>
      <w:r>
        <w:rPr>
          <w:rFonts w:ascii="arial" w:eastAsia="arial" w:hAnsi="arial" w:cs="arial"/>
          <w:color w:val="000000"/>
          <w:sz w:val="20"/>
          <w:lang w:val="en-US" w:eastAsia="en-US" w:bidi="ar-SA"/>
        </w:rPr>
        <w:t>  Mr. Hawkins argues that the evidence that Ms. Salvatierra continues to be in constant pain is not supported by her husband's and her friends' evidence. In this respect, the defendants refer to the evidence of the plaintiff's husband, Paul Clermont, and the plaintiff's friends, Clemencia Gomez, Deborah Bell and Renee Smith. I disagree with that interpretation of the evidence although the effect of that evidence, taken with the evidence as a whole, indicates that the plaintiff suffered more from her injuries in the first two years or so after the accident but less in recent times. For example, Ms. Gomez says for many years Ms. Salvatierra could not do anything, especially during the first two years after the accident. Ms. Deborah Bell said that in connection with a contract in early 2007, they were much more aware of Ms. Salvatierra's limitations and provided some flexibility in the work. Although their evidence may suggest that her problems were more pronounced in the first two years, I think that evidence did provide some support for the plaintiff's evidence that her pain from her injuries continues. It suggests, as does much of the medical evidence, that her pain was greater in the first two years immediately following the accident, and that it has improved since.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47</w:t>
      </w:r>
      <w:r>
        <w:rPr>
          <w:rFonts w:ascii="arial" w:eastAsia="arial" w:hAnsi="arial" w:cs="arial"/>
          <w:color w:val="000000"/>
          <w:sz w:val="20"/>
          <w:lang w:val="en-US" w:eastAsia="en-US" w:bidi="ar-SA"/>
        </w:rPr>
        <w:t>  The defendants say that the evidence of the plaintiff that she could have completed her thesis in 2004 had she not been in the accident is questionable. I think the defendant's submission has some merit. The evidence as a whole, I find, suggests that the plaintiff was not as far advanced with her thesis as she says that she was at the time of the accident. I will deal with the question later as to whether the accident delayed her completion of her Master's thesis.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48</w:t>
      </w:r>
      <w:r>
        <w:rPr>
          <w:rFonts w:ascii="arial" w:eastAsia="arial" w:hAnsi="arial" w:cs="arial"/>
          <w:color w:val="000000"/>
          <w:sz w:val="20"/>
          <w:lang w:val="en-US" w:eastAsia="en-US" w:bidi="ar-SA"/>
        </w:rPr>
        <w:t>  The defendants' counsel argued that Ms. Salvatierra first testified it was impossible to work on her thesis in 2004 due to headaches, rib pain, and inability to concentrate, but later said that she could work on the thesis for up to an hour a day. Looking at that evidence in the context of the evidence as a whole, I do not see this as a serious contradiction in the plaintiff's evidence.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49</w:t>
      </w:r>
      <w:r>
        <w:rPr>
          <w:rFonts w:ascii="arial" w:eastAsia="arial" w:hAnsi="arial" w:cs="arial"/>
          <w:color w:val="000000"/>
          <w:sz w:val="20"/>
          <w:lang w:val="en-US" w:eastAsia="en-US" w:bidi="ar-SA"/>
        </w:rPr>
        <w:t>  The defendants say that the plaintiff worked in the business of making and selling salsa in 2004, and did so more than she suggested in her evidence. They say further that she was likely working in 2006 when she said she was not. The salsa business appears to be a venture in which the plaintiff hoped to earn money, and in which she hoped to sell her own type of salsa. Although she perhaps went to farmers' markets with her friends more times than she acknowledged or remembered, and did more market research than she suggested, I think the venture was quite modest and more modest than the defendants suggest. Others, including friends and her husband, helped her carry items, particularly in the first year or two after the accident, to allow her to do this. Accordingly, the number of times she attempted to sell salsa and whether she did it in 2006 or not I do not see as giving rise to a significant inconsistency in her evidence.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50</w:t>
      </w:r>
      <w:r>
        <w:rPr>
          <w:rFonts w:ascii="arial" w:eastAsia="arial" w:hAnsi="arial" w:cs="arial"/>
          <w:color w:val="000000"/>
          <w:sz w:val="20"/>
          <w:lang w:val="en-US" w:eastAsia="en-US" w:bidi="ar-SA"/>
        </w:rPr>
        <w:t>  The defendants point to the plaintiff's suggestion of alleged marital difficulties from the injuries from the accident. The plaintiff's suggestion is that in considering general damages, I should take into account the question of whether her marriage break-up was caused by the accident, and whether she suffered from anxiety as a result of her injuries. To a certain degree, the extent to which the plaintiff had complained of marital difficulties to her doctor in the past was greater than she testified to at trial, but again in the context of the evidence as a whole, I do not think this significantly undermines the plaintiff's evidence.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51</w:t>
      </w:r>
      <w:r>
        <w:rPr>
          <w:rFonts w:ascii="arial" w:eastAsia="arial" w:hAnsi="arial" w:cs="arial"/>
          <w:color w:val="000000"/>
          <w:sz w:val="20"/>
          <w:lang w:val="en-US" w:eastAsia="en-US" w:bidi="ar-SA"/>
        </w:rPr>
        <w:t>  The defendants make a similar point about the plaintiff's pre-accident anxiety. I think that the existence of marital stress, the stress from working on her Master's degree, and stressful world events caused the plaintiff anxiety prior to the accident. However, such stress and anxiety was really not a matter of discussion between her and her doctor for almost two years before the accident. Again, I do not see this aspect of the plaintiff's evidence as giving rise to a significant inconsistency.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52</w:t>
      </w:r>
      <w:r>
        <w:rPr>
          <w:rFonts w:ascii="arial" w:eastAsia="arial" w:hAnsi="arial" w:cs="arial"/>
          <w:color w:val="000000"/>
          <w:sz w:val="20"/>
          <w:lang w:val="en-US" w:eastAsia="en-US" w:bidi="ar-SA"/>
        </w:rPr>
        <w:t>  The plaintiff was cross-examined about the reporting of her income on her tax returns and that there was an unexplained surplus one year, but I find that she was honest and diligent in ensuring that her income was reported.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53</w:t>
      </w:r>
      <w:r>
        <w:rPr>
          <w:rFonts w:ascii="arial" w:eastAsia="arial" w:hAnsi="arial" w:cs="arial"/>
          <w:color w:val="000000"/>
          <w:sz w:val="20"/>
          <w:lang w:val="en-US" w:eastAsia="en-US" w:bidi="ar-SA"/>
        </w:rPr>
        <w:t>  Overall, my assessment is as follows. I find that there are some inconsistencies in the manner in which the plaintiff reported her injuries to various experts, including her doctor, Dr. Lawson. Further, I recognize that there were inaccuracies in the way she has described her ability to do work or lift and carry objects in the years following the accident, and in her description of the significance of some of the difficulties she has had in the past with her marriage and her anxiety problems. However, in assessing the plaintiff's credibility, I must consider these inconsistencies in the context of the evidence as a whole.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54</w:t>
      </w:r>
      <w:r>
        <w:rPr>
          <w:rFonts w:ascii="arial" w:eastAsia="arial" w:hAnsi="arial" w:cs="arial"/>
          <w:color w:val="000000"/>
          <w:sz w:val="20"/>
          <w:lang w:val="en-US" w:eastAsia="en-US" w:bidi="ar-SA"/>
        </w:rPr>
        <w:t>  I found the plaintiff to be generally a credible witness. She was not argumentative or evasive, but was straightforward. However, on a consideration of all of the evidence I have some concerns that the plaintiff, to a degree, overstated the extent to which she continues to suffer from this accident as time has passed.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General 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55</w:t>
      </w:r>
      <w:r>
        <w:rPr>
          <w:rFonts w:ascii="arial" w:eastAsia="arial" w:hAnsi="arial" w:cs="arial"/>
          <w:color w:val="000000"/>
          <w:sz w:val="20"/>
          <w:lang w:val="en-US" w:eastAsia="en-US" w:bidi="ar-SA"/>
        </w:rPr>
        <w:t>  It is now more than four years since the accident. The plaintiff says that the appropriate award for general damages is between $85,000 and $100,000. The defendants say the proper award is in the range of $25,000 to $35,000.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56</w:t>
      </w:r>
      <w:r>
        <w:rPr>
          <w:rFonts w:ascii="arial" w:eastAsia="arial" w:hAnsi="arial" w:cs="arial"/>
          <w:color w:val="000000"/>
          <w:sz w:val="20"/>
          <w:lang w:val="en-US" w:eastAsia="en-US" w:bidi="ar-SA"/>
        </w:rPr>
        <w:t>  In summary, Ms. Salvatierra suffered soft tissue injuries.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57</w:t>
      </w:r>
      <w:r>
        <w:rPr>
          <w:rFonts w:ascii="arial" w:eastAsia="arial" w:hAnsi="arial" w:cs="arial"/>
          <w:color w:val="000000"/>
          <w:sz w:val="20"/>
          <w:lang w:val="en-US" w:eastAsia="en-US" w:bidi="ar-SA"/>
        </w:rPr>
        <w:t>  The weight to give to the medical opinions in this case depends on the reliability of the plaintiff's evidence.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58</w:t>
      </w:r>
      <w:r>
        <w:rPr>
          <w:rFonts w:ascii="arial" w:eastAsia="arial" w:hAnsi="arial" w:cs="arial"/>
          <w:color w:val="000000"/>
          <w:sz w:val="20"/>
          <w:lang w:val="en-US" w:eastAsia="en-US" w:bidi="ar-SA"/>
        </w:rPr>
        <w:t>  Her injuries, I find, were largely to her neck and the cervical spine. I find that she did suffer myofascial pain of the left neck and shoulder girdle area. As a result of these injuries, she has continuing headaches and related left-sided neck, arm, and back pain. While she had some anxiety problems prior to the accident and some marital discord, I find that the accident and the injuries that she suffered have affected her relationship with her family, particularly her husband, and have caused her increased anxiety for which she has been required to take medication. Her injuries have affected her enjoyment of her life, her studies and her family. The accident has also affected her ability to be active and enjoy athletic activities, such as volleyball and the community activities that appear to be her passion.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59</w:t>
      </w:r>
      <w:r>
        <w:rPr>
          <w:rFonts w:ascii="arial" w:eastAsia="arial" w:hAnsi="arial" w:cs="arial"/>
          <w:color w:val="000000"/>
          <w:sz w:val="20"/>
          <w:lang w:val="en-US" w:eastAsia="en-US" w:bidi="ar-SA"/>
        </w:rPr>
        <w:t>  Her symptoms have persisted, although she has improved significantly by two years following the accident. Although her pain persists to some degree, I have concluded that Ms. Salvatierra is not as disabled as she believes, or put another way, the evidence as a whole has not persuaded me that she has ongoing pain or discomfort significant enough to impair her earning capacity, as I will discuss in a moment. However, I have concluded that she has ongoing pain and is entitled to be compensated for that under this head of 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60</w:t>
      </w:r>
      <w:r>
        <w:rPr>
          <w:rFonts w:ascii="arial" w:eastAsia="arial" w:hAnsi="arial" w:cs="arial"/>
          <w:color w:val="000000"/>
          <w:sz w:val="20"/>
          <w:lang w:val="en-US" w:eastAsia="en-US" w:bidi="ar-SA"/>
        </w:rPr>
        <w:t>  Accordingly, before I consider the issue of mitigation I would award general damages for pain and suffering and loss of enjoyment of life, past and in the future of $45,000.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Past Income Loss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61</w:t>
      </w:r>
      <w:r>
        <w:rPr>
          <w:rFonts w:ascii="arial" w:eastAsia="arial" w:hAnsi="arial" w:cs="arial"/>
          <w:color w:val="000000"/>
          <w:sz w:val="20"/>
          <w:lang w:val="en-US" w:eastAsia="en-US" w:bidi="ar-SA"/>
        </w:rPr>
        <w:t>  The plaintiff claims loss of income from the date of the accident until the trial. The period in question is from November 23, 2003 to February 4, 2008, the day of the commencement of the trial. The plaintiff claims, net of income tax considerations, the sum of $40,000 for past wage loss on this basis. Based on what she earns now the plaintiff's counsel says that if she could work full time now she would earn about $48,000 per annum. The plaintiff, also relying on Mr. Carson's economic report, suggested that had the plaintiff completed her Master's degree by January 1, 2004, and entered the labour market at that time, she would have received income of $151,474 based on the earnings of the average master's degree holder adjusted for an anthropology degree. He however suggested that her claim could be determined on the following basis. He suggested that I use a figure of $21,000 per year as her average anticipated income for this pre-trial period, which he submits is less than one half of her potential for past wage loss during this period. Mr. Collette argued that she would not have earned $21,000 per annum immediately, but would have earned more than that over time. On that assumption, he argues that her likely earnings would have been $84,000 over that four-year period. Deducting her actual earnings of $33,067 during that period would leave a gross past wage loss of about $52,000, which, when reduced for tax considerations, in Mr. Collette's submission should result in an award of about $40,000. Although not precise, Mr. Collette suggested that an assessment of her loss in that range would be reasonable on the evidence.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62</w:t>
      </w:r>
      <w:r>
        <w:rPr>
          <w:rFonts w:ascii="arial" w:eastAsia="arial" w:hAnsi="arial" w:cs="arial"/>
          <w:color w:val="000000"/>
          <w:sz w:val="20"/>
          <w:lang w:val="en-US" w:eastAsia="en-US" w:bidi="ar-SA"/>
        </w:rPr>
        <w:t>  The defendants say there should be no award under this head of damages. The defendants' position is that the claim for past wage loss essentially relates to the alleged delay in the plaintiff completing her Master's thesis and getting into the work force and Mr. Hawkins says there is really no delay attributable to the car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63</w:t>
      </w:r>
      <w:r>
        <w:rPr>
          <w:rFonts w:ascii="arial" w:eastAsia="arial" w:hAnsi="arial" w:cs="arial"/>
          <w:color w:val="000000"/>
          <w:sz w:val="20"/>
          <w:lang w:val="en-US" w:eastAsia="en-US" w:bidi="ar-SA"/>
        </w:rPr>
        <w:t>  I find that the accident did delay the plaintiff's Master's degree to some extent but not to the extent that she claims. I do not think that the evidence shows the plaintiff's thesis was as far as advanced as she testified. I find that had she not been injured she likely would have completed the thesis in any event in the latter part of 2004.</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64</w:t>
      </w:r>
      <w:r>
        <w:rPr>
          <w:rFonts w:ascii="arial" w:eastAsia="arial" w:hAnsi="arial" w:cs="arial"/>
          <w:color w:val="000000"/>
          <w:sz w:val="20"/>
          <w:lang w:val="en-US" w:eastAsia="en-US" w:bidi="ar-SA"/>
        </w:rPr>
        <w:t>  I also find that had she not been injured she likely would have generally worked part-time on various projects but for the injuries that she suffered. As a result, I find that it is likely that she would have earned income in the range of $60,000 to $68,000, and given her actual income during that period and taking into account tax considerations, I assess her proven lost income to the date of trial at $25,000.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Loss of Earning Capacity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65</w:t>
      </w:r>
      <w:r>
        <w:rPr>
          <w:rFonts w:ascii="arial" w:eastAsia="arial" w:hAnsi="arial" w:cs="arial"/>
          <w:color w:val="000000"/>
          <w:sz w:val="20"/>
          <w:lang w:val="en-US" w:eastAsia="en-US" w:bidi="ar-SA"/>
        </w:rPr>
        <w:t>  The plaintiff's position is that she can now only work sixty percent of full time employment and that the present value of her future loss is about $350,000 after considering all positive and negative contingencies.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66</w:t>
      </w:r>
      <w:r>
        <w:rPr>
          <w:rFonts w:ascii="arial" w:eastAsia="arial" w:hAnsi="arial" w:cs="arial"/>
          <w:color w:val="000000"/>
          <w:sz w:val="20"/>
          <w:lang w:val="en-US" w:eastAsia="en-US" w:bidi="ar-SA"/>
        </w:rPr>
        <w:t>  The plaintiff's counsel argues that Ms. Salvatierra is a driven person with a track record of success like other members of her family and that the present value of her loss by only working about sixty percent of the time into the future is the figure that he suggests is the appropriate award.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67</w:t>
      </w:r>
      <w:r>
        <w:rPr>
          <w:rFonts w:ascii="arial" w:eastAsia="arial" w:hAnsi="arial" w:cs="arial"/>
          <w:color w:val="000000"/>
          <w:sz w:val="20"/>
          <w:lang w:val="en-US" w:eastAsia="en-US" w:bidi="ar-SA"/>
        </w:rPr>
        <w:t xml:space="preserve">  The proper approach to the issue of loss of earning capacity is described in </w:t>
      </w:r>
      <w:r>
        <w:rPr>
          <w:rFonts w:ascii="arial" w:eastAsia="arial" w:hAnsi="arial" w:cs="arial"/>
          <w:b/>
          <w:i/>
          <w:color w:val="000000"/>
          <w:sz w:val="20"/>
          <w:lang w:val="en-US" w:eastAsia="en-US" w:bidi="ar-SA"/>
        </w:rPr>
        <w:t>Rosvold v. Dunlop</w:t>
      </w:r>
      <w:r>
        <w:rPr>
          <w:rFonts w:ascii="arial" w:eastAsia="arial" w:hAnsi="arial" w:cs="arial"/>
          <w:color w:val="000000"/>
          <w:sz w:val="20"/>
          <w:lang w:val="en-US" w:eastAsia="en-US" w:bidi="ar-SA"/>
        </w:rPr>
        <w:t xml:space="preserve">, </w:t>
      </w:r>
      <w:hyperlink r:id="rId587" w:history="1">
        <w:r>
          <w:rPr>
            <w:rFonts w:ascii="arial" w:eastAsia="arial" w:hAnsi="arial" w:cs="arial"/>
            <w:i/>
            <w:color w:val="0077CC"/>
            <w:sz w:val="20"/>
            <w:u w:val="single"/>
            <w:shd w:val="clear" w:color="auto" w:fill="FFFFFF"/>
            <w:lang w:val="en-US" w:eastAsia="en-US" w:bidi="ar-SA"/>
          </w:rPr>
          <w:t>2001 BCCA 1</w:t>
        </w:r>
      </w:hyperlink>
      <w:r>
        <w:rPr>
          <w:rFonts w:ascii="arial" w:eastAsia="arial" w:hAnsi="arial" w:cs="arial"/>
          <w:color w:val="000000"/>
          <w:sz w:val="20"/>
          <w:lang w:val="en-US" w:eastAsia="en-US" w:bidi="ar-SA"/>
        </w:rPr>
        <w:t xml:space="preserve">, </w:t>
      </w:r>
      <w:hyperlink r:id="rId587" w:history="1">
        <w:r>
          <w:rPr>
            <w:rFonts w:ascii="arial" w:eastAsia="arial" w:hAnsi="arial" w:cs="arial"/>
            <w:i/>
            <w:color w:val="0077CC"/>
            <w:sz w:val="20"/>
            <w:u w:val="single"/>
            <w:shd w:val="clear" w:color="auto" w:fill="FFFFFF"/>
            <w:lang w:val="en-US" w:eastAsia="en-US" w:bidi="ar-SA"/>
          </w:rPr>
          <w:t>84 B.C.L.R. (3d) 158</w:t>
        </w:r>
      </w:hyperlink>
      <w:r>
        <w:rPr>
          <w:rFonts w:ascii="arial" w:eastAsia="arial" w:hAnsi="arial" w:cs="arial"/>
          <w:color w:val="000000"/>
          <w:sz w:val="20"/>
          <w:lang w:val="en-US" w:eastAsia="en-US" w:bidi="ar-SA"/>
        </w:rPr>
        <w:t>, Huddart J.A. said at paras. 8-11:</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most basic of those principles is that a plaintiff is entitled to be put into the position he would have been in but for the accident so far as money can do that. An award for loss of earning capacity is based on the recognition that a plaintiff's capacity to earn income is an asset which has been taken away: </w:t>
      </w:r>
      <w:r>
        <w:rPr>
          <w:rFonts w:ascii="arial" w:eastAsia="arial" w:hAnsi="arial" w:cs="arial"/>
          <w:b/>
          <w:i/>
          <w:color w:val="000000"/>
          <w:sz w:val="20"/>
          <w:lang w:val="en-US" w:eastAsia="en-US" w:bidi="ar-SA"/>
        </w:rPr>
        <w:t>Andrews v. Grand &amp; Toy Alberta Ltd.</w:t>
      </w:r>
      <w:r>
        <w:rPr>
          <w:rFonts w:ascii="arial" w:eastAsia="arial" w:hAnsi="arial" w:cs="arial"/>
          <w:color w:val="000000"/>
          <w:sz w:val="20"/>
          <w:lang w:val="en-US" w:eastAsia="en-US" w:bidi="ar-SA"/>
        </w:rPr>
        <w:t xml:space="preserve">, </w:t>
      </w:r>
      <w:hyperlink r:id="rId594" w:history="1">
        <w:r>
          <w:rPr>
            <w:rFonts w:ascii="arial" w:eastAsia="arial" w:hAnsi="arial" w:cs="arial"/>
            <w:i/>
            <w:color w:val="0077CC"/>
            <w:sz w:val="20"/>
            <w:u w:val="single"/>
            <w:shd w:val="clear" w:color="auto" w:fill="FFFFFF"/>
            <w:lang w:val="en-US" w:eastAsia="en-US" w:bidi="ar-SA"/>
          </w:rPr>
          <w:t>[1978] 2 S.C.R. 229</w:t>
        </w:r>
      </w:hyperlink>
      <w:r>
        <w:rPr>
          <w:rFonts w:ascii="arial" w:eastAsia="arial" w:hAnsi="arial" w:cs="arial"/>
          <w:color w:val="000000"/>
          <w:sz w:val="20"/>
          <w:lang w:val="en-US" w:eastAsia="en-US" w:bidi="ar-SA"/>
        </w:rPr>
        <w:t xml:space="preserve"> (S.C.C.); </w:t>
      </w:r>
      <w:r>
        <w:rPr>
          <w:rFonts w:ascii="arial" w:eastAsia="arial" w:hAnsi="arial" w:cs="arial"/>
          <w:b/>
          <w:i/>
          <w:color w:val="000000"/>
          <w:sz w:val="20"/>
          <w:lang w:val="en-US" w:eastAsia="en-US" w:bidi="ar-SA"/>
        </w:rPr>
        <w:t>Parypa v. Wickware</w:t>
      </w:r>
      <w:r>
        <w:rPr>
          <w:rFonts w:ascii="arial" w:eastAsia="arial" w:hAnsi="arial" w:cs="arial"/>
          <w:color w:val="000000"/>
          <w:sz w:val="20"/>
          <w:lang w:val="en-US" w:eastAsia="en-US" w:bidi="ar-SA"/>
        </w:rPr>
        <w:t xml:space="preserve"> </w:t>
      </w:r>
      <w:hyperlink r:id="rId589" w:history="1">
        <w:r>
          <w:rPr>
            <w:rFonts w:ascii="arial" w:eastAsia="arial" w:hAnsi="arial" w:cs="arial"/>
            <w:i/>
            <w:color w:val="0077CC"/>
            <w:sz w:val="20"/>
            <w:u w:val="single"/>
            <w:shd w:val="clear" w:color="auto" w:fill="FFFFFF"/>
            <w:lang w:val="en-US" w:eastAsia="en-US" w:bidi="ar-SA"/>
          </w:rPr>
          <w:t>(1999), 65 B.C.L.R. (3d) 155</w:t>
        </w:r>
      </w:hyperlink>
      <w:r>
        <w:rPr>
          <w:rFonts w:ascii="arial" w:eastAsia="arial" w:hAnsi="arial" w:cs="arial"/>
          <w:color w:val="000000"/>
          <w:sz w:val="20"/>
          <w:lang w:val="en-US" w:eastAsia="en-US" w:bidi="ar-SA"/>
        </w:rPr>
        <w:t xml:space="preserve"> (B.C.C.A.). Where a plaintiff's permanent injury limits him in his capacity to perform certain activities and consequently impairs his income earning capacity, he is entitled to compensation. What is being compensated is not lost projected future earnings but the loss or impairment of earning capacity as a capital asset. In some cases, projections from past earnings may be a useful factor to consider in valuing the loss but past earnings are not the only factor to consider.</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Because damage awards are made as lump sums, an award for loss of future earning capacity must deal to some extent with the unknowable. The standard of proof to be applied when evaluating hypothetical events that may affect an award is simple probability, not the balance of probabilities: </w:t>
      </w:r>
      <w:r>
        <w:rPr>
          <w:rFonts w:ascii="arial" w:eastAsia="arial" w:hAnsi="arial" w:cs="arial"/>
          <w:b/>
          <w:i/>
          <w:color w:val="000000"/>
          <w:sz w:val="20"/>
          <w:lang w:val="en-US" w:eastAsia="en-US" w:bidi="ar-SA"/>
        </w:rPr>
        <w:t>Athey v. Leonati</w:t>
      </w:r>
      <w:r>
        <w:rPr>
          <w:rFonts w:ascii="arial" w:eastAsia="arial" w:hAnsi="arial" w:cs="arial"/>
          <w:color w:val="000000"/>
          <w:sz w:val="20"/>
          <w:lang w:val="en-US" w:eastAsia="en-US" w:bidi="ar-SA"/>
        </w:rPr>
        <w:t xml:space="preserve">, </w:t>
      </w:r>
      <w:hyperlink r:id="rId593" w:history="1">
        <w:r>
          <w:rPr>
            <w:rFonts w:ascii="arial" w:eastAsia="arial" w:hAnsi="arial" w:cs="arial"/>
            <w:i/>
            <w:color w:val="0077CC"/>
            <w:sz w:val="20"/>
            <w:u w:val="single"/>
            <w:shd w:val="clear" w:color="auto" w:fill="FFFFFF"/>
            <w:lang w:val="en-US" w:eastAsia="en-US" w:bidi="ar-SA"/>
          </w:rPr>
          <w:t>[1996] 3 S.C.R. 458</w:t>
        </w:r>
      </w:hyperlink>
      <w:r>
        <w:rPr>
          <w:rFonts w:ascii="arial" w:eastAsia="arial" w:hAnsi="arial" w:cs="arial"/>
          <w:color w:val="000000"/>
          <w:sz w:val="20"/>
          <w:lang w:val="en-US" w:eastAsia="en-US" w:bidi="ar-SA"/>
        </w:rPr>
        <w:t xml:space="preserve"> (S.C.C.). Possibilities and probabilities, chances, opportunities, and risks must all be considered, so long as they are a real and substantial possibility and not mere speculation. These possibilities are to be given weight according to the percentage chance they would have happened or will happen.</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trial judge's task is to assess the loss on a judgmental basis, taking into consideration all the relevant factors arising from the evidence: </w:t>
      </w:r>
      <w:r>
        <w:rPr>
          <w:rFonts w:ascii="arial" w:eastAsia="arial" w:hAnsi="arial" w:cs="arial"/>
          <w:b/>
          <w:i/>
          <w:color w:val="000000"/>
          <w:sz w:val="20"/>
          <w:lang w:val="en-US" w:eastAsia="en-US" w:bidi="ar-SA"/>
        </w:rPr>
        <w:t>Mazzuca v. Alexakis</w:t>
      </w:r>
      <w:r>
        <w:rPr>
          <w:rFonts w:ascii="arial" w:eastAsia="arial" w:hAnsi="arial" w:cs="arial"/>
          <w:color w:val="000000"/>
          <w:sz w:val="20"/>
          <w:lang w:val="en-US" w:eastAsia="en-US" w:bidi="ar-SA"/>
        </w:rPr>
        <w:t>, (September 20, 1994), Doc. Vancovuer B905414 [</w:t>
      </w:r>
      <w:hyperlink r:id="rId612" w:history="1">
        <w:r>
          <w:rPr>
            <w:rFonts w:ascii="arial" w:eastAsia="arial" w:hAnsi="arial" w:cs="arial"/>
            <w:i/>
            <w:color w:val="0077CC"/>
            <w:sz w:val="20"/>
            <w:u w:val="single"/>
            <w:shd w:val="clear" w:color="auto" w:fill="FFFFFF"/>
            <w:lang w:val="en-US" w:eastAsia="en-US" w:bidi="ar-SA"/>
          </w:rPr>
          <w:t>[1994] B.C.J. No. 2128</w:t>
        </w:r>
      </w:hyperlink>
      <w:r>
        <w:rPr>
          <w:rFonts w:ascii="arial" w:eastAsia="arial" w:hAnsi="arial" w:cs="arial"/>
          <w:color w:val="000000"/>
          <w:sz w:val="20"/>
          <w:lang w:val="en-US" w:eastAsia="en-US" w:bidi="ar-SA"/>
        </w:rPr>
        <w:t>] (B.C.S.C.) at para. 121 [aff'd] (September 24, 1997), Doc. Vancouver CA019456 [</w:t>
      </w:r>
      <w:hyperlink r:id="rId613" w:history="1">
        <w:r>
          <w:rPr>
            <w:rFonts w:ascii="arial" w:eastAsia="arial" w:hAnsi="arial" w:cs="arial"/>
            <w:i/>
            <w:color w:val="0077CC"/>
            <w:sz w:val="20"/>
            <w:u w:val="single"/>
            <w:shd w:val="clear" w:color="auto" w:fill="FFFFFF"/>
            <w:lang w:val="en-US" w:eastAsia="en-US" w:bidi="ar-SA"/>
          </w:rPr>
          <w:t>[1997] B.C.J. No. 2178</w:t>
        </w:r>
      </w:hyperlink>
      <w:r>
        <w:rPr>
          <w:rFonts w:ascii="arial" w:eastAsia="arial" w:hAnsi="arial" w:cs="arial"/>
          <w:color w:val="000000"/>
          <w:sz w:val="20"/>
          <w:lang w:val="en-US" w:eastAsia="en-US" w:bidi="ar-SA"/>
        </w:rPr>
        <w:t xml:space="preserve">] (B.C.C.A.). Guidance as to what factors may be relevant can be found in </w:t>
      </w:r>
      <w:r>
        <w:rPr>
          <w:rFonts w:ascii="arial" w:eastAsia="arial" w:hAnsi="arial" w:cs="arial"/>
          <w:b/>
          <w:i/>
          <w:color w:val="000000"/>
          <w:sz w:val="20"/>
          <w:lang w:val="en-US" w:eastAsia="en-US" w:bidi="ar-SA"/>
        </w:rPr>
        <w:t>Parypa v. Wickware</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supra</w:t>
      </w:r>
      <w:r>
        <w:rPr>
          <w:rFonts w:ascii="arial" w:eastAsia="arial" w:hAnsi="arial" w:cs="arial"/>
          <w:color w:val="000000"/>
          <w:sz w:val="20"/>
          <w:lang w:val="en-US" w:eastAsia="en-US" w:bidi="ar-SA"/>
        </w:rPr>
        <w:t xml:space="preserve">, at para. 31; </w:t>
      </w:r>
      <w:r>
        <w:rPr>
          <w:rFonts w:ascii="arial" w:eastAsia="arial" w:hAnsi="arial" w:cs="arial"/>
          <w:b/>
          <w:i/>
          <w:color w:val="000000"/>
          <w:sz w:val="20"/>
          <w:lang w:val="en-US" w:eastAsia="en-US" w:bidi="ar-SA"/>
        </w:rPr>
        <w:t>Kwei v. Boisclair</w:t>
      </w:r>
      <w:r>
        <w:rPr>
          <w:rFonts w:ascii="arial" w:eastAsia="arial" w:hAnsi="arial" w:cs="arial"/>
          <w:color w:val="000000"/>
          <w:sz w:val="20"/>
          <w:lang w:val="en-US" w:eastAsia="en-US" w:bidi="ar-SA"/>
        </w:rPr>
        <w:t xml:space="preserve"> </w:t>
      </w:r>
      <w:hyperlink r:id="rId614" w:history="1">
        <w:r>
          <w:rPr>
            <w:rFonts w:ascii="arial" w:eastAsia="arial" w:hAnsi="arial" w:cs="arial"/>
            <w:i/>
            <w:color w:val="0077CC"/>
            <w:sz w:val="20"/>
            <w:u w:val="single"/>
            <w:shd w:val="clear" w:color="auto" w:fill="FFFFFF"/>
            <w:lang w:val="en-US" w:eastAsia="en-US" w:bidi="ar-SA"/>
          </w:rPr>
          <w:t>(1991), 60 B.C.L.R. (2d) 393</w:t>
        </w:r>
      </w:hyperlink>
      <w:r>
        <w:rPr>
          <w:rFonts w:ascii="arial" w:eastAsia="arial" w:hAnsi="arial" w:cs="arial"/>
          <w:color w:val="000000"/>
          <w:sz w:val="20"/>
          <w:lang w:val="en-US" w:eastAsia="en-US" w:bidi="ar-SA"/>
        </w:rPr>
        <w:t xml:space="preserve"> (B.C.C.A.); and </w:t>
      </w:r>
      <w:r>
        <w:rPr>
          <w:rFonts w:ascii="arial" w:eastAsia="arial" w:hAnsi="arial" w:cs="arial"/>
          <w:b/>
          <w:i/>
          <w:color w:val="000000"/>
          <w:sz w:val="20"/>
          <w:lang w:val="en-US" w:eastAsia="en-US" w:bidi="ar-SA"/>
        </w:rPr>
        <w:t>Brown v. Golaiy</w:t>
      </w:r>
      <w:r>
        <w:rPr>
          <w:rFonts w:ascii="arial" w:eastAsia="arial" w:hAnsi="arial" w:cs="arial"/>
          <w:color w:val="000000"/>
          <w:sz w:val="20"/>
          <w:lang w:val="en-US" w:eastAsia="en-US" w:bidi="ar-SA"/>
        </w:rPr>
        <w:t xml:space="preserve"> </w:t>
      </w:r>
      <w:hyperlink r:id="rId586" w:history="1">
        <w:r>
          <w:rPr>
            <w:rFonts w:ascii="arial" w:eastAsia="arial" w:hAnsi="arial" w:cs="arial"/>
            <w:i/>
            <w:color w:val="0077CC"/>
            <w:sz w:val="20"/>
            <w:u w:val="single"/>
            <w:shd w:val="clear" w:color="auto" w:fill="FFFFFF"/>
            <w:lang w:val="en-US" w:eastAsia="en-US" w:bidi="ar-SA"/>
          </w:rPr>
          <w:t>(1985), 26 B.C.L.R. (3d) 353</w:t>
        </w:r>
      </w:hyperlink>
      <w:r>
        <w:rPr>
          <w:rFonts w:ascii="arial" w:eastAsia="arial" w:hAnsi="arial" w:cs="arial"/>
          <w:color w:val="000000"/>
          <w:sz w:val="20"/>
          <w:lang w:val="en-US" w:eastAsia="en-US" w:bidi="ar-SA"/>
        </w:rPr>
        <w:t xml:space="preserve"> (B.C.S.C.) </w:t>
      </w:r>
      <w:r>
        <w:rPr>
          <w:rFonts w:ascii="arial" w:eastAsia="arial" w:hAnsi="arial" w:cs="arial"/>
          <w:i/>
          <w:color w:val="000000"/>
          <w:sz w:val="20"/>
          <w:lang w:val="en-US" w:eastAsia="en-US" w:bidi="ar-SA"/>
        </w:rPr>
        <w:t>per</w:t>
      </w:r>
      <w:r>
        <w:rPr>
          <w:rFonts w:ascii="arial" w:eastAsia="arial" w:hAnsi="arial" w:cs="arial"/>
          <w:color w:val="000000"/>
          <w:sz w:val="20"/>
          <w:lang w:val="en-US" w:eastAsia="en-US" w:bidi="ar-SA"/>
        </w:rPr>
        <w:t xml:space="preserve"> Finch J. They include:</w:t>
      </w:r>
    </w:p>
    <w:p>
      <w:pPr>
        <w:numPr>
          <w:numId w:val="10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whether the plaintiff has been rendered less capable overall from earning income from all types of employment;</w:t>
      </w:r>
    </w:p>
    <w:p>
      <w:pPr>
        <w:numPr>
          <w:numId w:val="10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whether the plaintiff is less marketable or attractive as an employee to potential employers;</w:t>
      </w:r>
    </w:p>
    <w:p>
      <w:pPr>
        <w:numPr>
          <w:numId w:val="10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whether the plaintiff has lost the ability to take advantage of all job opportunities which might otherwise have been open to him, had he not been injured; and</w:t>
      </w:r>
    </w:p>
    <w:p>
      <w:pPr>
        <w:numPr>
          <w:numId w:val="10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whether the plaintiff is less valuable to himself as a person capable of earning income in a competitive labour market.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task of the court is to assess damages, not to calculate them according to some mathematical formula: </w:t>
      </w:r>
      <w:r>
        <w:rPr>
          <w:rFonts w:ascii="arial" w:eastAsia="arial" w:hAnsi="arial" w:cs="arial"/>
          <w:b/>
          <w:i/>
          <w:color w:val="000000"/>
          <w:sz w:val="20"/>
          <w:lang w:val="en-US" w:eastAsia="en-US" w:bidi="ar-SA"/>
        </w:rPr>
        <w:t>Mulholland (Guardian ad litem of) v. Riley Estate</w:t>
      </w:r>
      <w:r>
        <w:rPr>
          <w:rFonts w:ascii="arial" w:eastAsia="arial" w:hAnsi="arial" w:cs="arial"/>
          <w:color w:val="000000"/>
          <w:sz w:val="20"/>
          <w:lang w:val="en-US" w:eastAsia="en-US" w:bidi="ar-SA"/>
        </w:rPr>
        <w:t xml:space="preserve"> </w:t>
      </w:r>
      <w:hyperlink r:id="rId615" w:history="1">
        <w:r>
          <w:rPr>
            <w:rFonts w:ascii="arial" w:eastAsia="arial" w:hAnsi="arial" w:cs="arial"/>
            <w:i/>
            <w:color w:val="0077CC"/>
            <w:sz w:val="20"/>
            <w:u w:val="single"/>
            <w:shd w:val="clear" w:color="auto" w:fill="FFFFFF"/>
            <w:lang w:val="en-US" w:eastAsia="en-US" w:bidi="ar-SA"/>
          </w:rPr>
          <w:t>(1995), 12 B.C.L.R. (3d) 248</w:t>
        </w:r>
      </w:hyperlink>
      <w:r>
        <w:rPr>
          <w:rFonts w:ascii="arial" w:eastAsia="arial" w:hAnsi="arial" w:cs="arial"/>
          <w:color w:val="000000"/>
          <w:sz w:val="20"/>
          <w:lang w:val="en-US" w:eastAsia="en-US" w:bidi="ar-SA"/>
        </w:rPr>
        <w:t xml:space="preserve"> (B.C.C.A.). Once impairment of a plaintiff's earning capacity as a capital asset has been established, that impairment must be valued. The valuation may involve a comparison of the likely future of the plaintiff if the accident had not happened with the plaintiff's likely future after the accident has happened. As a starting point, a trial judge may determine the present value of the difference between the amounts earned under those two scenarios. But if this is done, it is not to be the end of the inquiry: </w:t>
      </w:r>
      <w:r>
        <w:rPr>
          <w:rFonts w:ascii="arial" w:eastAsia="arial" w:hAnsi="arial" w:cs="arial"/>
          <w:b/>
          <w:i/>
          <w:color w:val="000000"/>
          <w:sz w:val="20"/>
          <w:lang w:val="en-US" w:eastAsia="en-US" w:bidi="ar-SA"/>
        </w:rPr>
        <w:t>Ryder (Guardian ad litem of) v. Jubbal</w:t>
      </w:r>
      <w:r>
        <w:rPr>
          <w:rFonts w:ascii="arial" w:eastAsia="arial" w:hAnsi="arial" w:cs="arial"/>
          <w:color w:val="000000"/>
          <w:sz w:val="20"/>
          <w:lang w:val="en-US" w:eastAsia="en-US" w:bidi="ar-SA"/>
        </w:rPr>
        <w:t xml:space="preserve">, (March 6, 1995), Doc. CA018742; CA018743 [ </w:t>
      </w:r>
      <w:hyperlink r:id="rId616" w:history="1">
        <w:r>
          <w:rPr>
            <w:rFonts w:ascii="arial" w:eastAsia="arial" w:hAnsi="arial" w:cs="arial"/>
            <w:i/>
            <w:color w:val="0077CC"/>
            <w:sz w:val="20"/>
            <w:u w:val="single"/>
            <w:shd w:val="clear" w:color="auto" w:fill="FFFFFF"/>
            <w:lang w:val="en-US" w:eastAsia="en-US" w:bidi="ar-SA"/>
          </w:rPr>
          <w:t>[1995] B.C.J. No. 644</w:t>
        </w:r>
      </w:hyperlink>
      <w:r>
        <w:rPr>
          <w:rFonts w:ascii="arial" w:eastAsia="arial" w:hAnsi="arial" w:cs="arial"/>
          <w:color w:val="000000"/>
          <w:sz w:val="20"/>
          <w:lang w:val="en-US" w:eastAsia="en-US" w:bidi="ar-SA"/>
        </w:rPr>
        <w:t xml:space="preserve">] (B.C.C.A.); </w:t>
      </w:r>
      <w:r>
        <w:rPr>
          <w:rFonts w:ascii="arial" w:eastAsia="arial" w:hAnsi="arial" w:cs="arial"/>
          <w:b/>
          <w:i/>
          <w:color w:val="000000"/>
          <w:sz w:val="20"/>
          <w:lang w:val="en-US" w:eastAsia="en-US" w:bidi="ar-SA"/>
        </w:rPr>
        <w:t>Parypa v. Wickware</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supra</w:t>
      </w:r>
      <w:r>
        <w:rPr>
          <w:rFonts w:ascii="arial" w:eastAsia="arial" w:hAnsi="arial" w:cs="arial"/>
          <w:color w:val="000000"/>
          <w:sz w:val="20"/>
          <w:lang w:val="en-US" w:eastAsia="en-US" w:bidi="ar-SA"/>
        </w:rPr>
        <w:t>. The overall fairness and reasonableness of the award must be considered taking into account all the evidence.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68</w:t>
      </w:r>
      <w:r>
        <w:rPr>
          <w:rFonts w:ascii="arial" w:eastAsia="arial" w:hAnsi="arial" w:cs="arial"/>
          <w:color w:val="000000"/>
          <w:sz w:val="20"/>
          <w:lang w:val="en-US" w:eastAsia="en-US" w:bidi="ar-SA"/>
        </w:rPr>
        <w:t>  Ms. Salvatierra is presently working part-time. She is employed in a variety of contracts in her chosen area. She is also planning a business venture with her friend, Renee Smith, who is opening an organic family food operation. Ms. Salvatierra will provide the business management skills. I think that it is difficult to accumulate full-time work in the work that Ms. Salvatierra does because of the variety of contracts and jobs she performs.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69</w:t>
      </w:r>
      <w:r>
        <w:rPr>
          <w:rFonts w:ascii="arial" w:eastAsia="arial" w:hAnsi="arial" w:cs="arial"/>
          <w:color w:val="000000"/>
          <w:sz w:val="20"/>
          <w:lang w:val="en-US" w:eastAsia="en-US" w:bidi="ar-SA"/>
        </w:rPr>
        <w:t>  The starting point is whether the plaintiff has demonstrated any impairment of her earning capacity.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70</w:t>
      </w:r>
      <w:r>
        <w:rPr>
          <w:rFonts w:ascii="arial" w:eastAsia="arial" w:hAnsi="arial" w:cs="arial"/>
          <w:color w:val="000000"/>
          <w:sz w:val="20"/>
          <w:lang w:val="en-US" w:eastAsia="en-US" w:bidi="ar-SA"/>
        </w:rPr>
        <w:t>  Although I have found that the plaintiff has some ongoing residual discomfort and pain, I am not satisfied that the plaintiff has proven that she has any ongoing pain or disability that will impair her earning capacity. While I recognize that the plaintiff may have some ongoing discomfort with activity, I am not persuaded on the evidence that it is such as will make her less marketable, less capable of earning income from all types of employment, or that she has lost the ability to take advantage of job opportunities that may be available to her or that she is less valuable to herself as a person capable of earning income in a competitive labour market.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71</w:t>
      </w:r>
      <w:r>
        <w:rPr>
          <w:rFonts w:ascii="arial" w:eastAsia="arial" w:hAnsi="arial" w:cs="arial"/>
          <w:color w:val="000000"/>
          <w:sz w:val="20"/>
          <w:lang w:val="en-US" w:eastAsia="en-US" w:bidi="ar-SA"/>
        </w:rPr>
        <w:t xml:space="preserve">  I am not persuaded that she is only able to work part-time at the present time because of her injuries or the restrictions that they place on her abilities. After applying the principles from </w:t>
      </w:r>
      <w:r>
        <w:rPr>
          <w:rFonts w:ascii="arial" w:eastAsia="arial" w:hAnsi="arial" w:cs="arial"/>
          <w:b/>
          <w:i/>
          <w:color w:val="000000"/>
          <w:sz w:val="20"/>
          <w:lang w:val="en-US" w:eastAsia="en-US" w:bidi="ar-SA"/>
        </w:rPr>
        <w:t>Rosvold v. Dunlop</w:t>
      </w:r>
      <w:r>
        <w:rPr>
          <w:rFonts w:ascii="arial" w:eastAsia="arial" w:hAnsi="arial" w:cs="arial"/>
          <w:color w:val="000000"/>
          <w:sz w:val="20"/>
          <w:lang w:val="en-US" w:eastAsia="en-US" w:bidi="ar-SA"/>
        </w:rPr>
        <w:t xml:space="preserve"> and after considering the factors referred to in cases, such as </w:t>
      </w:r>
      <w:r>
        <w:rPr>
          <w:rFonts w:ascii="arial" w:eastAsia="arial" w:hAnsi="arial" w:cs="arial"/>
          <w:b/>
          <w:i/>
          <w:color w:val="000000"/>
          <w:sz w:val="20"/>
          <w:lang w:val="en-US" w:eastAsia="en-US" w:bidi="ar-SA"/>
        </w:rPr>
        <w:t>Parypa v. Wickware</w:t>
      </w:r>
      <w:r>
        <w:rPr>
          <w:rFonts w:ascii="arial" w:eastAsia="arial" w:hAnsi="arial" w:cs="arial"/>
          <w:color w:val="000000"/>
          <w:sz w:val="20"/>
          <w:lang w:val="en-US" w:eastAsia="en-US" w:bidi="ar-SA"/>
        </w:rPr>
        <w:t xml:space="preserve">, </w:t>
      </w:r>
      <w:r>
        <w:rPr>
          <w:rFonts w:ascii="arial" w:eastAsia="arial" w:hAnsi="arial" w:cs="arial"/>
          <w:b/>
          <w:i/>
          <w:color w:val="000000"/>
          <w:sz w:val="20"/>
          <w:lang w:val="en-US" w:eastAsia="en-US" w:bidi="ar-SA"/>
        </w:rPr>
        <w:t>Kwei v. Boisclair</w:t>
      </w:r>
      <w:r>
        <w:rPr>
          <w:rFonts w:ascii="arial" w:eastAsia="arial" w:hAnsi="arial" w:cs="arial"/>
          <w:color w:val="000000"/>
          <w:sz w:val="20"/>
          <w:lang w:val="en-US" w:eastAsia="en-US" w:bidi="ar-SA"/>
        </w:rPr>
        <w:t xml:space="preserve"> and </w:t>
      </w:r>
      <w:r>
        <w:rPr>
          <w:rFonts w:ascii="arial" w:eastAsia="arial" w:hAnsi="arial" w:cs="arial"/>
          <w:b/>
          <w:i/>
          <w:color w:val="000000"/>
          <w:sz w:val="20"/>
          <w:lang w:val="en-US" w:eastAsia="en-US" w:bidi="ar-SA"/>
        </w:rPr>
        <w:t>Brown v. Golaiy</w:t>
      </w:r>
      <w:r>
        <w:rPr>
          <w:rFonts w:ascii="arial" w:eastAsia="arial" w:hAnsi="arial" w:cs="arial"/>
          <w:color w:val="000000"/>
          <w:sz w:val="20"/>
          <w:lang w:val="en-US" w:eastAsia="en-US" w:bidi="ar-SA"/>
        </w:rPr>
        <w:t>, all referred to above, and recognizing that Ms. Salvatierra has some ongoing discomfort, I am not persuaded, that it is to the degree that there is any impairment of her earning capacity that should be compensated. I recognized the ongoing discomfort and pain that she may suffer in my award of non-pecuniary 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72</w:t>
      </w:r>
      <w:r>
        <w:rPr>
          <w:rFonts w:ascii="arial" w:eastAsia="arial" w:hAnsi="arial" w:cs="arial"/>
          <w:color w:val="000000"/>
          <w:sz w:val="20"/>
          <w:lang w:val="en-US" w:eastAsia="en-US" w:bidi="ar-SA"/>
        </w:rPr>
        <w:t>  I have concluded on the evidence that the plaintiff does not continue to suffer any impairment to her earning capacity.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Special 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73</w:t>
      </w:r>
      <w:r>
        <w:rPr>
          <w:rFonts w:ascii="arial" w:eastAsia="arial" w:hAnsi="arial" w:cs="arial"/>
          <w:color w:val="000000"/>
          <w:sz w:val="20"/>
          <w:lang w:val="en-US" w:eastAsia="en-US" w:bidi="ar-SA"/>
        </w:rPr>
        <w:t>  The plaintiff claims special damages as follows: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6"/>
        <w:gridCol w:w="4915"/>
        <w:gridCol w:w="2301"/>
        <w:gridCol w:w="2614"/>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4813"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Prescriptions and orthopaedic</w:t>
            </w:r>
          </w:p>
        </w:tc>
        <w:tc>
          <w:tcPr>
            <w:tcW w:w="2253"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$ 1,869.72</w:t>
            </w:r>
          </w:p>
        </w:tc>
        <w:tc>
          <w:tcPr>
            <w:tcW w:w="2560"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3869"/>
        <w:gridCol w:w="3346"/>
        <w:gridCol w:w="2614"/>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3789"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Physiotherapy</w:t>
            </w:r>
          </w:p>
        </w:tc>
        <w:tc>
          <w:tcPr>
            <w:tcW w:w="3277"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$ 5,335.00</w:t>
            </w:r>
          </w:p>
        </w:tc>
        <w:tc>
          <w:tcPr>
            <w:tcW w:w="2560"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3789"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Counselling</w:t>
            </w:r>
          </w:p>
        </w:tc>
        <w:tc>
          <w:tcPr>
            <w:tcW w:w="3277"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$ 760.00</w:t>
            </w:r>
          </w:p>
        </w:tc>
        <w:tc>
          <w:tcPr>
            <w:tcW w:w="2560"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5124"/>
        <w:gridCol w:w="2091"/>
        <w:gridCol w:w="2614"/>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018"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Childcare - 20% of $13,086.50 appx</w:t>
            </w:r>
          </w:p>
        </w:tc>
        <w:tc>
          <w:tcPr>
            <w:tcW w:w="2048"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$ 2,400.00</w:t>
            </w:r>
          </w:p>
        </w:tc>
        <w:tc>
          <w:tcPr>
            <w:tcW w:w="2560"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3869"/>
        <w:gridCol w:w="3346"/>
        <w:gridCol w:w="2614"/>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3789"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Housecleaning</w:t>
            </w:r>
          </w:p>
        </w:tc>
        <w:tc>
          <w:tcPr>
            <w:tcW w:w="3277"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$ 6,446.00</w:t>
            </w:r>
          </w:p>
        </w:tc>
        <w:tc>
          <w:tcPr>
            <w:tcW w:w="2560"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3869"/>
        <w:gridCol w:w="3346"/>
        <w:gridCol w:w="2614"/>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3789"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Transportation</w:t>
            </w:r>
          </w:p>
        </w:tc>
        <w:tc>
          <w:tcPr>
            <w:tcW w:w="3277"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$ 104.90</w:t>
            </w:r>
          </w:p>
        </w:tc>
        <w:tc>
          <w:tcPr>
            <w:tcW w:w="2560"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614"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3789"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3277"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w:t>
            </w:r>
          </w:p>
        </w:tc>
        <w:tc>
          <w:tcPr>
            <w:tcW w:w="2560" w:type="dxa"/>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3346"/>
        <w:gridCol w:w="3869"/>
        <w:gridCol w:w="2614"/>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3277"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TOTAL</w:t>
            </w:r>
          </w:p>
        </w:tc>
        <w:tc>
          <w:tcPr>
            <w:tcW w:w="3789"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$16,915.62</w:t>
            </w:r>
          </w:p>
        </w:tc>
        <w:tc>
          <w:tcPr>
            <w:tcW w:w="2560"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74</w:t>
      </w:r>
      <w:r>
        <w:rPr>
          <w:rFonts w:ascii="arial" w:eastAsia="arial" w:hAnsi="arial" w:cs="arial"/>
          <w:color w:val="000000"/>
          <w:sz w:val="20"/>
          <w:lang w:val="en-US" w:eastAsia="en-US" w:bidi="ar-SA"/>
        </w:rPr>
        <w:t>  The total of the plaintiff's claim is $16,915.</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75</w:t>
      </w:r>
      <w:r>
        <w:rPr>
          <w:rFonts w:ascii="arial" w:eastAsia="arial" w:hAnsi="arial" w:cs="arial"/>
          <w:color w:val="000000"/>
          <w:sz w:val="20"/>
          <w:lang w:val="en-US" w:eastAsia="en-US" w:bidi="ar-SA"/>
        </w:rPr>
        <w:t>  The defendants' position on special damages is that the plaintiff is entitled to:</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6"/>
        <w:gridCol w:w="4915"/>
        <w:gridCol w:w="2301"/>
        <w:gridCol w:w="2614"/>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4813"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Prescriptions and orthopaedic</w:t>
            </w:r>
          </w:p>
        </w:tc>
        <w:tc>
          <w:tcPr>
            <w:tcW w:w="2253"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$ 1,725.20</w:t>
            </w:r>
          </w:p>
        </w:tc>
        <w:tc>
          <w:tcPr>
            <w:tcW w:w="2560"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3869"/>
        <w:gridCol w:w="3346"/>
        <w:gridCol w:w="2614"/>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3789"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Physiotherapy</w:t>
            </w:r>
          </w:p>
        </w:tc>
        <w:tc>
          <w:tcPr>
            <w:tcW w:w="3277"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$ 5,135.00</w:t>
            </w:r>
          </w:p>
        </w:tc>
        <w:tc>
          <w:tcPr>
            <w:tcW w:w="2560"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3789"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Counselling</w:t>
            </w:r>
          </w:p>
        </w:tc>
        <w:tc>
          <w:tcPr>
            <w:tcW w:w="3277"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$ 760.00</w:t>
            </w:r>
          </w:p>
        </w:tc>
        <w:tc>
          <w:tcPr>
            <w:tcW w:w="2560"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8"/>
        <w:gridCol w:w="3973"/>
        <w:gridCol w:w="3241"/>
        <w:gridCol w:w="2614"/>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3891"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Childcare</w:t>
            </w:r>
          </w:p>
        </w:tc>
        <w:tc>
          <w:tcPr>
            <w:tcW w:w="3174"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$ 0</w:t>
            </w:r>
          </w:p>
        </w:tc>
        <w:tc>
          <w:tcPr>
            <w:tcW w:w="2560"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3869"/>
        <w:gridCol w:w="3346"/>
        <w:gridCol w:w="2614"/>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3789"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Housecleaning</w:t>
            </w:r>
          </w:p>
        </w:tc>
        <w:tc>
          <w:tcPr>
            <w:tcW w:w="3277"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$ 4,603.00</w:t>
            </w:r>
          </w:p>
        </w:tc>
        <w:tc>
          <w:tcPr>
            <w:tcW w:w="2560"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3869"/>
        <w:gridCol w:w="3346"/>
        <w:gridCol w:w="2614"/>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3789"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Transportation</w:t>
            </w:r>
          </w:p>
        </w:tc>
        <w:tc>
          <w:tcPr>
            <w:tcW w:w="3277"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$ 101.60</w:t>
            </w:r>
          </w:p>
        </w:tc>
        <w:tc>
          <w:tcPr>
            <w:tcW w:w="2560"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614"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3789"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3277"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w:t>
            </w:r>
          </w:p>
        </w:tc>
        <w:tc>
          <w:tcPr>
            <w:tcW w:w="2560" w:type="dxa"/>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3346"/>
        <w:gridCol w:w="3869"/>
        <w:gridCol w:w="2614"/>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3277"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TOTAL</w:t>
            </w:r>
          </w:p>
        </w:tc>
        <w:tc>
          <w:tcPr>
            <w:tcW w:w="3789"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$12,324.80</w:t>
            </w:r>
          </w:p>
        </w:tc>
        <w:tc>
          <w:tcPr>
            <w:tcW w:w="2560"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76</w:t>
      </w:r>
      <w:r>
        <w:rPr>
          <w:rFonts w:ascii="arial" w:eastAsia="arial" w:hAnsi="arial" w:cs="arial"/>
          <w:color w:val="000000"/>
          <w:sz w:val="20"/>
          <w:lang w:val="en-US" w:eastAsia="en-US" w:bidi="ar-SA"/>
        </w:rPr>
        <w:t>  The essential difference between the parties is that the defendants contend that the plaintiff is only entitled to housekeeping until 2005 and not after, and that her claim that she required twenty percent greater childcare expenses due to her injuries is purely speculative. I disagree, and find that the plaintiff, because of her injuries, required some additional childcare and some housekeeping expenses past 2005. On the evidence, I award special damages of $15,000.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Cost of Future Care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77</w:t>
      </w:r>
      <w:r>
        <w:rPr>
          <w:rFonts w:ascii="arial" w:eastAsia="arial" w:hAnsi="arial" w:cs="arial"/>
          <w:color w:val="000000"/>
          <w:sz w:val="20"/>
          <w:lang w:val="en-US" w:eastAsia="en-US" w:bidi="ar-SA"/>
        </w:rPr>
        <w:t>  The plaintiff essentially seeks the cost into the future of physiotherapy for two to three sessions at $100 per month, housekeeping of $60 per week, and $60 per month for medication, on the basis that the drugs she requires, Gabapentin and Citalopram, cost in total of $181.26 every ninety days.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78</w:t>
      </w:r>
      <w:r>
        <w:rPr>
          <w:rFonts w:ascii="arial" w:eastAsia="arial" w:hAnsi="arial" w:cs="arial"/>
          <w:color w:val="000000"/>
          <w:sz w:val="20"/>
          <w:lang w:val="en-US" w:eastAsia="en-US" w:bidi="ar-SA"/>
        </w:rPr>
        <w:t>  The defendants say there is no cost of future care proven and that the plaintiff should receive only $1,000 towards the cost of a trainer.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79</w:t>
      </w:r>
      <w:r>
        <w:rPr>
          <w:rFonts w:ascii="arial" w:eastAsia="arial" w:hAnsi="arial" w:cs="arial"/>
          <w:color w:val="000000"/>
          <w:sz w:val="20"/>
          <w:lang w:val="en-US" w:eastAsia="en-US" w:bidi="ar-SA"/>
        </w:rPr>
        <w:t>  My conclusion is that the pain and discomfort that the plaintiff has as a result of the accident has now almost resolved and will resolve in the next reasonably short while. As such I award the sum of $2,000 for the cost of future care.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Failure to Mitigate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80</w:t>
      </w:r>
      <w:r>
        <w:rPr>
          <w:rFonts w:ascii="arial" w:eastAsia="arial" w:hAnsi="arial" w:cs="arial"/>
          <w:color w:val="000000"/>
          <w:sz w:val="20"/>
          <w:lang w:val="en-US" w:eastAsia="en-US" w:bidi="ar-SA"/>
        </w:rPr>
        <w:t xml:space="preserve">  The defendant says that the plaintiff has failed to act reasonably to mitigate her damages. In </w:t>
      </w:r>
      <w:r>
        <w:rPr>
          <w:rFonts w:ascii="arial" w:eastAsia="arial" w:hAnsi="arial" w:cs="arial"/>
          <w:b/>
          <w:i/>
          <w:color w:val="000000"/>
          <w:sz w:val="20"/>
          <w:lang w:val="en-US" w:eastAsia="en-US" w:bidi="ar-SA"/>
        </w:rPr>
        <w:t>Michaels v. Red Deer College,</w:t>
      </w:r>
      <w:r>
        <w:rPr>
          <w:rFonts w:ascii="arial" w:eastAsia="arial" w:hAnsi="arial" w:cs="arial"/>
          <w:color w:val="000000"/>
          <w:sz w:val="20"/>
          <w:lang w:val="en-US" w:eastAsia="en-US" w:bidi="ar-SA"/>
        </w:rPr>
        <w:t xml:space="preserve"> </w:t>
      </w:r>
      <w:hyperlink r:id="rId583" w:history="1">
        <w:r>
          <w:rPr>
            <w:rFonts w:ascii="arial" w:eastAsia="arial" w:hAnsi="arial" w:cs="arial"/>
            <w:i/>
            <w:color w:val="0077CC"/>
            <w:sz w:val="20"/>
            <w:u w:val="single"/>
            <w:shd w:val="clear" w:color="auto" w:fill="FFFFFF"/>
            <w:lang w:val="en-US" w:eastAsia="en-US" w:bidi="ar-SA"/>
          </w:rPr>
          <w:t>[1976] 2 S.C.R. 324</w:t>
        </w:r>
      </w:hyperlink>
      <w:r>
        <w:rPr>
          <w:rFonts w:ascii="arial" w:eastAsia="arial" w:hAnsi="arial" w:cs="arial"/>
          <w:color w:val="000000"/>
          <w:sz w:val="20"/>
          <w:lang w:val="en-US" w:eastAsia="en-US" w:bidi="ar-SA"/>
        </w:rPr>
        <w:t xml:space="preserve">, </w:t>
      </w:r>
      <w:hyperlink r:id="rId583" w:history="1">
        <w:r>
          <w:rPr>
            <w:rFonts w:ascii="arial" w:eastAsia="arial" w:hAnsi="arial" w:cs="arial"/>
            <w:i/>
            <w:color w:val="0077CC"/>
            <w:sz w:val="20"/>
            <w:u w:val="single"/>
            <w:shd w:val="clear" w:color="auto" w:fill="FFFFFF"/>
            <w:lang w:val="en-US" w:eastAsia="en-US" w:bidi="ar-SA"/>
          </w:rPr>
          <w:t>57 D.L.R. (3d) 386</w:t>
        </w:r>
      </w:hyperlink>
      <w:r>
        <w:rPr>
          <w:rFonts w:ascii="arial" w:eastAsia="arial" w:hAnsi="arial" w:cs="arial"/>
          <w:color w:val="000000"/>
          <w:sz w:val="20"/>
          <w:lang w:val="en-US" w:eastAsia="en-US" w:bidi="ar-SA"/>
        </w:rPr>
        <w:t>, Laskin C.J. said, at p. 331:</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If it is the defendant's position that the plaintiff could reasonably have avoided some part of the loss claimed, it is for the defendant to carry the burden of that issue, subject to the defendant being content to allow the matter to be disposed of on the trial Judge's assessment of the plaintiff's evidence on avoidable consequences.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81</w:t>
      </w:r>
      <w:r>
        <w:rPr>
          <w:rFonts w:ascii="arial" w:eastAsia="arial" w:hAnsi="arial" w:cs="arial"/>
          <w:color w:val="000000"/>
          <w:sz w:val="20"/>
          <w:lang w:val="en-US" w:eastAsia="en-US" w:bidi="ar-SA"/>
        </w:rPr>
        <w:t>  The defendant says that the plaintiff was told by her doctor to increase her physical activities and become more active, but that the plaintiff has failed to do this. Instead, the defendant's counsel says that the plaintiff has engaged in more passive rehabilitation, such as stretching, physiotherapy, and breathing exercises. The defendants say that a twenty percent reduction in her damages is appropriate.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82</w:t>
      </w:r>
      <w:r>
        <w:rPr>
          <w:rFonts w:ascii="arial" w:eastAsia="arial" w:hAnsi="arial" w:cs="arial"/>
          <w:color w:val="000000"/>
          <w:sz w:val="20"/>
          <w:lang w:val="en-US" w:eastAsia="en-US" w:bidi="ar-SA"/>
        </w:rPr>
        <w:t>  The evidence about possible mitigation has been very general and I have concluded that the defendants have not discharged their burden to show that the plaintiff failed to act reasonably. The plaintiff took to heart the advice of Dr. Lawson that she be more active, although that activity in Ms. Salvatierra's life may have included dealing with her young children, going to work, and participating in the salsa business. The plaintiff has taken steps through physiotherapy and stretching to attempt to enhance her recovery and I am not persuaded that there is evidence that indicates that if she had followed another course that she would have recovered more quickly.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83</w:t>
      </w:r>
      <w:r>
        <w:rPr>
          <w:rFonts w:ascii="arial" w:eastAsia="arial" w:hAnsi="arial" w:cs="arial"/>
          <w:color w:val="000000"/>
          <w:sz w:val="20"/>
          <w:lang w:val="en-US" w:eastAsia="en-US" w:bidi="ar-SA"/>
        </w:rPr>
        <w:t>  I am not persuaded that the defendants have shown that she acted unreasonably by following the physiotherapy treatment that she did, or that had she followed a different course of action that was reasonable her injuries would have recovered more quickly.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84</w:t>
      </w:r>
      <w:r>
        <w:rPr>
          <w:rFonts w:ascii="arial" w:eastAsia="arial" w:hAnsi="arial" w:cs="arial"/>
          <w:color w:val="000000"/>
          <w:sz w:val="20"/>
          <w:lang w:val="en-US" w:eastAsia="en-US" w:bidi="ar-SA"/>
        </w:rPr>
        <w:t>  Accordingly, the argument that the plaintiff has failed to act reasonably to mitigate her damages is rejected.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CONCLUSION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85</w:t>
      </w:r>
      <w:r>
        <w:rPr>
          <w:rFonts w:ascii="arial" w:eastAsia="arial" w:hAnsi="arial" w:cs="arial"/>
          <w:color w:val="000000"/>
          <w:sz w:val="20"/>
          <w:lang w:val="en-US" w:eastAsia="en-US" w:bidi="ar-SA"/>
        </w:rPr>
        <w:t>  Accordingly, in summary I find that the plaintiff is entitled to the following 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732"/>
        <w:gridCol w:w="2823"/>
        <w:gridCol w:w="1987"/>
        <w:gridCol w:w="4287"/>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17"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276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General damages</w:t>
            </w:r>
          </w:p>
        </w:tc>
        <w:tc>
          <w:tcPr>
            <w:tcW w:w="1946"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$45,000</w:t>
            </w:r>
          </w:p>
        </w:tc>
        <w:tc>
          <w:tcPr>
            <w:tcW w:w="4198"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732"/>
        <w:gridCol w:w="3137"/>
        <w:gridCol w:w="1673"/>
        <w:gridCol w:w="4287"/>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17"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(b)</w:t>
            </w:r>
          </w:p>
        </w:tc>
        <w:tc>
          <w:tcPr>
            <w:tcW w:w="307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Past loss of income</w:t>
            </w:r>
          </w:p>
        </w:tc>
        <w:tc>
          <w:tcPr>
            <w:tcW w:w="1638"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$25,000</w:t>
            </w:r>
          </w:p>
        </w:tc>
        <w:tc>
          <w:tcPr>
            <w:tcW w:w="4198"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732"/>
        <w:gridCol w:w="3764"/>
        <w:gridCol w:w="1046"/>
        <w:gridCol w:w="4287"/>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17"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(c)</w:t>
            </w:r>
          </w:p>
        </w:tc>
        <w:tc>
          <w:tcPr>
            <w:tcW w:w="3686"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Loss of earning capacity</w:t>
            </w:r>
          </w:p>
        </w:tc>
        <w:tc>
          <w:tcPr>
            <w:tcW w:w="1024"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$ 0</w:t>
            </w:r>
          </w:p>
        </w:tc>
        <w:tc>
          <w:tcPr>
            <w:tcW w:w="4198"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732"/>
        <w:gridCol w:w="2823"/>
        <w:gridCol w:w="1987"/>
        <w:gridCol w:w="4287"/>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17"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(d)</w:t>
            </w:r>
          </w:p>
        </w:tc>
        <w:tc>
          <w:tcPr>
            <w:tcW w:w="276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Special damages</w:t>
            </w:r>
          </w:p>
        </w:tc>
        <w:tc>
          <w:tcPr>
            <w:tcW w:w="1946"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$15,000</w:t>
            </w:r>
          </w:p>
        </w:tc>
        <w:tc>
          <w:tcPr>
            <w:tcW w:w="4198"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732"/>
        <w:gridCol w:w="3137"/>
        <w:gridCol w:w="1673"/>
        <w:gridCol w:w="4287"/>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717"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(e)</w:t>
            </w:r>
          </w:p>
        </w:tc>
        <w:tc>
          <w:tcPr>
            <w:tcW w:w="3072"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Cost of future care</w:t>
            </w:r>
          </w:p>
        </w:tc>
        <w:tc>
          <w:tcPr>
            <w:tcW w:w="1638"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$ 2,000</w:t>
            </w:r>
          </w:p>
        </w:tc>
        <w:tc>
          <w:tcPr>
            <w:tcW w:w="4198"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614"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717"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307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1638"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w:t>
            </w:r>
          </w:p>
        </w:tc>
        <w:tc>
          <w:tcPr>
            <w:tcW w:w="4198" w:type="dxa"/>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2614"/>
        <w:gridCol w:w="3346"/>
        <w:gridCol w:w="3869"/>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2560"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TOTAL</w:t>
            </w:r>
          </w:p>
        </w:tc>
        <w:tc>
          <w:tcPr>
            <w:tcW w:w="3277"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$87,000.00</w:t>
            </w:r>
          </w:p>
        </w:tc>
        <w:tc>
          <w:tcPr>
            <w:tcW w:w="3789"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J.S. SIGURDSON J.</w:t>
      </w:r>
      <w:r>
        <w:rPr>
          <w:rFonts w:ascii="arial" w:eastAsia="arial" w:hAnsi="arial" w:cs="arial"/>
          <w:sz w:val="20"/>
          <w:lang w:val="en-US" w:eastAsia="en-US" w:bidi="ar-SA"/>
        </w:rPr>
        <w:cr/>
      </w:r>
    </w:p>
    <w:p>
      <w:pPr>
        <w:rPr>
          <w:rFonts w:ascii="arial" w:eastAsia="arial" w:hAnsi="arial" w:cs="arial"/>
          <w:sz w:val="20"/>
          <w:lang w:val="en-US" w:eastAsia="en-US" w:bidi="ar-SA"/>
        </w:rPr>
      </w:pPr>
    </w:p>
    <w:p>
      <w:pPr>
        <w:ind w:left="200"/>
        <w:rPr>
          <w:rFonts w:ascii="arial" w:eastAsia="arial" w:hAnsi="arial" w:cs="arial"/>
          <w:sz w:val="20"/>
          <w:lang w:val="en-US" w:eastAsia="en-US" w:bidi="ar-SA"/>
        </w:rPr>
        <w:sectPr>
          <w:type w:val="continuous"/>
          <w:pgMar w:top="840" w:right="1000" w:bottom="840" w:left="1000" w:header="400" w:footer="400"/>
          <w:pgNumType w:fmt="decimal"/>
          <w:cols w:space="720"/>
        </w:sectPr>
      </w:pPr>
      <w:r>
        <w:rPr>
          <w:rFonts w:ascii="arial" w:eastAsia="arial" w:hAnsi="arial" w:cs="arial"/>
          <w:sz w:val="20"/>
          <w:lang w:val="en-US" w:eastAsia="en-US" w:bidi="ar-SA"/>
        </w:rPr>
        <w:br/>
      </w:r>
      <w:r>
        <w:pict>
          <v:line id="_x0000_s1179" style="position:absolute;z-index:251841536" from="0,10pt" to="512pt,10pt" strokecolor="black" strokeweight="1pt">
            <v:stroke linestyle="single"/>
          </v:line>
        </w:pict>
      </w:r>
      <w:r>
        <w:rPr>
          <w:b/>
          <w:color w:val="767676"/>
          <w:sz w:val="16"/>
          <w:lang w:val="en-US" w:eastAsia="en-US" w:bidi="ar-SA"/>
        </w:rPr>
        <w:t>End of Document</w:t>
      </w:r>
    </w:p>
    <w:p>
      <w:pPr>
        <w:rPr>
          <w:rFonts w:ascii="arial" w:eastAsia="arial" w:hAnsi="arial" w:cs="arial"/>
          <w:sz w:val="20"/>
          <w:lang w:val="en-US" w:eastAsia="en-US" w:bidi="ar-SA"/>
        </w:rPr>
        <w:sectPr>
          <w:headerReference w:type="even" r:id="rId617"/>
          <w:headerReference w:type="default" r:id="rId618"/>
          <w:footerReference w:type="even" r:id="rId619"/>
          <w:footerReference w:type="default" r:id="rId620"/>
          <w:headerReference w:type="first" r:id="rId621"/>
          <w:footerReference w:type="first" r:id="rId622"/>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eastAsia="arial" w:hAnsi="Arial" w:cs="Arial"/>
          <w:b/>
          <w:bCs/>
          <w:kern w:val="32"/>
          <w:sz w:val="32"/>
          <w:szCs w:val="32"/>
          <w:lang w:val="en-US" w:eastAsia="en-US" w:bidi="ar-SA"/>
        </w:rPr>
      </w:pPr>
      <w:hyperlink r:id="rId623" w:history="1">
        <w:r>
          <w:rPr>
            <w:rFonts w:ascii="arial" w:eastAsia="arial" w:hAnsi="arial" w:cs="arial"/>
            <w:b/>
            <w:bCs/>
            <w:i/>
            <w:color w:val="0077CC"/>
            <w:kern w:val="32"/>
            <w:sz w:val="28"/>
            <w:szCs w:val="32"/>
            <w:u w:val="single"/>
            <w:shd w:val="clear" w:color="auto" w:fill="FFFFFF"/>
            <w:lang w:val="en-US" w:eastAsia="en-US" w:bidi="ar-SA"/>
          </w:rPr>
          <w:t>Samuel v. Levi, [2009] I.L.R. para. M-2288</w:t>
        </w:r>
      </w:hyperlink>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Canadian Insurance Law Reporter Cases</w:t>
      </w:r>
    </w:p>
    <w:p>
      <w:pPr>
        <w:rPr>
          <w:rFonts w:ascii="arial" w:eastAsia="arial" w:hAnsi="arial" w:cs="arial"/>
          <w:sz w:val="20"/>
          <w:lang w:val="en-US" w:eastAsia="en-US" w:bidi="ar-SA"/>
        </w:rPr>
      </w:pP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Before: Brown J.</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Decision: October 31, 2008.</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Docket No. M031769</w:t>
      </w:r>
    </w:p>
    <w:p>
      <w:pPr>
        <w:rPr>
          <w:rFonts w:ascii="arial" w:eastAsia="arial" w:hAnsi="arial" w:cs="arial"/>
          <w:sz w:val="20"/>
          <w:lang w:val="en-US" w:eastAsia="en-US" w:bidi="ar-SA"/>
        </w:rPr>
      </w:pPr>
    </w:p>
    <w:p>
      <w:pPr>
        <w:spacing w:before="120" w:after="120" w:line="280" w:lineRule="atLeast"/>
        <w:rPr>
          <w:rFonts w:ascii="arial" w:eastAsia="arial" w:hAnsi="arial" w:cs="arial"/>
          <w:sz w:val="20"/>
          <w:lang w:val="en-US" w:eastAsia="en-US" w:bidi="ar-SA"/>
        </w:rPr>
      </w:pPr>
      <w:r>
        <w:rPr>
          <w:rFonts w:ascii="arial" w:eastAsia="arial" w:hAnsi="arial" w:cs="arial"/>
          <w:b/>
          <w:i/>
          <w:color w:val="000000"/>
          <w:sz w:val="22"/>
          <w:lang w:val="en-US" w:eastAsia="en-US" w:bidi="ar-SA"/>
        </w:rPr>
        <w:t xml:space="preserve">Canadian Insurance Law Reporter Cases  </w:t>
      </w:r>
      <w:r>
        <w:rPr>
          <w:rFonts w:ascii="arial" w:eastAsia="arial" w:hAnsi="arial" w:cs="arial"/>
          <w:b/>
          <w:color w:val="000000"/>
          <w:sz w:val="22"/>
          <w:lang w:val="en-US" w:eastAsia="en-US" w:bidi="ar-SA"/>
        </w:rPr>
        <w:t xml:space="preserve">  &gt;  </w:t>
      </w:r>
      <w:r>
        <w:rPr>
          <w:rFonts w:ascii="arial" w:eastAsia="arial" w:hAnsi="arial" w:cs="arial"/>
          <w:b/>
          <w:i/>
          <w:color w:val="000000"/>
          <w:sz w:val="22"/>
          <w:lang w:val="en-US" w:eastAsia="en-US" w:bidi="ar-SA"/>
        </w:rPr>
        <w:t>Cases</w:t>
      </w:r>
      <w:r>
        <w:rPr>
          <w:rFonts w:ascii="arial" w:eastAsia="arial" w:hAnsi="arial" w:cs="arial"/>
          <w:b/>
          <w:color w:val="000000"/>
          <w:sz w:val="22"/>
          <w:lang w:val="en-US" w:eastAsia="en-US" w:bidi="ar-SA"/>
        </w:rPr>
        <w:t xml:space="preserve">  &gt;  </w:t>
      </w:r>
      <w:r>
        <w:rPr>
          <w:rFonts w:ascii="arial" w:eastAsia="arial" w:hAnsi="arial" w:cs="arial"/>
          <w:b/>
          <w:i/>
          <w:color w:val="000000"/>
          <w:sz w:val="22"/>
          <w:lang w:val="en-US" w:eastAsia="en-US" w:bidi="ar-SA"/>
        </w:rPr>
        <w:t>2000s</w:t>
      </w:r>
      <w:r>
        <w:rPr>
          <w:rFonts w:ascii="arial" w:eastAsia="arial" w:hAnsi="arial" w:cs="arial"/>
          <w:b/>
          <w:color w:val="000000"/>
          <w:sz w:val="22"/>
          <w:lang w:val="en-US" w:eastAsia="en-US" w:bidi="ar-SA"/>
        </w:rPr>
        <w:t xml:space="preserve">  &gt;  </w:t>
      </w:r>
      <w:r>
        <w:rPr>
          <w:rFonts w:ascii="arial" w:eastAsia="arial" w:hAnsi="arial" w:cs="arial"/>
          <w:b/>
          <w:i/>
          <w:color w:val="000000"/>
          <w:sz w:val="22"/>
          <w:lang w:val="en-US" w:eastAsia="en-US" w:bidi="ar-SA"/>
        </w:rPr>
        <w:t>2008</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[2009] I.L.R. para. M-2288</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hyperlink r:id="rId624" w:history="1">
        <w:r>
          <w:rPr>
            <w:rFonts w:ascii="arial" w:eastAsia="arial" w:hAnsi="arial" w:cs="arial"/>
            <w:i/>
            <w:color w:val="0077CC"/>
            <w:sz w:val="20"/>
            <w:u w:val="single"/>
            <w:shd w:val="clear" w:color="auto" w:fill="FFFFFF"/>
            <w:lang w:val="en-US" w:eastAsia="en-US" w:bidi="ar-SA"/>
          </w:rPr>
          <w:t>[2008] B.C.J. No. 2053</w:t>
        </w:r>
      </w:hyperlink>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hyperlink r:id="rId624" w:history="1">
        <w:r>
          <w:rPr>
            <w:rFonts w:ascii="arial" w:eastAsia="arial" w:hAnsi="arial" w:cs="arial"/>
            <w:i/>
            <w:color w:val="0077CC"/>
            <w:sz w:val="20"/>
            <w:u w:val="single"/>
            <w:shd w:val="clear" w:color="auto" w:fill="FFFFFF"/>
            <w:lang w:val="en-US" w:eastAsia="en-US" w:bidi="ar-SA"/>
          </w:rPr>
          <w:t>2008 BCSC 1447</w:t>
        </w:r>
      </w:hyperlink>
    </w:p>
    <w:p>
      <w:pPr>
        <w:spacing w:before="120" w:line="260" w:lineRule="atLeast"/>
        <w:rPr>
          <w:rFonts w:ascii="arial" w:eastAsia="arial" w:hAnsi="arial" w:cs="arial"/>
          <w:sz w:val="20"/>
          <w:lang w:val="en-US" w:eastAsia="en-US" w:bidi="ar-SA"/>
        </w:rPr>
      </w:pPr>
      <w:r>
        <w:rPr>
          <w:rFonts w:ascii="arial" w:eastAsia="arial" w:hAnsi="arial" w:cs="arial"/>
          <w:color w:val="000000"/>
          <w:sz w:val="20"/>
          <w:lang w:val="en-US" w:eastAsia="en-US" w:bidi="ar-SA"/>
        </w:rPr>
        <w:t>Samuel v. Levi and Levi</w:t>
      </w:r>
    </w:p>
    <w:p>
      <w:pPr>
        <w:keepNext/>
        <w:spacing w:before="12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Case Summary</w:t>
      </w:r>
    </w:p>
    <w:p>
      <w:pPr>
        <w:spacing w:line="60" w:lineRule="exact"/>
        <w:rPr>
          <w:rFonts w:ascii="arial" w:eastAsia="arial" w:hAnsi="arial" w:cs="arial"/>
          <w:sz w:val="20"/>
          <w:lang w:val="en-US" w:eastAsia="en-US" w:bidi="ar-SA"/>
        </w:rPr>
      </w:pPr>
      <w:r>
        <w:pict>
          <v:line id="_x0000_s1180" style="position:absolute;z-index:251691008"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bookmarkStart w:id="201" w:name="Keywords_30"/>
      <w:bookmarkEnd w:id="201"/>
      <w:r>
        <w:rPr>
          <w:rFonts w:ascii="arial" w:eastAsia="arial" w:hAnsi="arial" w:cs="arial"/>
          <w:b/>
          <w:color w:val="000000"/>
          <w:sz w:val="20"/>
          <w:lang w:val="en-US" w:eastAsia="en-US" w:bidi="ar-SA"/>
        </w:rPr>
        <w:t xml:space="preserve">Personal injury damages — Liability — Mitigation — Contributory </w:t>
      </w:r>
      <w:r>
        <w:rPr>
          <w:rFonts w:ascii="arial" w:eastAsia="arial" w:hAnsi="arial" w:cs="arial"/>
          <w:b/>
          <w:i/>
          <w:color w:val="000000"/>
          <w:sz w:val="20"/>
          <w:u w:val="single"/>
          <w:lang w:val="en-US" w:eastAsia="en-US" w:bidi="ar-SA"/>
        </w:rPr>
        <w:t>negligence</w:t>
      </w:r>
      <w:r>
        <w:rPr>
          <w:rFonts w:ascii="arial" w:eastAsia="arial" w:hAnsi="arial" w:cs="arial"/>
          <w:b/>
          <w:color w:val="000000"/>
          <w:sz w:val="20"/>
          <w:lang w:val="en-US" w:eastAsia="en-US" w:bidi="ar-SA"/>
        </w:rPr>
        <w:t xml:space="preserve"> — Psychiatric disorder — Plaintiff was a pedestrian wearing dark clothing when she was hit by vehicle at night — Wearing dark clothing did not result in finding of contributory </w:t>
      </w:r>
      <w:r>
        <w:rPr>
          <w:rFonts w:ascii="arial" w:eastAsia="arial" w:hAnsi="arial" w:cs="arial"/>
          <w:b/>
          <w:i/>
          <w:color w:val="000000"/>
          <w:sz w:val="20"/>
          <w:u w:val="single"/>
          <w:lang w:val="en-US" w:eastAsia="en-US" w:bidi="ar-SA"/>
        </w:rPr>
        <w:t>negligence</w:t>
      </w:r>
      <w:r>
        <w:rPr>
          <w:rFonts w:ascii="arial" w:eastAsia="arial" w:hAnsi="arial" w:cs="arial"/>
          <w:b/>
          <w:color w:val="000000"/>
          <w:sz w:val="20"/>
          <w:lang w:val="en-US" w:eastAsia="en-US" w:bidi="ar-SA"/>
        </w:rPr>
        <w:t xml:space="preserve"> — Plaintiff's conversion disorder resulted from accident — Plaintiff did not fail to mitigate — General damages of $100,000 awarded.</w:t>
      </w:r>
    </w:p>
    <w:p>
      <w:pPr>
        <w:rPr>
          <w:rFonts w:ascii="arial" w:eastAsia="arial" w:hAnsi="arial" w:cs="arial"/>
          <w:sz w:val="20"/>
          <w:lang w:val="en-US" w:eastAsia="en-US" w:bidi="ar-SA"/>
        </w:rPr>
      </w:pPr>
    </w:p>
    <w:tbl>
      <w:tblPr>
        <w:tblStyle w:val="TableNormal"/>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
      <w:tblGrid>
        <w:gridCol w:w="10225"/>
      </w:tblGrid>
      <w:tr>
        <w:tblPrEx>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Ex>
        <w:tc>
          <w:tcPr/>
          <w:p>
            <w:pPr>
              <w:rPr>
                <w:rFonts w:ascii="arial" w:eastAsia="arial" w:hAnsi="arial" w:cs="arial"/>
                <w:sz w:val="20"/>
                <w:lang w:val="en-US" w:eastAsia="en-US" w:bidi="ar-SA"/>
              </w:rPr>
            </w:pPr>
            <w:bookmarkStart w:id="202" w:name="Case Summary_28"/>
            <w:bookmarkEnd w:id="202"/>
          </w:p>
          <w:p>
            <w:pPr>
              <w:spacing w:before="120" w:line="260" w:lineRule="atLeast"/>
              <w:ind w:left="240"/>
              <w:jc w:val="both"/>
              <w:rPr>
                <w:rFonts w:ascii="arial" w:eastAsia="arial" w:hAnsi="arial" w:cs="arial"/>
                <w:sz w:val="20"/>
                <w:lang w:val="en-US" w:eastAsia="en-US" w:bidi="ar-SA"/>
              </w:rPr>
            </w:pPr>
            <w:r>
              <w:rPr>
                <w:rFonts w:ascii="arial" w:eastAsia="arial" w:hAnsi="arial" w:cs="arial"/>
                <w:b/>
                <w:color w:val="000000"/>
                <w:sz w:val="20"/>
                <w:lang w:val="en-US" w:eastAsia="en-US" w:bidi="ar-SA"/>
              </w:rPr>
              <w:t>Facts:</w:t>
            </w:r>
            <w:r>
              <w:rPr>
                <w:rFonts w:ascii="arial" w:eastAsia="arial" w:hAnsi="arial" w:cs="arial"/>
                <w:color w:val="000000"/>
                <w:sz w:val="20"/>
                <w:lang w:val="en-US" w:eastAsia="en-US" w:bidi="ar-SA"/>
              </w:rPr>
              <w:t xml:space="preserve"> The plaintiff was walking in a crosswalk when she was struck by the defendant's vehicle, which was making a u-turn in the crosswalk. The defendant argued contributory liability on the plaintiff's part, because the plaintiff had been wearing dark clothing while walking at night. The damages issue was complex. The plaintiff initially suffered jaw, knee, shoulder, and back pain, and she continued to suffer pain, weakness, and fatigue on her left side. She had been misdiagnosed with a carotid artery dissection, and she later developed a conversion (psychological) disorder. The defendant argued that the misdiagnosis led to the plaintiff's psychiatric problems and ongoing pain complaints. The defendant also maintained that the plaintiff had been unable to complete her postgraduate studies not as a result of the accident, but due to a lack of intellect. </w:t>
            </w:r>
            <w:r>
              <w:rPr>
                <w:rFonts w:ascii="arial" w:eastAsia="arial" w:hAnsi="arial" w:cs="arial"/>
                <w:sz w:val="20"/>
                <w:lang w:val="en-US" w:eastAsia="en-US" w:bidi="ar-SA"/>
              </w:rPr>
              <w:cr/>
            </w:r>
          </w:p>
          <w:p>
            <w:pPr>
              <w:spacing w:before="120" w:line="260" w:lineRule="atLeast"/>
              <w:ind w:left="240"/>
              <w:jc w:val="both"/>
              <w:rPr>
                <w:rFonts w:ascii="arial" w:eastAsia="arial" w:hAnsi="arial" w:cs="arial"/>
                <w:sz w:val="20"/>
                <w:lang w:val="en-US" w:eastAsia="en-US" w:bidi="ar-SA"/>
              </w:rPr>
            </w:pPr>
            <w:bookmarkStart w:id="203" w:name="Holdings of Court_22"/>
            <w:bookmarkEnd w:id="203"/>
            <w:r>
              <w:rPr>
                <w:rFonts w:ascii="arial" w:eastAsia="arial" w:hAnsi="arial" w:cs="arial"/>
                <w:color w:val="000000"/>
                <w:sz w:val="20"/>
                <w:lang w:val="en-US" w:eastAsia="en-US" w:bidi="ar-SA"/>
              </w:rPr>
              <w:t>HELD: The action was allowed, and the defendant was found 100% liable.</w:t>
            </w:r>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Court stated that the fact that the plaintiff was wearing dark clothing did not mean she bore any responsibility for the accident. With respect to damages, the Court held that the majority of the evidence indicated that the plaintiff's conversion disorder was brought on by the injuries sustained in the accident. It dismissed the defendant's expert's opinion that the misdiagnosis caused the conversion disorder and that her lack of intellect would have resulted in her failed studies regardless of the accident. The Court did not find that the misdiagnosis acted as an intervening cause--it simply made treatment more difficult. The Court also rejected the defendant's arguments that the plaintiff failed to mitigate her damages by not following appropriate treatment for her disorder. The Court held that her reluctance to accept that she had a psychiatric problem was part and parcel of the condition itself. The Court awarded non-pecuniary damages of $100,000, as well as $1 million for loss of future income resulting from her failed postgraduate studies. </w:t>
            </w:r>
            <w:r>
              <w:rPr>
                <w:rFonts w:ascii="arial" w:eastAsia="arial" w:hAnsi="arial" w:cs="arial"/>
                <w:sz w:val="20"/>
                <w:lang w:val="en-US" w:eastAsia="en-US" w:bidi="ar-SA"/>
              </w:rPr>
              <w:cr/>
            </w:r>
          </w:p>
          <w:p>
            <w:pPr>
              <w:rPr>
                <w:rFonts w:ascii="arial" w:eastAsia="arial" w:hAnsi="arial" w:cs="arial"/>
                <w:sz w:val="20"/>
                <w:lang w:val="en-US" w:eastAsia="en-US" w:bidi="ar-SA"/>
              </w:rPr>
            </w:pPr>
          </w:p>
        </w:tc>
      </w:tr>
    </w:tbl>
    <w:p>
      <w:pPr>
        <w:jc w:val="both"/>
        <w:rPr>
          <w:rFonts w:ascii="arial" w:eastAsia="arial" w:hAnsi="arial" w:cs="arial"/>
          <w:sz w:val="20"/>
          <w:lang w:val="en-US" w:eastAsia="en-US" w:bidi="ar-SA"/>
        </w:rPr>
      </w:pPr>
      <w:bookmarkStart w:id="204" w:name="Counsel_30"/>
      <w:bookmarkEnd w:id="204"/>
      <w:r>
        <w:rPr>
          <w:rFonts w:ascii="arial" w:eastAsia="arial" w:hAnsi="arial" w:cs="arial"/>
          <w:sz w:val="20"/>
          <w:lang w:val="en-US" w:eastAsia="en-US" w:bidi="ar-SA"/>
        </w:rPr>
        <w:br/>
      </w:r>
    </w:p>
    <w:p>
      <w:pPr>
        <w:keepNext/>
        <w:spacing w:before="24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Counsel</w:t>
      </w:r>
    </w:p>
    <w:p>
      <w:pPr>
        <w:spacing w:line="60" w:lineRule="exact"/>
        <w:rPr>
          <w:rFonts w:ascii="arial" w:eastAsia="arial" w:hAnsi="arial" w:cs="arial"/>
          <w:sz w:val="20"/>
          <w:lang w:val="en-US" w:eastAsia="en-US" w:bidi="ar-SA"/>
        </w:rPr>
      </w:pPr>
      <w:r>
        <w:pict>
          <v:line id="_x0000_s1181" style="position:absolute;z-index:251742208"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K.D. McGee and J.M. Rice for the plaintiff; S.B. Stewart and M.A. Chaudhary for the defendants.</w:t>
      </w:r>
      <w:r>
        <w:rPr>
          <w:rFonts w:ascii="arial" w:eastAsia="arial" w:hAnsi="arial" w:cs="arial"/>
          <w:sz w:val="20"/>
          <w:lang w:val="en-US" w:eastAsia="en-US" w:bidi="ar-SA"/>
        </w:rPr>
        <w:cr/>
      </w:r>
    </w:p>
    <w:p>
      <w:pPr>
        <w:spacing w:after="240"/>
        <w:rPr>
          <w:rFonts w:ascii="arial" w:eastAsia="arial" w:hAnsi="arial" w:cs="arial"/>
          <w:sz w:val="20"/>
          <w:lang w:val="en-US" w:eastAsia="en-US" w:bidi="ar-SA"/>
        </w:rPr>
      </w:pPr>
      <w:bookmarkStart w:id="205" w:name="Judgment_31"/>
      <w:bookmarkEnd w:id="205"/>
      <w:r>
        <w:pict>
          <v:line id="_x0000_s1182" style="position:absolute;z-index:251793408" from="0,12pt" to="512pt,12pt" strokecolor="#009ddb" strokeweight="1.5pt">
            <v:stroke linestyle="single"/>
          </v:line>
        </w:pict>
      </w:r>
    </w:p>
    <w:p>
      <w:pPr>
        <w:spacing w:before="120" w:line="260" w:lineRule="atLeast"/>
        <w:jc w:val="center"/>
        <w:rPr>
          <w:rFonts w:ascii="arial" w:eastAsia="arial" w:hAnsi="arial" w:cs="arial"/>
          <w:sz w:val="20"/>
          <w:lang w:val="en-US" w:eastAsia="en-US" w:bidi="ar-SA"/>
        </w:rPr>
      </w:pPr>
      <w:r>
        <w:rPr>
          <w:rFonts w:ascii="arial" w:eastAsia="arial" w:hAnsi="arial" w:cs="arial"/>
          <w:b/>
          <w:color w:val="000000"/>
          <w:sz w:val="20"/>
          <w:lang w:val="en-US" w:eastAsia="en-US" w:bidi="ar-SA"/>
        </w:rPr>
        <w:t>Reasons for Judgment</w:t>
      </w:r>
      <w:r>
        <w:rPr>
          <w:rFonts w:ascii="arial" w:eastAsia="arial" w:hAnsi="arial" w:cs="arial"/>
          <w:sz w:val="20"/>
          <w:lang w:val="en-US" w:eastAsia="en-US" w:bidi="ar-SA"/>
        </w:rPr>
        <w:cr/>
      </w:r>
    </w:p>
    <w:p>
      <w:pPr>
        <w:rPr>
          <w:rFonts w:ascii="arial" w:eastAsia="arial" w:hAnsi="arial" w:cs="arial"/>
          <w:sz w:val="20"/>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2404"/>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rFonts w:ascii="arial" w:eastAsia="arial" w:hAnsi="arial" w:cs="arial"/>
                <w:sz w:val="20"/>
                <w:lang w:val="en-US" w:eastAsia="en-US" w:bidi="ar-SA"/>
              </w:rPr>
            </w:pPr>
            <w:bookmarkStart w:id="206" w:name="B.J. BROWN J."/>
            <w:bookmarkEnd w:id="206"/>
            <w:r>
              <w:rPr>
                <w:rFonts w:ascii="arial" w:eastAsia="arial" w:hAnsi="arial" w:cs="arial"/>
                <w:b/>
                <w:color w:val="000000"/>
                <w:sz w:val="30"/>
                <w:lang w:val="en-US" w:eastAsia="en-US" w:bidi="ar-SA"/>
              </w:rPr>
              <w:t>B.J. BROWN J.</w:t>
            </w:r>
          </w:p>
        </w:tc>
      </w:tr>
    </w:tbl>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The plaintiff seeks damages for personal injuries arising out of a motor vehicle accident that occurred on March 12, 2002.</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LIABILITY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On March 12, 2002, Dr. Samuel was a student studying for her PhD in chemistry, at the University of British Columbia. She left the chemistry building at approximately 10:00 p.m. She was crossing University Blvd. from the chemistry building toward the book store. It was dark and had been raining. She was in the marked crosswalk. University Blvd. runs east and west and, at this location, has a lane of traffic in each direction separated by diagonal parking. This creates a wide parking boulevard between the two traffic lanes. Dr. Samuel was walking in the crosswalk from the north side of University Blvd. to the south side. When she came to the centre dividing boulevard, she looked to her right for oncoming traffic. She saw the defendant's vehicle turn toward her. The defendant's vehicle was not moving fast. She tried to make eye contact with the driver and shouted "stop" but the car did not stop. She says that the car struck her knees and she fell forward onto the hood. She has a fuzzy recollection from that point until she was on the ground. She describes feeling like "she was falling off a cliff".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The defendants' vehicle was driven by the defendant Kathleen Levi. She arrived at UBC that evening to pick up her husband from work. She drove westward down University Blvd. in search of a parking space, then turned at the end of University Blvd. and came back, travelling eastbound. She stopped at the crosswalk before making a U-turn to go back around in search of a parking stall. She admits that she was driving in the crosswalk at the time of the incident. She has some doubt that her vehicle actually collided with the plaintiff. She says that Dr. Samuel was in front of her car, so close that she was unable to see Dr. Samuel's legs. She says that when her car stopped, Dr. Samuel stepped backwards twelve to fifteen feet and then sat down.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I find that Ms. Levi stopped before the crosswalk, as she was travelling east. She looked to her left initially, then to her right before turning left and entering the crosswalk. She was driving north in the crosswalk when her vehicle collided with Dr. Samuel. Ms. Levi did not see Dr. Samuel until just before the collision and did not stop her vehicle before she collided with Dr. Samuel. I accept Dr. Samuel's evidence that the vehicle collided with her knee and she fell forward onto the hood of the car before coming to rest on the ground.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I do not accept Ms. Levi's evidence that Dr. Samuel stood in front of her car, staring at her before stepping backwards twelve to fifteen feet and sitting down on the pavement. This is inconsistent not only with the evidence of Dr. Samuel, but also with the evidence of Constable Monsef.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Constable Monsef is with the RCMP and was stationed at UBC. He arrived at the scene within approximately one minute of receiving a call to attend the scene. He said that Ms. Levi admitted to him at the scene that she had struck the plaintiff. He also testified that Dr. Samuel was on the ground just a couple of feet in front of the car, not twelve to fifteen feet back as recalled by Ms. Levi. I accept Constable Monsef's evidence.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Constable Monsef described Ms. Levi as extremely upset, verging on hysteria, at the scene. Accordingly, it is not surprising that her recollection of events is confused.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In my view, Ms. Levi is 100% responsible for the accident. She was driving in, not through, the crosswalk, in the course of completing a U-turn, looking for a parking space. She was aware that at that time of night it is quite common for there to be pedestrians about, that there are still students attending classes. Indeed, she was picking her husband up from teaching a class.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xml:space="preserve">  Section 179 of the </w:t>
      </w:r>
      <w:r>
        <w:rPr>
          <w:rFonts w:ascii="arial" w:eastAsia="arial" w:hAnsi="arial" w:cs="arial"/>
          <w:b/>
          <w:i/>
          <w:color w:val="000000"/>
          <w:sz w:val="20"/>
          <w:lang w:val="en-US" w:eastAsia="en-US" w:bidi="ar-SA"/>
        </w:rPr>
        <w:t>Motor Vehicle Act</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R.S.B.C. 1996, c. 318</w:t>
      </w:r>
      <w:r>
        <w:rPr>
          <w:rFonts w:ascii="arial" w:eastAsia="arial" w:hAnsi="arial" w:cs="arial"/>
          <w:color w:val="000000"/>
          <w:sz w:val="20"/>
          <w:lang w:val="en-US" w:eastAsia="en-US" w:bidi="ar-SA"/>
        </w:rPr>
        <w:t xml:space="preserve"> provides that a driver must yield the right of way to a pedestrian in a crosswalk.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xml:space="preserve">  Dr. Samuel left the sidewalk on the north side of University Blvd. after ensuring that it was safe to do so. She walked to the centre of University Blvd. and looked to her right for oncoming traffic. She was standing still when the Levi vehicle turned toward her. The fact that she was wearing dark clothing does not mean that she bears some responsibility for the accident. I adopt the reasons of Mr. Justice Burnyeat in </w:t>
      </w:r>
      <w:r>
        <w:rPr>
          <w:rFonts w:ascii="arial" w:eastAsia="arial" w:hAnsi="arial" w:cs="arial"/>
          <w:b/>
          <w:i/>
          <w:color w:val="000000"/>
          <w:sz w:val="20"/>
          <w:lang w:val="en-US" w:eastAsia="en-US" w:bidi="ar-SA"/>
        </w:rPr>
        <w:t>Achilleos v. Nix</w:t>
      </w:r>
      <w:r>
        <w:rPr>
          <w:rFonts w:ascii="arial" w:eastAsia="arial" w:hAnsi="arial" w:cs="arial"/>
          <w:color w:val="000000"/>
          <w:sz w:val="20"/>
          <w:lang w:val="en-US" w:eastAsia="en-US" w:bidi="ar-SA"/>
        </w:rPr>
        <w:t xml:space="preserve">, </w:t>
      </w:r>
      <w:hyperlink r:id="rId625" w:history="1">
        <w:r>
          <w:rPr>
            <w:rFonts w:ascii="arial" w:eastAsia="arial" w:hAnsi="arial" w:cs="arial"/>
            <w:i/>
            <w:color w:val="0077CC"/>
            <w:sz w:val="20"/>
            <w:u w:val="single"/>
            <w:shd w:val="clear" w:color="auto" w:fill="FFFFFF"/>
            <w:lang w:val="en-US" w:eastAsia="en-US" w:bidi="ar-SA"/>
          </w:rPr>
          <w:t>2000 BCSC 1422</w:t>
        </w:r>
      </w:hyperlink>
      <w:r>
        <w:rPr>
          <w:rFonts w:ascii="arial" w:eastAsia="arial" w:hAnsi="arial" w:cs="arial"/>
          <w:color w:val="000000"/>
          <w:sz w:val="20"/>
          <w:lang w:val="en-US" w:eastAsia="en-US" w:bidi="ar-SA"/>
        </w:rPr>
        <w:t xml:space="preserve"> at para. 20:</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Pedestrians in crosswalks who are proceeding when the "walk" pedestrian sign is illuminated are free to wear whatever colour clothes they feel are appropriate. This is not a case where the lack of lighting and bad weather conditions created a situation where the wearing of dark clothes in any way contributed to causing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Similarly, here, while there was no "walk" light, Dr. Samuel was proceeding in the crosswalk. She stopped to look for traffic before stepping from the safety of the area adjacent to the parking median. She shouted "stop" at the oncoming car. Dr. Samuel cannot be faulted for her conduct in the circumstances.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MEDICAL COMPLAINTS AND INVESTIGATIONS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Dr. Samuel's complaints are complicated, and their diagnosis proved to be medically challenging. The assessment of her complaints lies at the crux of this case and I will examine the history in some detail.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An ambulance attended the scene. The crew report describes Dr. Samuel's chief complaint as pain in the left knee. She told the emergency services personnel that she had not lost consciousness, that she was not suffering from neck pain and did not hit her head.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She told the UBC emergency department nursing staff at 10:50 p.m. that her chief complaint was a left knee injury. She said that she had not lost consciousness and did not have neck or back pain.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w:t>
      </w:r>
      <w:r>
        <w:rPr>
          <w:rFonts w:ascii="arial" w:eastAsia="arial" w:hAnsi="arial" w:cs="arial"/>
          <w:color w:val="000000"/>
          <w:sz w:val="20"/>
          <w:lang w:val="en-US" w:eastAsia="en-US" w:bidi="ar-SA"/>
        </w:rPr>
        <w:t>  Dr. Carter, the emergency room physician, noted contusions to the left shoulder, left knee and left temporomandibular joint ("TMJ").</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w:t>
      </w:r>
      <w:r>
        <w:rPr>
          <w:rFonts w:ascii="arial" w:eastAsia="arial" w:hAnsi="arial" w:cs="arial"/>
          <w:color w:val="000000"/>
          <w:sz w:val="20"/>
          <w:lang w:val="en-US" w:eastAsia="en-US" w:bidi="ar-SA"/>
        </w:rPr>
        <w:t>  Dr. Samuel made her way home to rest.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w:t>
      </w:r>
      <w:r>
        <w:rPr>
          <w:rFonts w:ascii="arial" w:eastAsia="arial" w:hAnsi="arial" w:cs="arial"/>
          <w:color w:val="000000"/>
          <w:sz w:val="20"/>
          <w:lang w:val="en-US" w:eastAsia="en-US" w:bidi="ar-SA"/>
        </w:rPr>
        <w:t>  On March 15, she attended UBC Student Health Services, complaining of "feeling very weak, some chest discomfort, feels it is an effort to breathe, left jaw sore". Dr. Gisslow found "tender left trapezius border, normal range of shoulder movement and tenderness to the left temporomandibular joint". Dr. Gisslow described the accident as "the car struck her knees; she rolled over the hood and fell on the road". Dr. Samuel told Dr. Gisslow that she did not think that she lost consciousness, but her memory of the event was a little fuzzy. She was reluctant to go out of the house and was somewhat anxious. Dr. Gisslow assessed "MVA, contusions and psychological effects of trauma."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w:t>
      </w:r>
      <w:r>
        <w:rPr>
          <w:rFonts w:ascii="arial" w:eastAsia="arial" w:hAnsi="arial" w:cs="arial"/>
          <w:color w:val="000000"/>
          <w:sz w:val="20"/>
          <w:lang w:val="en-US" w:eastAsia="en-US" w:bidi="ar-SA"/>
        </w:rPr>
        <w:t>  On March 19, 2002, she went to her family physician, Dr. Hodgson. He described her as profoundly depressed and tearful because she was not able to do anything, and that she "wants to know why". She was hyper-sensitive to examination. He noted that she was irritable, said "you just don't understand", and left.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w:t>
      </w:r>
      <w:r>
        <w:rPr>
          <w:rFonts w:ascii="arial" w:eastAsia="arial" w:hAnsi="arial" w:cs="arial"/>
          <w:color w:val="000000"/>
          <w:sz w:val="20"/>
          <w:lang w:val="en-US" w:eastAsia="en-US" w:bidi="ar-SA"/>
        </w:rPr>
        <w:t>  Also on March 19, the same day that she saw Dr. Hodgson, she went to the UBC emergency department. She saw Dr. Edmonds, who described her as speaking in a barely audible whisper and complaining of discomfort in her left TMJ. She had difficulty opening her mouth. His diagnosis was left TMJ pain.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w:t>
      </w:r>
      <w:r>
        <w:rPr>
          <w:rFonts w:ascii="arial" w:eastAsia="arial" w:hAnsi="arial" w:cs="arial"/>
          <w:color w:val="000000"/>
          <w:sz w:val="20"/>
          <w:lang w:val="en-US" w:eastAsia="en-US" w:bidi="ar-SA"/>
        </w:rPr>
        <w:t>  On March 22, 2002, she saw Dr. Mirwaldt at Student Health Services. Dr. Mirwaldt noted that she was getting frustrated as she felt that no one was taking her concern about overall weakness seriously. She complained of bilateral knee pain, with the right being worse than the left, and overall weakness. Her chest felt constricted and it was hard to talk in a normal voice or breathe deeply. She was feeling too weak to leave her home. She was concerned that people thought that she was depressed, she wanted to get back to work and hated being sedentary. She was tearful when asked to do movements. She was very tender over the left side of her neck, the left shoulder posterior muscles were very tight and tender, and there were spasms in the paraspinal muscles along the thoracic and lumbar left side. Dr. Mirwaldt noted "much neck and back spasm". The diagnosis was "sprains and strains of the back".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w:t>
      </w:r>
      <w:r>
        <w:rPr>
          <w:rFonts w:ascii="arial" w:eastAsia="arial" w:hAnsi="arial" w:cs="arial"/>
          <w:color w:val="000000"/>
          <w:sz w:val="20"/>
          <w:lang w:val="en-US" w:eastAsia="en-US" w:bidi="ar-SA"/>
        </w:rPr>
        <w:t>  She saw a chiropractor, Dr. Kvalheim, on March 27, 2002. He noted her whole back to be in severe pain, and pain which "started in the neck and jaw, pain getting worse". The examination was described as difficult, "client in lots of pain - needed to lay down - hurts/pain to sit or stand. She couldn't stand or sit longer than 10 minutes for the examination."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w:t>
      </w:r>
      <w:r>
        <w:rPr>
          <w:rFonts w:ascii="arial" w:eastAsia="arial" w:hAnsi="arial" w:cs="arial"/>
          <w:color w:val="000000"/>
          <w:sz w:val="20"/>
          <w:lang w:val="en-US" w:eastAsia="en-US" w:bidi="ar-SA"/>
        </w:rPr>
        <w:t>  On April 1, she completed questionnaires for Dr. Kvalheim. She indicated pain in the neck and shoulder bilaterally, in her lower back, in both knees and in the left shoulder and arm. She described herself as severely incapacitated, totally unable to function. She said that she was staying in bed most of the time because of pain in her back, which she said was painful almost all of the time. She rated her neck pain as fairly severe.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w:t>
      </w:r>
      <w:r>
        <w:rPr>
          <w:rFonts w:ascii="arial" w:eastAsia="arial" w:hAnsi="arial" w:cs="arial"/>
          <w:color w:val="000000"/>
          <w:sz w:val="20"/>
          <w:lang w:val="en-US" w:eastAsia="en-US" w:bidi="ar-SA"/>
        </w:rPr>
        <w:t>  On April 3, 2002, she saw Dr. Mirwaldt again. The diagnosis was again "sprains and strains of the back." She was frustrated by pain and wanting to get back to the lab. She was laying still all day as "nothing else can be tolerated and was feeling totally incapacitated". She was tender "all over the back". She moved her neck only a little when requested to do so because she felt limited by the pain. Dr. Mirwaldt noted that there were more symptoms than physical signs and that her pain was out of proportion with the signs.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w:t>
      </w:r>
      <w:r>
        <w:rPr>
          <w:rFonts w:ascii="arial" w:eastAsia="arial" w:hAnsi="arial" w:cs="arial"/>
          <w:color w:val="000000"/>
          <w:sz w:val="20"/>
          <w:lang w:val="en-US" w:eastAsia="en-US" w:bidi="ar-SA"/>
        </w:rPr>
        <w:t>  On April 17, 2002, she saw Dr. Mirwaldt again. Again, the diagnosis was sprains and strains of the back. She was still experiencing restricted movement. Her right wrist was now painful. On examination she was "exquisitely tender" when touched. As she relaxed, no more spasms were was found along her lower back, although her back was tender to touch all over. Again Dr. Mirwaldt noted "more tenderness than expected".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w:t>
      </w:r>
      <w:r>
        <w:rPr>
          <w:rFonts w:ascii="arial" w:eastAsia="arial" w:hAnsi="arial" w:cs="arial"/>
          <w:color w:val="000000"/>
          <w:sz w:val="20"/>
          <w:lang w:val="en-US" w:eastAsia="en-US" w:bidi="ar-SA"/>
        </w:rPr>
        <w:t>  On May 6, 2002, she saw Dr. Lloyd-Smith at UBC Student Health Services. She was described as having "ongoing left greater than right jaw, face, neck, upper back, shoulder to left arm, right wrist, low back left greater than right with left hind quarter to foot back, thickness, heaviness." Sitting produced severe lower back pain. On examination she had TMJ tenderness, decreased range of movement in her neck, tenderness of the paracervical trapezious and rhomboid muscles, left worse than right. Her strength was poor, secondary to pain. Her right wrist and paralumbar muscles were tender. Sacroiliac joints were a problem, left greater than right. Straight leg raising was now reduced to 45 degrees, secondary to pain, whereas Dr. Mirwaldt had found her able to straight leg raise to 90 degrees without pain on April 17, 2002. He diagnosed "other and ill-defined sprains and strain".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w:t>
      </w:r>
      <w:r>
        <w:rPr>
          <w:rFonts w:ascii="arial" w:eastAsia="arial" w:hAnsi="arial" w:cs="arial"/>
          <w:color w:val="000000"/>
          <w:sz w:val="20"/>
          <w:lang w:val="en-US" w:eastAsia="en-US" w:bidi="ar-SA"/>
        </w:rPr>
        <w:t>  On May 7 she saw Dr. Lloyd-Smith again, complaining of fainting, feeling worse, numbness to the left side of her body, face, trunk, arm and leg and unpredictable weakness of the left arm and leg. He found no neurological symptoms and no anatomical explanation. He diagnosed unspecified disorders and symptoms. He saw her again on May 14 after a CT scan of her head. She still had numbness on the left side of her body and inconsistent weakness. He referred her to a neurologist, and noted that "she is keen".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w:t>
      </w:r>
      <w:r>
        <w:rPr>
          <w:rFonts w:ascii="arial" w:eastAsia="arial" w:hAnsi="arial" w:cs="arial"/>
          <w:color w:val="000000"/>
          <w:sz w:val="20"/>
          <w:lang w:val="en-US" w:eastAsia="en-US" w:bidi="ar-SA"/>
        </w:rPr>
        <w:t>  On May 16 she saw Dr. Lloyd-Smith again and discussed getting back to the lab. On May 21 she returned, complaining that her left-sided numbness and weakness recurred four days before, but was improving.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w:t>
      </w:r>
      <w:r>
        <w:rPr>
          <w:rFonts w:ascii="arial" w:eastAsia="arial" w:hAnsi="arial" w:cs="arial"/>
          <w:color w:val="000000"/>
          <w:sz w:val="20"/>
          <w:lang w:val="en-US" w:eastAsia="en-US" w:bidi="ar-SA"/>
        </w:rPr>
        <w:t>  Dr. Samuel saw Dr. Spacey, a neurologist, on May 30, 2002. Dr. Spacey's impression was: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Since the time of the accident she has had escalation in symptoms. Her initial description of being only able to whisper and have total body weakness for three weeks sounds highly functional in nature and I cannot provide a physiological explanation for her whispering voice. There are many non-physiological findings on Jomy's exam. The vibration, which only respects the midline on the forehead, could not be explained. She clearly was not fully participating when I asked her to close her eyes against resistance, as a Bell's phenomena was absent. However, she did appear to have slight brisk reflexes on the left side. Because of this objective finding, I am taking her claims more seriously and I have arranged for her to have an MRI. ... carotid dissection is possible and I have arranged for her to have an MRA at the time of her MRI. The main focus of my investigations is to rule out possible ischemic events from dissection. ... I have told Jomy that she does have a lot of anxiety contributing to her symptoms and she was very upset that physicians were not taking her seriously. I told her that all investigations, which can be done, are being done and every attempt is being made to rule out an organic etiology of her complaints.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w:t>
      </w:r>
      <w:r>
        <w:rPr>
          <w:rFonts w:ascii="arial" w:eastAsia="arial" w:hAnsi="arial" w:cs="arial"/>
          <w:color w:val="000000"/>
          <w:sz w:val="20"/>
          <w:lang w:val="en-US" w:eastAsia="en-US" w:bidi="ar-SA"/>
        </w:rPr>
        <w:t>  On June 5, 2002, Dr. Samuel saw Dr. Blasberg, a specialist in oral medicine, for her TMJ complaints. She is described as having occasional pain in the right facial area, but her primary complaint was the left facial area.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w:t>
      </w:r>
      <w:r>
        <w:rPr>
          <w:rFonts w:ascii="arial" w:eastAsia="arial" w:hAnsi="arial" w:cs="arial"/>
          <w:color w:val="000000"/>
          <w:sz w:val="20"/>
          <w:lang w:val="en-US" w:eastAsia="en-US" w:bidi="ar-SA"/>
        </w:rPr>
        <w:t>  By July 5, 2002, Dr. Spacey had received the results of the MRA and a cerebral angiogram and concluded that Dr. Samuel had suffered a right carotid dissection. "I have told Jomy that this was quite likely related to the accident and that she should remain on ... ASA for the next six months [to avoid a stroke or ischemic event]."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w:t>
      </w:r>
      <w:r>
        <w:rPr>
          <w:rFonts w:ascii="arial" w:eastAsia="arial" w:hAnsi="arial" w:cs="arial"/>
          <w:color w:val="000000"/>
          <w:sz w:val="20"/>
          <w:lang w:val="en-US" w:eastAsia="en-US" w:bidi="ar-SA"/>
        </w:rPr>
        <w:t>  On July 17, 2002, Dr. Lloyd-Smith referred Dr. Samuel to Dr. Teal, a neurologist, for a second opinion. He accepted the diagnosis of right carotid artery dissection and advised Dr. Samuel to continue to take aspirin and to begin to get active and resume her normal activities.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w:t>
      </w:r>
      <w:r>
        <w:rPr>
          <w:rFonts w:ascii="arial" w:eastAsia="arial" w:hAnsi="arial" w:cs="arial"/>
          <w:color w:val="000000"/>
          <w:sz w:val="20"/>
          <w:lang w:val="en-US" w:eastAsia="en-US" w:bidi="ar-SA"/>
        </w:rPr>
        <w:t>  On July 31, 2002, Dr. Samuel saw Dr. Anzarut, a neurologist, at the request of counsel. He concluded: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This patient was involved in a motor vehicle accident on March 12, 2002 with serious neurological consequences. She suffered a dissection of the right internal carotid artery with resulting numbness and weakness of her left side. The dissection of the carotid artery was a direct consequence of her hyperextension flexion injury at the time of the motor vehicle accident. Her risk of having a recurrence of the dissection is estimated at 1% per year. The increased risk persists for at least a decade and possibly longer.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w:t>
      </w:r>
      <w:r>
        <w:rPr>
          <w:rFonts w:ascii="arial" w:eastAsia="arial" w:hAnsi="arial" w:cs="arial"/>
          <w:color w:val="000000"/>
          <w:sz w:val="20"/>
          <w:lang w:val="en-US" w:eastAsia="en-US" w:bidi="ar-SA"/>
        </w:rPr>
        <w:t>  Dr. Samuel did not return to her lab work after the accident. She was able to complete her thesis and defend it. She received her PhD from UBC in November 2002. She then moved to the University of California at Berkeley for post-doctoral studies at the lab of Dr. Bertozzi.</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34</w:t>
      </w:r>
      <w:r>
        <w:rPr>
          <w:rFonts w:ascii="arial" w:eastAsia="arial" w:hAnsi="arial" w:cs="arial"/>
          <w:color w:val="000000"/>
          <w:sz w:val="20"/>
          <w:lang w:val="en-US" w:eastAsia="en-US" w:bidi="ar-SA"/>
        </w:rPr>
        <w:t>  While in California, she saw a number of physicians. In January 2003, she was seen by a neurologist, Dr. Kwo. He reported that Dr. Samuel was complaining of left sided pain and weakness, tingling which affected the left head region, spread to the entire left side, lasted for up to four days, recurring every one to two weeks, as well as episodes of weakness following the pain which became worse during exertion.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35</w:t>
      </w:r>
      <w:r>
        <w:rPr>
          <w:rFonts w:ascii="arial" w:eastAsia="arial" w:hAnsi="arial" w:cs="arial"/>
          <w:color w:val="000000"/>
          <w:sz w:val="20"/>
          <w:lang w:val="en-US" w:eastAsia="en-US" w:bidi="ar-SA"/>
        </w:rPr>
        <w:t>  He concluded: "According to the records, she suffered a right carotid dissection and has since been on aspirin. However, presently the findings on her neurologic examination are non-anatomical". He recommended follow-up carotid studies and MR studies, and that she continue to take aspirin for stroke prophylaxis.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36</w:t>
      </w:r>
      <w:r>
        <w:rPr>
          <w:rFonts w:ascii="arial" w:eastAsia="arial" w:hAnsi="arial" w:cs="arial"/>
          <w:color w:val="000000"/>
          <w:sz w:val="20"/>
          <w:lang w:val="en-US" w:eastAsia="en-US" w:bidi="ar-SA"/>
        </w:rPr>
        <w:t>  After the studies were completed, Dr. Kwo said: "I am unable to explain the continued carotid dissection in relation to her symptoms. However, for further evaluation, I have taken the liberty to request a second opinion at the UCSF [University of California, San Francisco] Medical Center."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37</w:t>
      </w:r>
      <w:r>
        <w:rPr>
          <w:rFonts w:ascii="arial" w:eastAsia="arial" w:hAnsi="arial" w:cs="arial"/>
          <w:color w:val="000000"/>
          <w:sz w:val="20"/>
          <w:lang w:val="en-US" w:eastAsia="en-US" w:bidi="ar-SA"/>
        </w:rPr>
        <w:t>  Dr. Samuel was seen at UCSF Medical Center in March 2003 by Dr. Ko, a specialist with the Neurovascular Service. Dr. Ko said: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She has persistent difficulty with left-sided weakness and numbness that appears to be fluctuating and recurrent particularly in the setting of increased physical stress and activity. She remains on a daily aspirin. Her most recent brain MRI shows no structural injury to explain her symptoms. Based on information presented today, there is no clear neurologic explanation for her persistent left-sided weakness. We discussed at length other possibilities including systemic illness causing fatigue, or a psychiatric component to her illness. ... I have encouraged her to seek counselling from a neuropsychologist and she is interested in a referral to our behavioral psychiatry group at UCSF Langley Porter Psychiatric Institute. She is considering taking a medical leave so that she can pursue a physical therapy program to regain her full strength.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38</w:t>
      </w:r>
      <w:r>
        <w:rPr>
          <w:rFonts w:ascii="arial" w:eastAsia="arial" w:hAnsi="arial" w:cs="arial"/>
          <w:color w:val="000000"/>
          <w:sz w:val="20"/>
          <w:lang w:val="en-US" w:eastAsia="en-US" w:bidi="ar-SA"/>
        </w:rPr>
        <w:t>  In July 2003, her family doctor referred Dr. Samuel to the Stanford University Medical Center. She was seen by Dr. Tong, a neurologist, and Associate Director of the Stanford Stroke Center. He undertook further investigation. On February 17, 2004, Dr. Albers, the Director of the Stanford Stroke Center reported to her family doctor:</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It is my impression that there is no significant structural brain injury to Dr. Samuel's right hemisphere. Despite the fact that her right carotid has occluded it appears that she has adequate collateral circulation and no evidence of ischemic cerebrovascular disease. Her symptoms and neurologic exam are atypical and suggestive of a functional disorder. I had a long discussion with her today regarding the possibility that stress is playing a major role in her neurologic symptoms. I do not feel further neuroimaging evaluation is necessary. I have referred her to my colleague, Dr. John Barry, in the Stanford Psychiatry Department. Dr. Barry has had excellent success ... with similar clinical syndromes."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39</w:t>
      </w:r>
      <w:r>
        <w:rPr>
          <w:rFonts w:ascii="arial" w:eastAsia="arial" w:hAnsi="arial" w:cs="arial"/>
          <w:color w:val="000000"/>
          <w:sz w:val="20"/>
          <w:lang w:val="en-US" w:eastAsia="en-US" w:bidi="ar-SA"/>
        </w:rPr>
        <w:t>  On March 24, 2004, Dr.Tong wrote to similar effect.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40</w:t>
      </w:r>
      <w:r>
        <w:rPr>
          <w:rFonts w:ascii="arial" w:eastAsia="arial" w:hAnsi="arial" w:cs="arial"/>
          <w:color w:val="000000"/>
          <w:sz w:val="20"/>
          <w:lang w:val="en-US" w:eastAsia="en-US" w:bidi="ar-SA"/>
        </w:rPr>
        <w:t>  Dr. Samuel attended Dr. Barry's clinic on March 24, 2004. His note of the visit indicates: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patient clearly has what seems to be a somatoform disorder. The patient had a serious car accident that may have instigated this particular stress response. We discussed this with the patient at length and have referred her to Dr. Hugh Baras for bio-feedback and ongoing individual psychotherapy. ... I think given her psychopathology this incidence was a significant one and she never took any time to accommodate to the seriousness of this event. The patient will be taking approximately 2-3 months off to hopefully recuperate and at that juncture she will be contacting Dr. Hugh Baras for continued care.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41</w:t>
      </w:r>
      <w:r>
        <w:rPr>
          <w:rFonts w:ascii="arial" w:eastAsia="arial" w:hAnsi="arial" w:cs="arial"/>
          <w:color w:val="000000"/>
          <w:sz w:val="20"/>
          <w:lang w:val="en-US" w:eastAsia="en-US" w:bidi="ar-SA"/>
        </w:rPr>
        <w:t>  Dr. Samuel took medical leave from April 1, 2004 until July 21, 2004.</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42</w:t>
      </w:r>
      <w:r>
        <w:rPr>
          <w:rFonts w:ascii="arial" w:eastAsia="arial" w:hAnsi="arial" w:cs="arial"/>
          <w:color w:val="000000"/>
          <w:sz w:val="20"/>
          <w:lang w:val="en-US" w:eastAsia="en-US" w:bidi="ar-SA"/>
        </w:rPr>
        <w:t>  On April 14, 2004, Dr. Samuel saw Dr. Barry, who hypnotized her. His notes state: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She got very little benefit from the hypnosis. However, it seemed that there was a great deal of defensiveness and suspiciousness on her part as to the procedure and its utility. We discussed an overall plan which includes neuropsychological testing. Also the patient will be seen in her area by a pain center where she will be having biofeedback and hopefully individual counseling as well.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43</w:t>
      </w:r>
      <w:r>
        <w:rPr>
          <w:rFonts w:ascii="arial" w:eastAsia="arial" w:hAnsi="arial" w:cs="arial"/>
          <w:color w:val="000000"/>
          <w:sz w:val="20"/>
          <w:lang w:val="en-US" w:eastAsia="en-US" w:bidi="ar-SA"/>
        </w:rPr>
        <w:t>  On May 17, 2004, Dr. Samuel returned to the UCSF Medical Center and was seen by Dr. Chagnon, an assistant professor of anesthesia at the UCSF/Mount Zion Pain Management Center. Dr. Chagnon formed the view that Dr. Samuel was suffering from post-stroke pain and recommended medication and biofeedback. She concurred with medical leave for Dr. Samuel.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44</w:t>
      </w:r>
      <w:r>
        <w:rPr>
          <w:rFonts w:ascii="arial" w:eastAsia="arial" w:hAnsi="arial" w:cs="arial"/>
          <w:color w:val="000000"/>
          <w:sz w:val="20"/>
          <w:lang w:val="en-US" w:eastAsia="en-US" w:bidi="ar-SA"/>
        </w:rPr>
        <w:t>  On May 26, 2004, Dr. Samuel returned to see Dr. Barry. Her symptoms were unabated.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45</w:t>
      </w:r>
      <w:r>
        <w:rPr>
          <w:rFonts w:ascii="arial" w:eastAsia="arial" w:hAnsi="arial" w:cs="arial"/>
          <w:color w:val="000000"/>
          <w:sz w:val="20"/>
          <w:lang w:val="en-US" w:eastAsia="en-US" w:bidi="ar-SA"/>
        </w:rPr>
        <w:t>  On June 8, 2004, Dr. Samuel was assessed by Dr. Karzmark, a neuropsychologist at Stanford Hospital. He found that her results were difficult to interpret, given an apparent effort, conscious or unconscious, to exaggerate left motor dysfunction; that there was evidence for both somatic and psychological interpretations of her difficulties, with the weight of evidence toward a psychological interpretation; and that he was handicapped by her tendency to underreport psychological problems and symptoms.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46</w:t>
      </w:r>
      <w:r>
        <w:rPr>
          <w:rFonts w:ascii="arial" w:eastAsia="arial" w:hAnsi="arial" w:cs="arial"/>
          <w:color w:val="000000"/>
          <w:sz w:val="20"/>
          <w:lang w:val="en-US" w:eastAsia="en-US" w:bidi="ar-SA"/>
        </w:rPr>
        <w:t>  On June 14, 2004, Dr. Samuel saw Dr. Chagnon again. Dr. Samuel felt that the treatment she was receiving was helping. She wanted to continue with visits to the neurologist and psychologist, to continue biofeedback, and extend her medical leave. Dr. Chagnon agreed to continued treatment and recommended extending the leave to mid-July.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47</w:t>
      </w:r>
      <w:r>
        <w:rPr>
          <w:rFonts w:ascii="arial" w:eastAsia="arial" w:hAnsi="arial" w:cs="arial"/>
          <w:color w:val="000000"/>
          <w:sz w:val="20"/>
          <w:lang w:val="en-US" w:eastAsia="en-US" w:bidi="ar-SA"/>
        </w:rPr>
        <w:t>  On August 3, 2004, Dr. Samuel attended the Stanford University Medical Center again, and was again seen by Dr. Albers. Dr. Albers confirmed: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there is no evidence of right hemispheric [injury], excellent collateral circulation, and normal cortical blood flow within the normal range in both gray and white matter structures.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On exam today ... she demonstrates no objective abnormalities. However, when focusing on specific aspects of the exam, the patient continues to demonstrate a nonphysiologic sensory examination on the left side and collapsing weakness on the left side, left pronator drift, and left slowed fine finger movements. Of note, the patient demonstrates normal gait, but when specifically focusing on standing on toes or heels, the patient cannot stand on left toe or heel.</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We have spoken with the patient, who continues to insist that there is no psychiatric component to her symptoms. ... The patient continues to insist that there is an additional study that will reveal an abnormality related to her car accident and explaining her symptoms.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We have explained to the patient, that from a neurology stroke service perspective and from a general neurology clinic perspective, it is unlikely that any additional tests would be of benefit. ... As the patient insists on finding somebody who might allow a PET scan study ... the patient is being referred to the pain service for further evaluation of her pain and for discussion of possible PET imaging.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48</w:t>
      </w:r>
      <w:r>
        <w:rPr>
          <w:rFonts w:ascii="arial" w:eastAsia="arial" w:hAnsi="arial" w:cs="arial"/>
          <w:color w:val="000000"/>
          <w:sz w:val="20"/>
          <w:lang w:val="en-US" w:eastAsia="en-US" w:bidi="ar-SA"/>
        </w:rPr>
        <w:t>  On August 30, 2004, Dr. Samuel again attended the UCSF/Mount Zion Pain Management Center. Dr. Chagnon reports: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patient's signs and symptoms are highly suggestive of brain stem damage ... The thought at this point would be to place the patient on a narcotic ... The patient will then follow up in one month to let us know the efficacy of this new regimen.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49</w:t>
      </w:r>
      <w:r>
        <w:rPr>
          <w:rFonts w:ascii="arial" w:eastAsia="arial" w:hAnsi="arial" w:cs="arial"/>
          <w:color w:val="000000"/>
          <w:sz w:val="20"/>
          <w:lang w:val="en-US" w:eastAsia="en-US" w:bidi="ar-SA"/>
        </w:rPr>
        <w:t>  On September 10, 2004, Dr. Samuel attended the Stanford Pain Management Center. She was assessed with central pain syndrome. She was advised that having multiple providers could cause more harm than good and asked to decide whether she would be treated at Stanford or at UCSF. She said that she would be treated at Stanford.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50</w:t>
      </w:r>
      <w:r>
        <w:rPr>
          <w:rFonts w:ascii="arial" w:eastAsia="arial" w:hAnsi="arial" w:cs="arial"/>
          <w:color w:val="000000"/>
          <w:sz w:val="20"/>
          <w:lang w:val="en-US" w:eastAsia="en-US" w:bidi="ar-SA"/>
        </w:rPr>
        <w:t>  On October 25, 2004, Dr. Samuel returned to UCSF. Dr. Chagnon reported that Dr. Samuel had tried multiple medications without benefit. She stated, "The patient continues to see Dr. Katherine Bowman, pain psychologist, and she feels that this is greatly benefiting her treatment at this time. The patient attempts to avoid over-exertion, avoiding cold weather, both of which do exacerbate her symptoms."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51</w:t>
      </w:r>
      <w:r>
        <w:rPr>
          <w:rFonts w:ascii="arial" w:eastAsia="arial" w:hAnsi="arial" w:cs="arial"/>
          <w:color w:val="000000"/>
          <w:sz w:val="20"/>
          <w:lang w:val="en-US" w:eastAsia="en-US" w:bidi="ar-SA"/>
        </w:rPr>
        <w:t>  I have been provided with records from two appointments with Dr. Bowman, although Dr. Samuel believes that she saw Dr. Bowman more than two times.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52</w:t>
      </w:r>
      <w:r>
        <w:rPr>
          <w:rFonts w:ascii="arial" w:eastAsia="arial" w:hAnsi="arial" w:cs="arial"/>
          <w:color w:val="000000"/>
          <w:sz w:val="20"/>
          <w:lang w:val="en-US" w:eastAsia="en-US" w:bidi="ar-SA"/>
        </w:rPr>
        <w:t>  In December 2004 Dr. Samuel moved from Berkeley to Mountain View. She did not continue treatment with the Stanford or UCSF pain clinics after mid-2005. She continued to see a family physician for other health issues.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53</w:t>
      </w:r>
      <w:r>
        <w:rPr>
          <w:rFonts w:ascii="arial" w:eastAsia="arial" w:hAnsi="arial" w:cs="arial"/>
          <w:color w:val="000000"/>
          <w:sz w:val="20"/>
          <w:lang w:val="en-US" w:eastAsia="en-US" w:bidi="ar-SA"/>
        </w:rPr>
        <w:t>  Dr. Samuel's symptoms remained unchanged at the time of trial: they wax and wane. She says that her symptoms are exacerbated by exertion and cold weather. When her symptoms flare she suffers burning pain, weakness, and fatigue, predominantly on her left side. When her symptoms are at their best, her left side is 80-85% as strong as it was before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54</w:t>
      </w:r>
      <w:r>
        <w:rPr>
          <w:rFonts w:ascii="arial" w:eastAsia="arial" w:hAnsi="arial" w:cs="arial"/>
          <w:color w:val="000000"/>
          <w:sz w:val="20"/>
          <w:lang w:val="en-US" w:eastAsia="en-US" w:bidi="ar-SA"/>
        </w:rPr>
        <w:t>  In addition to the treatments set out above, Dr. Samuel also received physiotherapy, massage therapy, acupuncture and chiropractic treatment, with limited success.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55</w:t>
      </w:r>
      <w:r>
        <w:rPr>
          <w:rFonts w:ascii="arial" w:eastAsia="arial" w:hAnsi="arial" w:cs="arial"/>
          <w:color w:val="000000"/>
          <w:sz w:val="20"/>
          <w:lang w:val="en-US" w:eastAsia="en-US" w:bidi="ar-SA"/>
        </w:rPr>
        <w:t>  In 2007 she attended counselling with Robin Beresford, a marriage and family therapist, to discuss issues in her marriage and her changed life since leaving the Bertozzi lab.</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INJURIES/CAUSATION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56</w:t>
      </w:r>
      <w:r>
        <w:rPr>
          <w:rFonts w:ascii="arial" w:eastAsia="arial" w:hAnsi="arial" w:cs="arial"/>
          <w:color w:val="000000"/>
          <w:sz w:val="20"/>
          <w:lang w:val="en-US" w:eastAsia="en-US" w:bidi="ar-SA"/>
        </w:rPr>
        <w:t>  By the time of trial, the weight of medical opinion concluded that Dr. Samuel had not had a dissection of her carotid artery. Rather, since birth or early childhood she had a small right carotid artery. The blood vessels had reconstituted so that her brain received an adequate supply of blood from the left carotid artery. Accordingly, she had not suffered a right carotid artery dissection in the accident, and had not suffered a stroke or other ischemic event.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57</w:t>
      </w:r>
      <w:r>
        <w:rPr>
          <w:rFonts w:ascii="arial" w:eastAsia="arial" w:hAnsi="arial" w:cs="arial"/>
          <w:color w:val="000000"/>
          <w:sz w:val="20"/>
          <w:lang w:val="en-US" w:eastAsia="en-US" w:bidi="ar-SA"/>
        </w:rPr>
        <w:t>  However, Dr. Samuel remains of the view that Dr. Chagnon and others who diagnosed post-stroke pain syndrome are correct, that this best explains her ongoing symptoms.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58</w:t>
      </w:r>
      <w:r>
        <w:rPr>
          <w:rFonts w:ascii="arial" w:eastAsia="arial" w:hAnsi="arial" w:cs="arial"/>
          <w:color w:val="000000"/>
          <w:sz w:val="20"/>
          <w:lang w:val="en-US" w:eastAsia="en-US" w:bidi="ar-SA"/>
        </w:rPr>
        <w:t>  Despite Dr. Samuel's own opinions, the psychiatrists who provided opinions to the court, Dr. Hurwitz and Dr. O'Shaughnessy concurred: Dr. Samuel's ongoing complaints are psychiatric.</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59</w:t>
      </w:r>
      <w:r>
        <w:rPr>
          <w:rFonts w:ascii="arial" w:eastAsia="arial" w:hAnsi="arial" w:cs="arial"/>
          <w:color w:val="000000"/>
          <w:sz w:val="20"/>
          <w:lang w:val="en-US" w:eastAsia="en-US" w:bidi="ar-SA"/>
        </w:rPr>
        <w:t>  The defendants rely on the opinion of Dr. O'Shaughnessy. In Dr. O'Shaughnessy's opinion, Dr. Samuel had a somatoform disorder, a psychiatric illness in which the person complains of physical symptoms that do not have an underlying physical cause, but have a presumed psychological basis. In particular, she had a conversion disorder: she had symptoms which suggested a neurological condition.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60</w:t>
      </w:r>
      <w:r>
        <w:rPr>
          <w:rFonts w:ascii="arial" w:eastAsia="arial" w:hAnsi="arial" w:cs="arial"/>
          <w:color w:val="000000"/>
          <w:sz w:val="20"/>
          <w:lang w:val="en-US" w:eastAsia="en-US" w:bidi="ar-SA"/>
        </w:rPr>
        <w:t>  With respect to causation, Dr. O'Shaughnessy opined: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Generally, the IQ scores of individuals who go on to post-graduate studies and in particular obtain a Ph.D. in the sciences such as chemistry are substantially higher than the IQ scores noted in Dr. Samuel. ... It is evident that Dr. Samuel obtained a post-doctoral research fellowship at UC Berkeley which I understand from the materials provided to have been a very competitive program. She did not do as well as she had hoped. ... Quite simply, Dr. Samuel would not have been able to compete in this environment and this in turn led to understandable frustration and stress for her.</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Psychiatrically, there was nothing to suggest any major signs or symptoms of psychiatric disorder in the immediate aftermath of the accident. ... The only actual symptoms of psychiatric disorder appeared to come in 2004 when she was experiencing the difficulties in coping with her fellowship program ...</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In my view, the symptoms are directly related to the fact that she was in an impossible situation attempting to compete with post-doctoral students who were very intelligent and also highly motivated to work long hours. She would not have been able to compete in this environment and this led to substantial stressors. Dr. Samuel believed that her difficulties were related to the effects of the accident although it is clearly evident that they would be more likely related to intellectual resources.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61</w:t>
      </w:r>
      <w:r>
        <w:rPr>
          <w:rFonts w:ascii="arial" w:eastAsia="arial" w:hAnsi="arial" w:cs="arial"/>
          <w:color w:val="000000"/>
          <w:sz w:val="20"/>
          <w:lang w:val="en-US" w:eastAsia="en-US" w:bidi="ar-SA"/>
        </w:rPr>
        <w:t>  In addition, in the aftermath of the accident, doctors were telling her that she had a dissection of her carotid artery, which also was a factor in Dr. Samuel's condition:</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At the core of a Conversion Disorder is in fact a false belief; i.e. the person believes that they have a physical abnormality even when one does not exist. I have little doubt that Dr. Samuel did indeed believe that not only did she have a dissection of the left internal carotid artery but that this in turn caused her complaints of fatigue and sensory impairment. ... Like many individuals with a Conversion Disorder, she also refused to accept an underlying psychological reason for her symptoms and continued trying to find some test that would attribute her difficulties to an organic cause.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it is unlikely that she would have developed the Conversion disorder if the diagnosis of carotid dissection had not occurred. ... By the same token, she would have run into the same difficulties with her work even if the accident had not occurred. ... her problems with performance in the department at Berkeley have nothing to do with the Conversion Disorder or the effects of the car accident and are directly and solely related to her intellectual resources. It would have been inevitable for her to have been overwhelmed with the competitive work demands at Berkeley.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62</w:t>
      </w:r>
      <w:r>
        <w:rPr>
          <w:rFonts w:ascii="arial" w:eastAsia="arial" w:hAnsi="arial" w:cs="arial"/>
          <w:color w:val="000000"/>
          <w:sz w:val="20"/>
          <w:lang w:val="en-US" w:eastAsia="en-US" w:bidi="ar-SA"/>
        </w:rPr>
        <w:t>  With respect to prognosis, Dr. O'Shaughnessy was of the view that her prognosis was positive. He said that the adjustment to a different career would be difficult, but was inevitable in any event given her limited intellectual resources.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63</w:t>
      </w:r>
      <w:r>
        <w:rPr>
          <w:rFonts w:ascii="arial" w:eastAsia="arial" w:hAnsi="arial" w:cs="arial"/>
          <w:color w:val="000000"/>
          <w:sz w:val="20"/>
          <w:lang w:val="en-US" w:eastAsia="en-US" w:bidi="ar-SA"/>
        </w:rPr>
        <w:t>  Dr. O'Shaughnessy also testified at trial. Shortly before giving his evidence, Dr. O'Shaughnessy reviewed a videotape of Dr. Samuel's marriage ceremony in India in 2004. After viewing the videotape, Dr. O'Shaughnessy concluded that at some time before August 2004, Dr. Samuel's conversion disorder had resolved. In his opinion, had she still been suffering from a conversion disorder, Dr. Samuel would not have, for example, held a baby on her left arm, or freely moved her left arm as she is seen to do in the video. He remained of the view that she had had a conversion disorder which developed within weeks of the accident, and was entrenched by the misdiagnosis. That condition resolved sometime before August 2004. He acknowledged at trial that the accident had a role to play in her conversion disorder. However, in his view, but for the misdiagnosis, the conversion disorder would not have developed as it did: had she been told after a thorough investigation that there was nothing wrong with her, she probably would have gone on to recover. Dr. O'Shaughnessy remained of the view that the problems Dr. Samuel experienced at Berkeley were not related to the motor vehicle accident; that she would not have succeeded as a post-doctoral student, in any event.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64</w:t>
      </w:r>
      <w:r>
        <w:rPr>
          <w:rFonts w:ascii="arial" w:eastAsia="arial" w:hAnsi="arial" w:cs="arial"/>
          <w:color w:val="000000"/>
          <w:sz w:val="20"/>
          <w:lang w:val="en-US" w:eastAsia="en-US" w:bidi="ar-SA"/>
        </w:rPr>
        <w:t>  The plaintiff relied on the opinion of Dr. Hurwitz. Dr. Hurwitz agreed substantially with Dr. O'Shaughnessy as to the nature of Dr. Samuel's complaint, but not the development or prognosis: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Dr. Samuel has an underlying psychiatric illness almost certainly a masked major depressive illness presenting with pain, fatigue ... and psychogenic neurological deficits (conversion reactions). This illness started within the first week following the motor vehicle accident. Such a psychiatric illness is occurring in the absence of a family history of psychiatric illness or a personal past history of psychiatric illness.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motor vehicle accident is directly responsible for precipitating this psychiatric illness and did this by way of the following accident related consequences amongst others.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 A mild traumatic brain injury.</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b. Soft-tissue injury producing pain.</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c. Psychological trauma of the accident itself.</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[At trial Dr. Hurwitz elaborated that no one of these factors necessarily caused the illness, but these were, in his opinion, the likely precipitating factors.]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Taken together the evidence is compelling that she has an underlying persistent major psychiatric illness starting within the first week post accident, that continues to the present and continues to manifest primarily as somatic symptoms as a substitute for a presumed and mostly masked depressive illness.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65</w:t>
      </w:r>
      <w:r>
        <w:rPr>
          <w:rFonts w:ascii="arial" w:eastAsia="arial" w:hAnsi="arial" w:cs="arial"/>
          <w:color w:val="000000"/>
          <w:sz w:val="20"/>
          <w:lang w:val="en-US" w:eastAsia="en-US" w:bidi="ar-SA"/>
        </w:rPr>
        <w:t>  In Dr. Hurwitz's opinion this condition developed well before the misdiagnosis of a carotid artery dissection:</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Dr. Samuel's left sided sensory and motor symptoms occurred 3 weeks before she saw Dr. Spacey and persisted without a neurological diagnosis until her first MR angiogram done on 13 June 2002. Dr. Samuel did not know for 2 months that she had a "dissection" and did not know that the carotid abnormality would be on the right side consistent with her left sided symptoms. Her neurological symptoms were internally and unconsciously generated ...</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66</w:t>
      </w:r>
      <w:r>
        <w:rPr>
          <w:rFonts w:ascii="arial" w:eastAsia="arial" w:hAnsi="arial" w:cs="arial"/>
          <w:color w:val="000000"/>
          <w:sz w:val="20"/>
          <w:lang w:val="en-US" w:eastAsia="en-US" w:bidi="ar-SA"/>
        </w:rPr>
        <w:t>  Dr. Hurwitz concluded that Dr. Samuel was totally disabled from sustained competitive gainful employment. Her prognosis was poor: with treatment, the majority of patients are relieved of the somatic complaints, but continue to experience psychological problems, such as depression, requiring ongoing care and in some cases occasional hospitalization. "In summary chronic conversion disorder, such as demonstrated by Dr. Samuel, usually evolves into a chronic depressive illness. Despite treatment the majority of these patients fail to return to work."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67</w:t>
      </w:r>
      <w:r>
        <w:rPr>
          <w:rFonts w:ascii="arial" w:eastAsia="arial" w:hAnsi="arial" w:cs="arial"/>
          <w:color w:val="000000"/>
          <w:sz w:val="20"/>
          <w:lang w:val="en-US" w:eastAsia="en-US" w:bidi="ar-SA"/>
        </w:rPr>
        <w:t>  Dr. Hurwitz reviewed the wedding video three times. He saw nothing in it to change his opinion. In his opinion, a doctor would have to examine Dr. Samuel to find the deficits that she complains of. He noted that Dr. Samuel has never suggested that she is paralyzed: in her mind, amongst other complaints, she has a fluctuating weakness; on a good day, strength on her left side is 85% of normal. In Dr. Hurwitz's opinion, holding a baby on her left side or moving her left arm freely are not inconsistent with a complex somatoform disorder.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68</w:t>
      </w:r>
      <w:r>
        <w:rPr>
          <w:rFonts w:ascii="arial" w:eastAsia="arial" w:hAnsi="arial" w:cs="arial"/>
          <w:color w:val="000000"/>
          <w:sz w:val="20"/>
          <w:lang w:val="en-US" w:eastAsia="en-US" w:bidi="ar-SA"/>
        </w:rPr>
        <w:t>  I accept Dr. Hurwitz's opinion regarding Dr. Samuel's condition and its cause. His opinion is consistent with the medical records, and with the evidence of the plaintiff, her husband and the plaintiff's friends and colleagues.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69</w:t>
      </w:r>
      <w:r>
        <w:rPr>
          <w:rFonts w:ascii="arial" w:eastAsia="arial" w:hAnsi="arial" w:cs="arial"/>
          <w:color w:val="000000"/>
          <w:sz w:val="20"/>
          <w:lang w:val="en-US" w:eastAsia="en-US" w:bidi="ar-SA"/>
        </w:rPr>
        <w:t>  Dr. Samuel's condition, a complex somatoform disorder (a combination of a pain disorder, somatoform disorder NOS (organically unexplained fatigue) and conversion disorder (psychogenic neurological deficits)), was caused by the motor vehicle accident. It developed over the days and weeks following the accident, as Dr. Samuel complained of bizarre, non-organic complaints, such as, on March 19, 2002, speaking in a barely audible whisper and being hypersensitive to exam; on April 17, feeling exquisitely tender; and by May 30 when she saw Dr. Spacey, demonstrating many non-physiological findings, such as a vibration which respects the midline (a test performed by Dr. Spacey which should have been felt all across the forehead, but which Dr. Samuel felt only to mid-way across the forehead) and total body weakness for three weeks which Dr. Spacey thought to be "highly functional in nature". Her complaints exceeded the physical signs.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70</w:t>
      </w:r>
      <w:r>
        <w:rPr>
          <w:rFonts w:ascii="arial" w:eastAsia="arial" w:hAnsi="arial" w:cs="arial"/>
          <w:color w:val="000000"/>
          <w:sz w:val="20"/>
          <w:lang w:val="en-US" w:eastAsia="en-US" w:bidi="ar-SA"/>
        </w:rPr>
        <w:t>  As early as March 15 Dr. Gisslow diagnosed psychological effects of trauma. By March 22, Dr. Samuel complained that doctors were suggesting that she may be depressed, but Dr. Samuel rejected this suggestion.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71</w:t>
      </w:r>
      <w:r>
        <w:rPr>
          <w:rFonts w:ascii="arial" w:eastAsia="arial" w:hAnsi="arial" w:cs="arial"/>
          <w:color w:val="000000"/>
          <w:sz w:val="20"/>
          <w:lang w:val="en-US" w:eastAsia="en-US" w:bidi="ar-SA"/>
        </w:rPr>
        <w:t>  Initially, her physical complaints were primarily left-sided. Over the next few weeks her complaints spread, so that by May 6, for example, she was complaining to Dr. Lloyd-Smith of pain to both sides of her face, neck, upper back, et cetera. The complaints were still greatest on the left side. However, on May 7, Dr. Samuel had her first experience of left-sided numbness and weakness, and as Dr. Hurwitz noted, from this point forward her neurological deficits persisted and were mostly left-sided.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72</w:t>
      </w:r>
      <w:r>
        <w:rPr>
          <w:rFonts w:ascii="arial" w:eastAsia="arial" w:hAnsi="arial" w:cs="arial"/>
          <w:color w:val="000000"/>
          <w:sz w:val="20"/>
          <w:lang w:val="en-US" w:eastAsia="en-US" w:bidi="ar-SA"/>
        </w:rPr>
        <w:t>  I accept Dr. Hurwitz's opinion that Dr. Samuel's somatoform/conversion disorder was not caused by the diagnosis of carotid dissection, that her left-sided sensory and motor symptoms occurred three weeks before she saw Dr. Spacey and persisted without a neurological diagnosis until June 13, 2002. I accept as well Dr. Hurwitz's opinion that: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"With this history [of misdiagnosis, including misdiagnosis of carotid artery dissection] it is understandable that Dr. Samuel is convinced that she has a post stroke pain syndrome and that only the right physician using the right diagnostic investigation will be able to identify an organic cause for her presentation. ... the medical complexity of her presentation conspires with her premorbid reluctance to accept any psychological causation to create major challenges to providing Dr. Samuel with psychiatric care."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In other words, while the misdiagnosis did not cause the ongoing complaints, it makes treatment more difficult.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73</w:t>
      </w:r>
      <w:r>
        <w:rPr>
          <w:rFonts w:ascii="arial" w:eastAsia="arial" w:hAnsi="arial" w:cs="arial"/>
          <w:color w:val="000000"/>
          <w:sz w:val="20"/>
          <w:lang w:val="en-US" w:eastAsia="en-US" w:bidi="ar-SA"/>
        </w:rPr>
        <w:t xml:space="preserve">  The defendants have not satisfied me that the misdiagnosis constitutes an intervening cause or </w:t>
      </w:r>
      <w:r>
        <w:rPr>
          <w:rFonts w:ascii="arial" w:eastAsia="arial" w:hAnsi="arial" w:cs="arial"/>
          <w:i/>
          <w:color w:val="000000"/>
          <w:sz w:val="20"/>
          <w:lang w:val="en-US" w:eastAsia="en-US" w:bidi="ar-SA"/>
        </w:rPr>
        <w:t>novus actus interveniens.</w:t>
      </w:r>
      <w:r>
        <w:rPr>
          <w:rFonts w:ascii="arial" w:eastAsia="arial" w:hAnsi="arial" w:cs="arial"/>
          <w:color w:val="000000"/>
          <w:sz w:val="20"/>
          <w:lang w:val="en-US" w:eastAsia="en-US" w:bidi="ar-SA"/>
        </w:rPr>
        <w:t xml:space="preserve"> First, as set out above, I am not satisfied that the misdiagnosis caused the plaintiff's somatoform/conversion disorder and ongoing complaints. Second, the investigation and diagnosis were undertaken to deal with the plaintiff's complaints, complaints caused by the accident. Initially, doctors thought that she may have a carotid artery dissection. Later it was determined that she likely did not. This is not medical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which could constitute a </w:t>
      </w:r>
      <w:r>
        <w:rPr>
          <w:rFonts w:ascii="arial" w:eastAsia="arial" w:hAnsi="arial" w:cs="arial"/>
          <w:i/>
          <w:color w:val="000000"/>
          <w:sz w:val="20"/>
          <w:lang w:val="en-US" w:eastAsia="en-US" w:bidi="ar-SA"/>
        </w:rPr>
        <w:t>novus actus interveniens</w:t>
      </w:r>
      <w:r>
        <w:rPr>
          <w:rFonts w:ascii="arial" w:eastAsia="arial" w:hAnsi="arial" w:cs="arial"/>
          <w:color w:val="000000"/>
          <w:sz w:val="20"/>
          <w:lang w:val="en-US" w:eastAsia="en-US" w:bidi="ar-SA"/>
        </w:rPr>
        <w:t xml:space="preserve"> as contemplated by the cases. Indeed, there is no suggestion that the diagnosis was negligent. The doctors were perfectly reasonable in their investigations and diagnoses.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74</w:t>
      </w:r>
      <w:r>
        <w:rPr>
          <w:rFonts w:ascii="arial" w:eastAsia="arial" w:hAnsi="arial" w:cs="arial"/>
          <w:color w:val="000000"/>
          <w:sz w:val="20"/>
          <w:lang w:val="en-US" w:eastAsia="en-US" w:bidi="ar-SA"/>
        </w:rPr>
        <w:t>  I also accept Dr. Hurwitz's opinion that Dr. Samuel's condition had developed well before she arrived in California and was not caused by her experience at Dr. Bertozzi's lab. This is consistent with the medical records, described above, and with the evidence of Dr. Samuel's colleagues and acquaintances.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75</w:t>
      </w:r>
      <w:r>
        <w:rPr>
          <w:rFonts w:ascii="arial" w:eastAsia="arial" w:hAnsi="arial" w:cs="arial"/>
          <w:color w:val="000000"/>
          <w:sz w:val="20"/>
          <w:lang w:val="en-US" w:eastAsia="en-US" w:bidi="ar-SA"/>
        </w:rPr>
        <w:t>  Dr. Vishaka Monga, one of Dr. Samuel's acquaintances and a colleague at UBC, covered Dr. Samuel's labs after the accident, took lab reports to her to mark, took groceries to her on occasion, and packed the boxes for her move to California. She saw Dr. Samuel once or twice per month until she left in November for Berkeley. She said that she saw no change in Dr. Samuel's condition over the months following the accident. Initially, Dr. Samuel had anticipated returning to the lab in short order, but she never did. She looked tired, appeared to be in pain, limped and walked slowly. She could not walk for more than 10 minutes. Until her departure she remained in good spirits, and was excited about working in the Bertozzi lab.</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76</w:t>
      </w:r>
      <w:r>
        <w:rPr>
          <w:rFonts w:ascii="arial" w:eastAsia="arial" w:hAnsi="arial" w:cs="arial"/>
          <w:color w:val="000000"/>
          <w:sz w:val="20"/>
          <w:lang w:val="en-US" w:eastAsia="en-US" w:bidi="ar-SA"/>
        </w:rPr>
        <w:t>  Dana Zendrowski is in charge of the second year chemistry lab course at UBC and supervises the teaching assistants (which included Dr. Monga and Dr. Samuel). The teaching assistants are typically responsible for two sections per week, each with a three hour lab which the teaching assistant supervises and marks. Before the accident she found Dr. Samuel to be enthusiastic about her research and to have a passion for research beyond that normally seen in graduate students. She did not miss meetings, was very enthusiastic, and was excited about going to Berkeley, her first choice for post-doctoral studies. The accident occurred two weeks before the end of term. Ms. Zendrowski saw Dr. Samuel within one week of the accident. She was moving slowly, speaking low and hesitantly, unlike her normal self. She expected to return to the lab quickly. Ms. Zendrowski saw Dr. Samuel from time to time after the accident and drove her to appointments and to get groceries. Her condition did not change significantly before she left for California.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77</w:t>
      </w:r>
      <w:r>
        <w:rPr>
          <w:rFonts w:ascii="arial" w:eastAsia="arial" w:hAnsi="arial" w:cs="arial"/>
          <w:color w:val="000000"/>
          <w:sz w:val="20"/>
          <w:lang w:val="en-US" w:eastAsia="en-US" w:bidi="ar-SA"/>
        </w:rPr>
        <w:t>  Janelle Van Dongen is a graduate student at UBC. Dr. Samuel tutored her from 1999 to 2001. She became a friend of Dr. Samuel and would socialize with her as well as seeing her as a tutor. She described Dr. Samuel after the accident as suddenly altered: her voice was softer and weaker, she looked weak, and her movements were cautious and slow. Ms. Van Dongen was shocked by the change in Dr. Samuel. Initially Dr. Samuel was not able to leave her apartment. Later, when Dr. Samuel rode in the car with Ms. Van Dongen, they would have to drive very slowly as any jarring caused distress. Over the summer there was some improvement in Dr. Samuel's condition, but she did not return to her pre-accident condition.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78</w:t>
      </w:r>
      <w:r>
        <w:rPr>
          <w:rFonts w:ascii="arial" w:eastAsia="arial" w:hAnsi="arial" w:cs="arial"/>
          <w:color w:val="000000"/>
          <w:sz w:val="20"/>
          <w:lang w:val="en-US" w:eastAsia="en-US" w:bidi="ar-SA"/>
        </w:rPr>
        <w:t>  Dr. Martin Tanner was Dr. Samuel's thesis supervisor. Dr. Samuel worked in his lab while at UBC. He found her to be hard working and intensely motivated. She was a quick learner and one of his hardest working students. She was confident and had a drive for doing science. She completed her thesis in four years, much shorter than the usual time of approximately 5 1/2 years. She was more mature and caught on more quickly than some students. She defended her thesis in September/October of 2002. He provided a letter of reference for her post-doctoral applications. He felt Dr. Bertozzi's lab was one of the best. He recommended Dr. Samuel to Dr. Bertozzi: "I certainly thought that she could succeed." She was quick, sharp, focussed, in the upper half of his students. When she was accepted by Dr. Bertozzi she was excited, anxious to go, ready to plunge in. She was not worried or intimidated, that was not in her personality. He thought that she had the skills to see it through, that she would not be bothered by the competition from highly motivated, cream of the crop post-doctoral students.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79</w:t>
      </w:r>
      <w:r>
        <w:rPr>
          <w:rFonts w:ascii="arial" w:eastAsia="arial" w:hAnsi="arial" w:cs="arial"/>
          <w:color w:val="000000"/>
          <w:sz w:val="20"/>
          <w:lang w:val="en-US" w:eastAsia="en-US" w:bidi="ar-SA"/>
        </w:rPr>
        <w:t>  Jennifer Czlapinski Walter was a post-doctoral student at the Bertozzi lab with Dr. Samuel. She describes Dr. Bertozzi as very supportive, encouraging. Dr. Czlapinski Walter found working at the Bertozzi lab much less stressful than graduate school. Dr. Samuel was in the same sub-group as she was at the lab. They would attend weekly meetings where the various projects would be discussed. Dr. Samuel appeared to be on an intellectual par with the others, was always very excited about her work, and did not appeared stressed about her research or science. Physically, she was not on a par: she could not do a set of stairs in a normal fashion; she would lift one foot, then bring up the other. Her movements were slow. She got tired: she would get results from her experiments, then be away for a few days. This cut into her productivity.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80</w:t>
      </w:r>
      <w:r>
        <w:rPr>
          <w:rFonts w:ascii="arial" w:eastAsia="arial" w:hAnsi="arial" w:cs="arial"/>
          <w:color w:val="000000"/>
          <w:sz w:val="20"/>
          <w:lang w:val="en-US" w:eastAsia="en-US" w:bidi="ar-SA"/>
        </w:rPr>
        <w:t>  The plaintiff introduced the opinion of Dr. Kaushansky, a neuropsychologist. Dr. Kaushansky conducted a neuropsychological assessment of Dr. Samuel in July 2006. His testing showed that Dr. Samuel was functioning at a "high average" to "superior" level intellectually. Dr. Kaushansky was of the opinion that this level of intellectual functioning was consistent with her historically high level of academic achievement, and represented her actual level of intelligence. He considered the 2004 neuropsychological assessment from California, which suggested that Dr. Samuel's intellectual skills were in the average range. If this were correct, Dr. Samuel would be an "over-achiever", one who with average intelligence achieves above average or superior grades through exhaustive attention to studies, often to the exclusion of a social life. In Dr. Kaushansky's opinion, the 2004 assessment was not accurate, likely due to a combination of fatigue, medication and mood.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81</w:t>
      </w:r>
      <w:r>
        <w:rPr>
          <w:rFonts w:ascii="arial" w:eastAsia="arial" w:hAnsi="arial" w:cs="arial"/>
          <w:color w:val="000000"/>
          <w:sz w:val="20"/>
          <w:lang w:val="en-US" w:eastAsia="en-US" w:bidi="ar-SA"/>
        </w:rPr>
        <w:t>  I accept Dr. Kaushanky's opinion. It is consistent with Dr. Samuel's history and with the observations of her friends and colleagues. Dr. Samuel worked long hours, longer than many, not because she could not otherwise keep up, but because of her enthusiasm for her subject. Her colleagues in chemistry, as well as Dr. Martin, were of the view that Dr. Samuel had the intellectual resources to succeed. The 2004 testing is at odds with all of the other evidence. I conclude that it does not reflect her true abilities.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82</w:t>
      </w:r>
      <w:r>
        <w:rPr>
          <w:rFonts w:ascii="arial" w:eastAsia="arial" w:hAnsi="arial" w:cs="arial"/>
          <w:color w:val="000000"/>
          <w:sz w:val="20"/>
          <w:lang w:val="en-US" w:eastAsia="en-US" w:bidi="ar-SA"/>
        </w:rPr>
        <w:t>  What is Dr. Samuel's prognosis? Again, I accept Dr. Hurwitz's opinion that treatment will be extremely challenging and there is no guarantee that she will respond. If treatment is successful, she will likely be left with chronic depression and not be able to return to full time competitive gainful employment.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83</w:t>
      </w:r>
      <w:r>
        <w:rPr>
          <w:rFonts w:ascii="arial" w:eastAsia="arial" w:hAnsi="arial" w:cs="arial"/>
          <w:color w:val="000000"/>
          <w:sz w:val="20"/>
          <w:lang w:val="en-US" w:eastAsia="en-US" w:bidi="ar-SA"/>
        </w:rPr>
        <w:t>  The defendants argue that Dr. Samuel has failed to mitigate her damages, by not following appropriate treatment for her psychiatric condition. I do not accept this submission. Dr. Samuel has aggressively pursued treatment for her condition. Her reluctance to recognize a psychiatric problem is part and parcel of her condition. As Dr. O'Shaughnessy opined: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Like many individuals with a Conversion Disorder, she also refused to accept an underlying psychological reason for her symptoms and continued trying to find some test that would attribute her difficulties to an organic cause. Although clearly a number of doctors directly informed her that she had underlying psychological problems, I do not think that her refusal to accept this diagnosis was a conscious refusal. I think that her difficulties are unconscious in origin.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To similar effect, Dr. Hurwitz stated: "Dr. Samuel's premorbid reluctance to accept a psychological explanation for her difficulties has been made worse by the medical complexity of her presentation." Specialists, such as Dr. Chagnon, as late as 2004/2005, diagnosed a physical, rather than psychiatric cause for her ongoing complaints. In these circumstances it cannot be said that Dr. Samuel has failed to mitigate her damages by failing to follow medical advice.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POSITION OF THE PARTIES RE: QUANTUM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84</w:t>
      </w:r>
      <w:r>
        <w:rPr>
          <w:rFonts w:ascii="arial" w:eastAsia="arial" w:hAnsi="arial" w:cs="arial"/>
          <w:color w:val="000000"/>
          <w:sz w:val="20"/>
          <w:lang w:val="en-US" w:eastAsia="en-US" w:bidi="ar-SA"/>
        </w:rPr>
        <w:t>  Dealing first with non-pecuniary damages, the plaintiff says that the present day upper limit is $315,000.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85</w:t>
      </w:r>
      <w:r>
        <w:rPr>
          <w:rFonts w:ascii="arial" w:eastAsia="arial" w:hAnsi="arial" w:cs="arial"/>
          <w:color w:val="000000"/>
          <w:sz w:val="20"/>
          <w:lang w:val="en-US" w:eastAsia="en-US" w:bidi="ar-SA"/>
        </w:rPr>
        <w:t>  The plaintiff argues that she has endured six years of vacillating, chronic, and disabling pain, fatigue and weakness. She does not know what she will be able to accomplish from day to day. Her social and recreational activities have been severely limited. She is restricted to going on short walks and drives and sedentary activities. The time that she spends with friends is limited because she is easily fatigued. It is unlikely that she will be able to have children, given her current condition. She has difficulties cooking and keeping house. The prognosis is poor. She is forever changed and diminished from her diligent and confident demeanour as a scientist to her current condition. The plaintiff says that $150,000 is an appropriate award for non-pecuniary 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86</w:t>
      </w:r>
      <w:r>
        <w:rPr>
          <w:rFonts w:ascii="arial" w:eastAsia="arial" w:hAnsi="arial" w:cs="arial"/>
          <w:color w:val="000000"/>
          <w:sz w:val="20"/>
          <w:lang w:val="en-US" w:eastAsia="en-US" w:bidi="ar-SA"/>
        </w:rPr>
        <w:t>  With respect to diminished earning capacity, the plaintiff seeks a to-trial diminished earning capacity award in the range of $245,000 and a future loss of capacity award in the range of $2 million. This is premised on Dr. Samuel's maximized potential salary of $136,365 in 2007. This is $26,000 below the average for top ten private research university salaries and about $7,000 above the average for top public research universities. It has been discounted with respect to future loss of earning capacity because Dr. Samuel expects that she will do some part-time, non-physical, flexible, paced work.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87</w:t>
      </w:r>
      <w:r>
        <w:rPr>
          <w:rFonts w:ascii="arial" w:eastAsia="arial" w:hAnsi="arial" w:cs="arial"/>
          <w:color w:val="000000"/>
          <w:sz w:val="20"/>
          <w:lang w:val="en-US" w:eastAsia="en-US" w:bidi="ar-SA"/>
        </w:rPr>
        <w:t>  With respect to future care, the plaintiff provided evidence that for her to attend an inpatient stay at Dr. Hurwitz's program at the UBC neuro-psychiatric unit as a non-Canadian, it would cost approximately $3,000 per day. Dr. Hurwitz recommends treatment which can extend up to 24 months or even longer. The plaintiff suggests a future care award for this treatment of $270,000, or 90 days of treatment.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88</w:t>
      </w:r>
      <w:r>
        <w:rPr>
          <w:rFonts w:ascii="arial" w:eastAsia="arial" w:hAnsi="arial" w:cs="arial"/>
          <w:color w:val="000000"/>
          <w:sz w:val="20"/>
          <w:lang w:val="en-US" w:eastAsia="en-US" w:bidi="ar-SA"/>
        </w:rPr>
        <w:t>  The plaintiff says that her husband has assumed a great many of the heavier household tasks. She estimates the cost of these tasks, were they provided by another, at $4,500 per year. The plaintiff says that this is a reasonable and medically necessary cost of future care which should be provided to Dr. Samuel indefinitely, given her poor prognosis for recovery. The plaintiff suggests that this be treated as a future care cost, rather than an in-trust award for her husband.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89</w:t>
      </w:r>
      <w:r>
        <w:rPr>
          <w:rFonts w:ascii="arial" w:eastAsia="arial" w:hAnsi="arial" w:cs="arial"/>
          <w:color w:val="000000"/>
          <w:sz w:val="20"/>
          <w:lang w:val="en-US" w:eastAsia="en-US" w:bidi="ar-SA"/>
        </w:rPr>
        <w:t>  The plaintiff has produced a schedule of special damages. The net amount claimed is $4,279.53.</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90</w:t>
      </w:r>
      <w:r>
        <w:rPr>
          <w:rFonts w:ascii="arial" w:eastAsia="arial" w:hAnsi="arial" w:cs="arial"/>
          <w:color w:val="000000"/>
          <w:sz w:val="20"/>
          <w:lang w:val="en-US" w:eastAsia="en-US" w:bidi="ar-SA"/>
        </w:rPr>
        <w:t>  The defendants argue that the plaintiff suffered mild, if any, injuries from the accident. The defendants say that if she suffered a somatoform disorder it was not caused by the accident, that those complaints which can be attributed to the accident were mild and short lived and that the plaintiff has exaggerated her condition. The defendants suggest an award of $10,000 should be made for all heads of 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91</w:t>
      </w:r>
      <w:r>
        <w:rPr>
          <w:rFonts w:ascii="arial" w:eastAsia="arial" w:hAnsi="arial" w:cs="arial"/>
          <w:color w:val="000000"/>
          <w:sz w:val="20"/>
          <w:lang w:val="en-US" w:eastAsia="en-US" w:bidi="ar-SA"/>
        </w:rPr>
        <w:t>  The defendant argues in the alternative that if the accident caused the somatoform disorder, the disorder would likely have developed in any event because the underlying cause was the plaintiff's inability to achieve her desired goals. She was "an overachiever", headed for a "meltdown" which would have happened in any event at Berkeley. The defence argues that damages on this scenario should be limited to $35,000 for all heads of 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92</w:t>
      </w:r>
      <w:r>
        <w:rPr>
          <w:rFonts w:ascii="arial" w:eastAsia="arial" w:hAnsi="arial" w:cs="arial"/>
          <w:color w:val="000000"/>
          <w:sz w:val="20"/>
          <w:lang w:val="en-US" w:eastAsia="en-US" w:bidi="ar-SA"/>
        </w:rPr>
        <w:t>  Finally, the defence suggests that if the accident caused the somatoform disorder which would not have happened in any event, non-pecuniary damages should be similar to other cases where individuals have had ongoing discomfort but are largely able to enjoy their life with little restriction. On this scenario, the defence suggests that non-pecuniary damages should be limited to $50,000.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93</w:t>
      </w:r>
      <w:r>
        <w:rPr>
          <w:rFonts w:ascii="arial" w:eastAsia="arial" w:hAnsi="arial" w:cs="arial"/>
          <w:color w:val="000000"/>
          <w:sz w:val="20"/>
          <w:lang w:val="en-US" w:eastAsia="en-US" w:bidi="ar-SA"/>
        </w:rPr>
        <w:t>  With respect to the cost of future care, the defence says that the maximum cost of future care should be in the range of $5,000, sufficient to cover 20 one-hour psychotherapy sessions with a registered psychologist or psychiatrist in California.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94</w:t>
      </w:r>
      <w:r>
        <w:rPr>
          <w:rFonts w:ascii="arial" w:eastAsia="arial" w:hAnsi="arial" w:cs="arial"/>
          <w:color w:val="000000"/>
          <w:sz w:val="20"/>
          <w:lang w:val="en-US" w:eastAsia="en-US" w:bidi="ar-SA"/>
        </w:rPr>
        <w:t>  With respect to loss of income, the defence argues that there is no loss of income because the accident did not cause a somatoform disorder or, alternatively, it would have occurred in any event within two years of the accident. Because the plaintiff was employed throughout this period, she has not lost income.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95</w:t>
      </w:r>
      <w:r>
        <w:rPr>
          <w:rFonts w:ascii="arial" w:eastAsia="arial" w:hAnsi="arial" w:cs="arial"/>
          <w:color w:val="000000"/>
          <w:sz w:val="20"/>
          <w:lang w:val="en-US" w:eastAsia="en-US" w:bidi="ar-SA"/>
        </w:rPr>
        <w:t>  If the court is satisfied that the plaintiff has suffered a somatoform disorder as a result of the accident which has caused and will cause ongoing loss of income, the defence suggests that an appropriate award would be $25,000 for past loss of income and $50,000 for future loss.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96</w:t>
      </w:r>
      <w:r>
        <w:rPr>
          <w:rFonts w:ascii="arial" w:eastAsia="arial" w:hAnsi="arial" w:cs="arial"/>
          <w:color w:val="000000"/>
          <w:sz w:val="20"/>
          <w:lang w:val="en-US" w:eastAsia="en-US" w:bidi="ar-SA"/>
        </w:rPr>
        <w:t>  Finally, the defence argues that the plaintiff has failed to mitigate her damages because she has not followed medical advice. The defence argues that she should have sought and obtained psychiatric treatment for her somatoform disorder.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ASSESSMENT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97</w:t>
      </w:r>
      <w:r>
        <w:rPr>
          <w:rFonts w:ascii="arial" w:eastAsia="arial" w:hAnsi="arial" w:cs="arial"/>
          <w:color w:val="000000"/>
          <w:sz w:val="20"/>
          <w:lang w:val="en-US" w:eastAsia="en-US" w:bidi="ar-SA"/>
        </w:rPr>
        <w:t>  I found the plaintiff to be a credible witness. She is not consciously exaggerating or simulating. As I have explained above, I am satisfied that the plaintiff's condition was caused by the accident. I am satisfied that the plaintiff is not consciously or unconsciously maintaining her complaints for any type of secondary gain. But for the accident, she would have vigorously pursued a career as a scientist and that is what she wishes she were doing now.</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Non-pecuniary 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98</w:t>
      </w:r>
      <w:r>
        <w:rPr>
          <w:rFonts w:ascii="arial" w:eastAsia="arial" w:hAnsi="arial" w:cs="arial"/>
          <w:color w:val="000000"/>
          <w:sz w:val="20"/>
          <w:lang w:val="en-US" w:eastAsia="en-US" w:bidi="ar-SA"/>
        </w:rPr>
        <w:t>  I have considered the cases with respect to non-pecuniary damages provided by each of the parties. In my view, $100,000 is an appropriate award for non-pecuniary damages in this case. As I have indicated, the accident has had a dramatic impact on the plaintiff. She is not able to pursue her life's dream of becoming a research scientist. She is not able to undertake any sustained activity. Her injuries, received in the motor vehicle accident have caused her to modify all aspects of her life. She is limited in the amount of exercise that she can undertake. Her husband does many of the household chores.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99</w:t>
      </w:r>
      <w:r>
        <w:rPr>
          <w:rFonts w:ascii="arial" w:eastAsia="arial" w:hAnsi="arial" w:cs="arial"/>
          <w:color w:val="000000"/>
          <w:sz w:val="20"/>
          <w:lang w:val="en-US" w:eastAsia="en-US" w:bidi="ar-SA"/>
        </w:rPr>
        <w:t>  However, Dr. Samuel is not as disabled as are some of the individuals in the cases to which I have been referred. She is able to cope with her complaints by limiting her activities, reducing her exposure to cold, et cetera. Accepting, as I do, Dr. Hurwitz's opinion, even if she is treated for her somatic disorder, she is likely to continue to suffer from depression which is likely to interfere with her enjoyment of life as well as her ability to obtain employment.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Loss of Income/Capacity to Earn Income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100</w:t>
      </w:r>
      <w:r>
        <w:rPr>
          <w:rFonts w:ascii="arial" w:eastAsia="arial" w:hAnsi="arial" w:cs="arial"/>
          <w:color w:val="000000"/>
          <w:sz w:val="20"/>
          <w:lang w:val="en-US" w:eastAsia="en-US" w:bidi="ar-SA"/>
        </w:rPr>
        <w:t xml:space="preserve">  The principles that the court is to apply when determining a loss of earning capacity are set out in </w:t>
      </w:r>
      <w:r>
        <w:rPr>
          <w:rFonts w:ascii="arial" w:eastAsia="arial" w:hAnsi="arial" w:cs="arial"/>
          <w:b/>
          <w:i/>
          <w:color w:val="000000"/>
          <w:sz w:val="20"/>
          <w:lang w:val="en-US" w:eastAsia="en-US" w:bidi="ar-SA"/>
        </w:rPr>
        <w:t>Rosvold v. Dunlop</w:t>
      </w:r>
      <w:r>
        <w:rPr>
          <w:rFonts w:ascii="arial" w:eastAsia="arial" w:hAnsi="arial" w:cs="arial"/>
          <w:color w:val="000000"/>
          <w:sz w:val="20"/>
          <w:lang w:val="en-US" w:eastAsia="en-US" w:bidi="ar-SA"/>
        </w:rPr>
        <w:t xml:space="preserve">, </w:t>
      </w:r>
      <w:hyperlink r:id="rId587" w:history="1">
        <w:r>
          <w:rPr>
            <w:rFonts w:ascii="arial" w:eastAsia="arial" w:hAnsi="arial" w:cs="arial"/>
            <w:i/>
            <w:color w:val="0077CC"/>
            <w:sz w:val="20"/>
            <w:u w:val="single"/>
            <w:shd w:val="clear" w:color="auto" w:fill="FFFFFF"/>
            <w:lang w:val="en-US" w:eastAsia="en-US" w:bidi="ar-SA"/>
          </w:rPr>
          <w:t>2001 BCCA 1</w:t>
        </w:r>
      </w:hyperlink>
      <w:r>
        <w:rPr>
          <w:rFonts w:ascii="arial" w:eastAsia="arial" w:hAnsi="arial" w:cs="arial"/>
          <w:color w:val="000000"/>
          <w:sz w:val="20"/>
          <w:lang w:val="en-US" w:eastAsia="en-US" w:bidi="ar-SA"/>
        </w:rPr>
        <w:t xml:space="preserve">, </w:t>
      </w:r>
      <w:hyperlink r:id="rId587" w:history="1">
        <w:r>
          <w:rPr>
            <w:rFonts w:ascii="arial" w:eastAsia="arial" w:hAnsi="arial" w:cs="arial"/>
            <w:i/>
            <w:color w:val="0077CC"/>
            <w:sz w:val="20"/>
            <w:u w:val="single"/>
            <w:shd w:val="clear" w:color="auto" w:fill="FFFFFF"/>
            <w:lang w:val="en-US" w:eastAsia="en-US" w:bidi="ar-SA"/>
          </w:rPr>
          <w:t>84 B.C.L.R. (3d) 158</w:t>
        </w:r>
      </w:hyperlink>
      <w:r>
        <w:rPr>
          <w:rFonts w:ascii="arial" w:eastAsia="arial" w:hAnsi="arial" w:cs="arial"/>
          <w:color w:val="000000"/>
          <w:sz w:val="20"/>
          <w:lang w:val="en-US" w:eastAsia="en-US" w:bidi="ar-SA"/>
        </w:rPr>
        <w:t xml:space="preserve"> at paras. 8, 11, and 18:</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most basic of those principles is that a plaintiff is entitled to be put into the position he would have been in but for the accident so far as money can do that. An award for loss of earning capacity is based on the recognition that a plaintiff's capacity to earn income is an asset which has been taken away: </w:t>
      </w:r>
      <w:r>
        <w:rPr>
          <w:rFonts w:ascii="arial" w:eastAsia="arial" w:hAnsi="arial" w:cs="arial"/>
          <w:b/>
          <w:i/>
          <w:color w:val="000000"/>
          <w:sz w:val="20"/>
          <w:lang w:val="en-US" w:eastAsia="en-US" w:bidi="ar-SA"/>
        </w:rPr>
        <w:t>Andrews v. Grand &amp; Toy Alberta Ltd</w:t>
      </w:r>
      <w:r>
        <w:rPr>
          <w:rFonts w:ascii="arial" w:eastAsia="arial" w:hAnsi="arial" w:cs="arial"/>
          <w:i/>
          <w:color w:val="000000"/>
          <w:sz w:val="20"/>
          <w:lang w:val="en-US" w:eastAsia="en-US" w:bidi="ar-SA"/>
        </w:rPr>
        <w:t>.</w:t>
      </w:r>
      <w:r>
        <w:rPr>
          <w:rFonts w:ascii="arial" w:eastAsia="arial" w:hAnsi="arial" w:cs="arial"/>
          <w:color w:val="000000"/>
          <w:sz w:val="20"/>
          <w:lang w:val="en-US" w:eastAsia="en-US" w:bidi="ar-SA"/>
        </w:rPr>
        <w:t xml:space="preserve">, </w:t>
      </w:r>
      <w:hyperlink r:id="rId594" w:history="1">
        <w:r>
          <w:rPr>
            <w:rFonts w:ascii="arial" w:eastAsia="arial" w:hAnsi="arial" w:cs="arial"/>
            <w:i/>
            <w:color w:val="0077CC"/>
            <w:sz w:val="20"/>
            <w:u w:val="single"/>
            <w:shd w:val="clear" w:color="auto" w:fill="FFFFFF"/>
            <w:lang w:val="en-US" w:eastAsia="en-US" w:bidi="ar-SA"/>
          </w:rPr>
          <w:t>[1978] 2 S.C.R. 229</w:t>
        </w:r>
      </w:hyperlink>
      <w:r>
        <w:rPr>
          <w:rFonts w:ascii="arial" w:eastAsia="arial" w:hAnsi="arial" w:cs="arial"/>
          <w:color w:val="000000"/>
          <w:sz w:val="20"/>
          <w:lang w:val="en-US" w:eastAsia="en-US" w:bidi="ar-SA"/>
        </w:rPr>
        <w:t xml:space="preserve">; </w:t>
      </w:r>
      <w:r>
        <w:rPr>
          <w:rFonts w:ascii="arial" w:eastAsia="arial" w:hAnsi="arial" w:cs="arial"/>
          <w:b/>
          <w:i/>
          <w:color w:val="000000"/>
          <w:sz w:val="20"/>
          <w:lang w:val="en-US" w:eastAsia="en-US" w:bidi="ar-SA"/>
        </w:rPr>
        <w:t>Parypa v. Wickware</w:t>
      </w:r>
      <w:r>
        <w:rPr>
          <w:rFonts w:ascii="arial" w:eastAsia="arial" w:hAnsi="arial" w:cs="arial"/>
          <w:color w:val="000000"/>
          <w:sz w:val="20"/>
          <w:lang w:val="en-US" w:eastAsia="en-US" w:bidi="ar-SA"/>
        </w:rPr>
        <w:t xml:space="preserve"> </w:t>
      </w:r>
      <w:hyperlink r:id="rId589" w:history="1">
        <w:r>
          <w:rPr>
            <w:rFonts w:ascii="arial" w:eastAsia="arial" w:hAnsi="arial" w:cs="arial"/>
            <w:i/>
            <w:color w:val="0077CC"/>
            <w:sz w:val="20"/>
            <w:u w:val="single"/>
            <w:shd w:val="clear" w:color="auto" w:fill="FFFFFF"/>
            <w:lang w:val="en-US" w:eastAsia="en-US" w:bidi="ar-SA"/>
          </w:rPr>
          <w:t>(1999), 65 B.C.L.R. (3d) 155</w:t>
        </w:r>
      </w:hyperlink>
      <w:r>
        <w:rPr>
          <w:rFonts w:ascii="arial" w:eastAsia="arial" w:hAnsi="arial" w:cs="arial"/>
          <w:color w:val="000000"/>
          <w:sz w:val="20"/>
          <w:lang w:val="en-US" w:eastAsia="en-US" w:bidi="ar-SA"/>
        </w:rPr>
        <w:t xml:space="preserve"> (C.A.). Where a plaintiff's permanent injury limits him in his capacity to perform certain activities and consequently impairs his income earning capacity, he is entitled to compensation. What is being compensated is not lost projected future earnings but the loss or impairment of earning capacity as a capital asset. In some cases, projections from past earnings may be a useful factor to consider in valuing the loss but past earnings are not the only factor to consider.</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task of the court is to assess damages, not to calculate them according to some mathematical formula: </w:t>
      </w:r>
      <w:r>
        <w:rPr>
          <w:rFonts w:ascii="arial" w:eastAsia="arial" w:hAnsi="arial" w:cs="arial"/>
          <w:b/>
          <w:i/>
          <w:color w:val="000000"/>
          <w:sz w:val="20"/>
          <w:lang w:val="en-US" w:eastAsia="en-US" w:bidi="ar-SA"/>
        </w:rPr>
        <w:t>Mulholland (Guardian ad litem of) v. Riley Estate</w:t>
      </w:r>
      <w:r>
        <w:rPr>
          <w:rFonts w:ascii="arial" w:eastAsia="arial" w:hAnsi="arial" w:cs="arial"/>
          <w:color w:val="000000"/>
          <w:sz w:val="20"/>
          <w:lang w:val="en-US" w:eastAsia="en-US" w:bidi="ar-SA"/>
        </w:rPr>
        <w:t xml:space="preserve"> </w:t>
      </w:r>
      <w:hyperlink r:id="rId615" w:history="1">
        <w:r>
          <w:rPr>
            <w:rFonts w:ascii="arial" w:eastAsia="arial" w:hAnsi="arial" w:cs="arial"/>
            <w:i/>
            <w:color w:val="0077CC"/>
            <w:sz w:val="20"/>
            <w:u w:val="single"/>
            <w:shd w:val="clear" w:color="auto" w:fill="FFFFFF"/>
            <w:lang w:val="en-US" w:eastAsia="en-US" w:bidi="ar-SA"/>
          </w:rPr>
          <w:t>(1995), 12 B.C.L.R. (3d) 248</w:t>
        </w:r>
      </w:hyperlink>
      <w:r>
        <w:rPr>
          <w:rFonts w:ascii="arial" w:eastAsia="arial" w:hAnsi="arial" w:cs="arial"/>
          <w:color w:val="000000"/>
          <w:sz w:val="20"/>
          <w:lang w:val="en-US" w:eastAsia="en-US" w:bidi="ar-SA"/>
        </w:rPr>
        <w:t xml:space="preserve"> (C.A.). Once impairment of a plaintiff's earning capacity as a capital asset has been established, that impairment must be valued. The valuation may involve a comparison of the likely future of the plaintiff if the accident had not happened with the plaintiff's likely future after the accident has happened. As a starting point, a trial judge may determine the present value of the difference between the amounts earned under those two scenarios. But if this is done, it is not to be the end of the inquiry: </w:t>
      </w:r>
      <w:r>
        <w:rPr>
          <w:rFonts w:ascii="arial" w:eastAsia="arial" w:hAnsi="arial" w:cs="arial"/>
          <w:b/>
          <w:i/>
          <w:color w:val="000000"/>
          <w:sz w:val="20"/>
          <w:lang w:val="en-US" w:eastAsia="en-US" w:bidi="ar-SA"/>
        </w:rPr>
        <w:t>Ryder (Guardian ad litem of) v. Jubbal</w:t>
      </w:r>
      <w:r>
        <w:rPr>
          <w:rFonts w:ascii="arial" w:eastAsia="arial" w:hAnsi="arial" w:cs="arial"/>
          <w:color w:val="000000"/>
          <w:sz w:val="20"/>
          <w:lang w:val="en-US" w:eastAsia="en-US" w:bidi="ar-SA"/>
        </w:rPr>
        <w:t xml:space="preserve">, </w:t>
      </w:r>
      <w:hyperlink r:id="rId616" w:history="1">
        <w:r>
          <w:rPr>
            <w:rFonts w:ascii="arial" w:eastAsia="arial" w:hAnsi="arial" w:cs="arial"/>
            <w:i/>
            <w:color w:val="0077CC"/>
            <w:sz w:val="20"/>
            <w:u w:val="single"/>
            <w:shd w:val="clear" w:color="auto" w:fill="FFFFFF"/>
            <w:lang w:val="en-US" w:eastAsia="en-US" w:bidi="ar-SA"/>
          </w:rPr>
          <w:t>[1995] B.C.J. No. 644</w:t>
        </w:r>
      </w:hyperlink>
      <w:r>
        <w:rPr>
          <w:rFonts w:ascii="arial" w:eastAsia="arial" w:hAnsi="arial" w:cs="arial"/>
          <w:color w:val="000000"/>
          <w:sz w:val="20"/>
          <w:lang w:val="en-US" w:eastAsia="en-US" w:bidi="ar-SA"/>
        </w:rPr>
        <w:t xml:space="preserve"> (C.A.) (Q.L.); </w:t>
      </w:r>
      <w:r>
        <w:rPr>
          <w:rFonts w:ascii="arial" w:eastAsia="arial" w:hAnsi="arial" w:cs="arial"/>
          <w:b/>
          <w:i/>
          <w:color w:val="000000"/>
          <w:sz w:val="20"/>
          <w:lang w:val="en-US" w:eastAsia="en-US" w:bidi="ar-SA"/>
        </w:rPr>
        <w:t>Parypa v. Wickware</w:t>
      </w:r>
      <w:r>
        <w:rPr>
          <w:rFonts w:ascii="arial" w:eastAsia="arial" w:hAnsi="arial" w:cs="arial"/>
          <w:i/>
          <w:color w:val="000000"/>
          <w:sz w:val="20"/>
          <w:lang w:val="en-US" w:eastAsia="en-US" w:bidi="ar-SA"/>
        </w:rPr>
        <w:t>, supra</w:t>
      </w:r>
      <w:r>
        <w:rPr>
          <w:rFonts w:ascii="arial" w:eastAsia="arial" w:hAnsi="arial" w:cs="arial"/>
          <w:color w:val="000000"/>
          <w:sz w:val="20"/>
          <w:lang w:val="en-US" w:eastAsia="en-US" w:bidi="ar-SA"/>
        </w:rPr>
        <w:t>. The overall fairness and reasonableness of the award must be considered taking into account all the evidence.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The assessment of damages is a matter of judgment, not calculation.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101</w:t>
      </w:r>
      <w:r>
        <w:rPr>
          <w:rFonts w:ascii="arial" w:eastAsia="arial" w:hAnsi="arial" w:cs="arial"/>
          <w:color w:val="000000"/>
          <w:sz w:val="20"/>
          <w:lang w:val="en-US" w:eastAsia="en-US" w:bidi="ar-SA"/>
        </w:rPr>
        <w:t>  The plaintiff's past and future income report assumes that were it not for the accident, Dr. Samuel would have pursued a career as a university professor in a top tier U.S. University or as a biochemist in scientific research and development. It assumes that she would have obtained her PhD by the end of 2002, worked as a post-doctoral fellow for 2 years (2003-2004) and would have obtained employment as a tenure-track assistant professor with a top tier university or as a biochemist by 2005. From 2005 onward it assumes that Dr. Samuel would have eventually advanced to become a tenured full professor or biochemist and would have continued working in this capacity through to her retirement at age 65.</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102</w:t>
      </w:r>
      <w:r>
        <w:rPr>
          <w:rFonts w:ascii="arial" w:eastAsia="arial" w:hAnsi="arial" w:cs="arial"/>
          <w:color w:val="000000"/>
          <w:sz w:val="20"/>
          <w:lang w:val="en-US" w:eastAsia="en-US" w:bidi="ar-SA"/>
        </w:rPr>
        <w:t>  Using these assumptions, the plaintiff estimates her loss of past and future income as: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 tenured university professor for a top research university: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941"/>
        <w:gridCol w:w="419"/>
        <w:gridCol w:w="3346"/>
        <w:gridCol w:w="2404"/>
        <w:gridCol w:w="33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922"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1.</w:t>
            </w:r>
          </w:p>
        </w:tc>
        <w:tc>
          <w:tcPr>
            <w:tcW w:w="410"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3277"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Past income loss:</w:t>
            </w:r>
          </w:p>
        </w:tc>
        <w:tc>
          <w:tcPr>
            <w:tcW w:w="2355"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$ 244,286</w:t>
            </w:r>
          </w:p>
        </w:tc>
        <w:tc>
          <w:tcPr>
            <w:tcW w:w="3277"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941"/>
        <w:gridCol w:w="419"/>
        <w:gridCol w:w="3346"/>
        <w:gridCol w:w="2404"/>
        <w:gridCol w:w="33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922"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2.</w:t>
            </w:r>
          </w:p>
        </w:tc>
        <w:tc>
          <w:tcPr>
            <w:tcW w:w="410"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3277"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Future income loss:</w:t>
            </w:r>
          </w:p>
        </w:tc>
        <w:tc>
          <w:tcPr>
            <w:tcW w:w="2355"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$1,972,731</w:t>
            </w:r>
          </w:p>
        </w:tc>
        <w:tc>
          <w:tcPr>
            <w:tcW w:w="3277"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922"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410"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3277"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2355"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w:t>
            </w:r>
          </w:p>
        </w:tc>
        <w:tc>
          <w:tcPr>
            <w:tcW w:w="3277"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922"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410"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3277"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Total:</w:t>
            </w:r>
          </w:p>
        </w:tc>
        <w:tc>
          <w:tcPr>
            <w:tcW w:w="2355"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$2,217,017</w:t>
            </w:r>
          </w:p>
        </w:tc>
        <w:tc>
          <w:tcPr>
            <w:tcW w:w="3277" w:type="dxa"/>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bl>
    <w:p>
      <w:pPr>
        <w:rPr>
          <w:rFonts w:ascii="arial" w:eastAsia="arial" w:hAnsi="arial" w:cs="arial"/>
          <w:sz w:val="20"/>
          <w:lang w:val="en-US" w:eastAsia="en-US" w:bidi="ar-SA"/>
        </w:rPr>
      </w:pP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 biochemist employed in scientific research and development services: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941"/>
        <w:gridCol w:w="419"/>
        <w:gridCol w:w="3346"/>
        <w:gridCol w:w="2404"/>
        <w:gridCol w:w="33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922"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1.</w:t>
            </w:r>
          </w:p>
        </w:tc>
        <w:tc>
          <w:tcPr>
            <w:tcW w:w="410"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3277"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Past income loss:</w:t>
            </w:r>
          </w:p>
        </w:tc>
        <w:tc>
          <w:tcPr>
            <w:tcW w:w="2355"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$ 248,236</w:t>
            </w:r>
          </w:p>
        </w:tc>
        <w:tc>
          <w:tcPr>
            <w:tcW w:w="3277"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941"/>
        <w:gridCol w:w="419"/>
        <w:gridCol w:w="3346"/>
        <w:gridCol w:w="2404"/>
        <w:gridCol w:w="33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922"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2.</w:t>
            </w:r>
          </w:p>
        </w:tc>
        <w:tc>
          <w:tcPr>
            <w:tcW w:w="410"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3277"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Future income loss:</w:t>
            </w:r>
          </w:p>
        </w:tc>
        <w:tc>
          <w:tcPr>
            <w:tcW w:w="2355"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$1,764,283</w:t>
            </w:r>
          </w:p>
        </w:tc>
        <w:tc>
          <w:tcPr>
            <w:tcW w:w="3277"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922"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410"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3277"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2355"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w:t>
            </w:r>
          </w:p>
        </w:tc>
        <w:tc>
          <w:tcPr>
            <w:tcW w:w="3277"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922"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410"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3277"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Total:</w:t>
            </w:r>
          </w:p>
        </w:tc>
        <w:tc>
          <w:tcPr>
            <w:tcW w:w="2355"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$2,012,518</w:t>
            </w:r>
          </w:p>
        </w:tc>
        <w:tc>
          <w:tcPr>
            <w:tcW w:w="3277" w:type="dxa"/>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103</w:t>
      </w:r>
      <w:r>
        <w:rPr>
          <w:rFonts w:ascii="arial" w:eastAsia="arial" w:hAnsi="arial" w:cs="arial"/>
          <w:color w:val="000000"/>
          <w:sz w:val="20"/>
          <w:lang w:val="en-US" w:eastAsia="en-US" w:bidi="ar-SA"/>
        </w:rPr>
        <w:t>  Each of these assumes that Dr. Samuel will be able to work in the future on a part-time basis and will earn what an average American female with a Bachelor's degree would earn, which totals $476,650 to age 65.</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104</w:t>
      </w:r>
      <w:r>
        <w:rPr>
          <w:rFonts w:ascii="arial" w:eastAsia="arial" w:hAnsi="arial" w:cs="arial"/>
          <w:color w:val="000000"/>
          <w:sz w:val="20"/>
          <w:lang w:val="en-US" w:eastAsia="en-US" w:bidi="ar-SA"/>
        </w:rPr>
        <w:t>  The defence takes issue with these calculations. The defence says that the plaintiff's potential future earnings are exaggerated in that they anticipate that she would have become employed at one of the highest paying university or industry positions in the United States and would have been less likely than average to spend time away from her occupation: in other words, that the estimates portray the rosiest possible outcome for Dr. Samuel.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105</w:t>
      </w:r>
      <w:r>
        <w:rPr>
          <w:rFonts w:ascii="arial" w:eastAsia="arial" w:hAnsi="arial" w:cs="arial"/>
          <w:color w:val="000000"/>
          <w:sz w:val="20"/>
          <w:lang w:val="en-US" w:eastAsia="en-US" w:bidi="ar-SA"/>
        </w:rPr>
        <w:t>  I am satisfied that the plaintiff has suffered a significant loss, whether the loss is termed a loss of opportunity or a loss of capacity. Dr. Samuel has an injury, which limits her capacity to perform certain activities and impairs her ability to earn income.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106</w:t>
      </w:r>
      <w:r>
        <w:rPr>
          <w:rFonts w:ascii="arial" w:eastAsia="arial" w:hAnsi="arial" w:cs="arial"/>
          <w:color w:val="000000"/>
          <w:sz w:val="20"/>
          <w:lang w:val="en-US" w:eastAsia="en-US" w:bidi="ar-SA"/>
        </w:rPr>
        <w:t xml:space="preserve">  The Court of Appeal has repeatedly warned against taking "too mathematical" an approach when assessing damages for loss of capacity. For example, in </w:t>
      </w:r>
      <w:r>
        <w:rPr>
          <w:rFonts w:ascii="arial" w:eastAsia="arial" w:hAnsi="arial" w:cs="arial"/>
          <w:b/>
          <w:i/>
          <w:color w:val="000000"/>
          <w:sz w:val="20"/>
          <w:lang w:val="en-US" w:eastAsia="en-US" w:bidi="ar-SA"/>
        </w:rPr>
        <w:t>Pallos v. I.C.B.C.</w:t>
      </w:r>
      <w:r>
        <w:rPr>
          <w:rFonts w:ascii="arial" w:eastAsia="arial" w:hAnsi="arial" w:cs="arial"/>
          <w:color w:val="000000"/>
          <w:sz w:val="20"/>
          <w:lang w:val="en-US" w:eastAsia="en-US" w:bidi="ar-SA"/>
        </w:rPr>
        <w:t xml:space="preserve"> </w:t>
      </w:r>
      <w:hyperlink r:id="rId626" w:history="1">
        <w:r>
          <w:rPr>
            <w:rFonts w:ascii="arial" w:eastAsia="arial" w:hAnsi="arial" w:cs="arial"/>
            <w:i/>
            <w:color w:val="0077CC"/>
            <w:sz w:val="20"/>
            <w:u w:val="single"/>
            <w:shd w:val="clear" w:color="auto" w:fill="FFFFFF"/>
            <w:lang w:val="en-US" w:eastAsia="en-US" w:bidi="ar-SA"/>
          </w:rPr>
          <w:t>(1995), 100 B.C.L.R. (2d) 260</w:t>
        </w:r>
      </w:hyperlink>
      <w:r>
        <w:rPr>
          <w:rFonts w:ascii="arial" w:eastAsia="arial" w:hAnsi="arial" w:cs="arial"/>
          <w:color w:val="000000"/>
          <w:sz w:val="20"/>
          <w:lang w:val="en-US" w:eastAsia="en-US" w:bidi="ar-SA"/>
        </w:rPr>
        <w:t xml:space="preserve"> (C.A.) at para. 43, the court stated the following:</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cases to which we were referred suggest various means assigning a dollar value to the loss of capacity to earn income. One method is to postulate a minimum annual income loss for the plaintiff's remaining years of work, to multiply the annual projected loss times the number of years remaining, and to calculate a present value of this sum. Another is to award the plaintiff's entire annual income for one or more years. Another is to award the present value of some nominal percentage loss per annum applied against the plaintiff's expected annual income. In the end, all of these methods seem equally arbitrary. It has, however, often been said that the difficulty of making a fair assessment of damages cannot relieve the court of its duty to do so.</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107</w:t>
      </w:r>
      <w:r>
        <w:rPr>
          <w:rFonts w:ascii="arial" w:eastAsia="arial" w:hAnsi="arial" w:cs="arial"/>
          <w:color w:val="000000"/>
          <w:sz w:val="20"/>
          <w:lang w:val="en-US" w:eastAsia="en-US" w:bidi="ar-SA"/>
        </w:rPr>
        <w:t>  I take heed of the defendant's argument that the plaintiff's calculations present a rosy picture of the plaintiff's future, both as to the position that she was likely to have achieved and the earnings she was likely to have received, as well as the extent to which she would have participated in the workforce, protected from such events as part-time work, maternity leaves, et cetera. However, the plaintiff's calculations are only a means of measuring the extent of the plaintiff's loss of capacity. I accept Dr. Hurwitz's opinion that Dr. Samuel is not currently capable of competitive gainful employment. I also accept his opinion that "... chronic conversion disorder, such as demonstrated by Dr. Samuel, usually evolves into a chronic depressive illness. Despite treatment, the majority of these patients fail to return to work." Accordingly, it is unlikely that Dr. Samuel will earn any significant amount over the course of her lifetime.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108</w:t>
      </w:r>
      <w:r>
        <w:rPr>
          <w:rFonts w:ascii="arial" w:eastAsia="arial" w:hAnsi="arial" w:cs="arial"/>
          <w:color w:val="000000"/>
          <w:sz w:val="20"/>
          <w:lang w:val="en-US" w:eastAsia="en-US" w:bidi="ar-SA"/>
        </w:rPr>
        <w:t>  I am satisfied that but for the accident she would have completed her post-doctoral studies at Dr. Bertozzi's lab in Berkeley. I am also satisfied that following completion of her post-doctoral studies she would eventually have found work commensurate with her interests and educational background, either as a research chemist or as a university professor. I expect that she would have worked until age 65, given her enthusiasm for chemistry and research. It may be that she would not have been employed in a "top tier U.S. university" or as a biochemist at a top-paying institution.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109</w:t>
      </w:r>
      <w:r>
        <w:rPr>
          <w:rFonts w:ascii="arial" w:eastAsia="arial" w:hAnsi="arial" w:cs="arial"/>
          <w:color w:val="000000"/>
          <w:sz w:val="20"/>
          <w:lang w:val="en-US" w:eastAsia="en-US" w:bidi="ar-SA"/>
        </w:rPr>
        <w:t>  How much would she have earned? Mr. Benning, in his report, indicates that using a 2003 American Chemical Society salary survey, biochemists with a PhD degree working in industry earned between $70,000 and $125,000 per year, which is equivalent to $80,824-$144,828 in 2008 dollars. Using the lowest of these numbers, $80,824, the current value of Dr. Samuel's loss to age 65 is $1,524,000.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110</w:t>
      </w:r>
      <w:r>
        <w:rPr>
          <w:rFonts w:ascii="arial" w:eastAsia="arial" w:hAnsi="arial" w:cs="arial"/>
          <w:color w:val="000000"/>
          <w:sz w:val="20"/>
          <w:lang w:val="en-US" w:eastAsia="en-US" w:bidi="ar-SA"/>
        </w:rPr>
        <w:t>  Assessing her loss as best I am able, considering both positive and negative contingencies, and the overall fairness and reasonableness of the award, in my view, $1,000,000 is appropriate for Dr. Samuel's loss of future earning capacity.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111</w:t>
      </w:r>
      <w:r>
        <w:rPr>
          <w:rFonts w:ascii="arial" w:eastAsia="arial" w:hAnsi="arial" w:cs="arial"/>
          <w:color w:val="000000"/>
          <w:sz w:val="20"/>
          <w:lang w:val="en-US" w:eastAsia="en-US" w:bidi="ar-SA"/>
        </w:rPr>
        <w:t xml:space="preserve">  Turning now to past loss of income, again, the plaintiff's calculations are very optimistic, assuming immediate highly paid employment. I think it likely that without the accident, Dr. Samuel would have stayed for two years at Dr. Bertozzi's lab, and then would have found employment at a university or lab. This may not have occurred immediately, but I am satisfied that ultimately she would have achieved employment in her chosen area. This, too, is a hypothetical loss, because we do not know exactly what would have happened. Dr. Samuel had not yet completed her post-doctoral studies and achieved full employment. This loss, too, must be given weight according to its relative likelihood: </w:t>
      </w:r>
      <w:r>
        <w:rPr>
          <w:rFonts w:ascii="arial" w:eastAsia="arial" w:hAnsi="arial" w:cs="arial"/>
          <w:b/>
          <w:i/>
          <w:color w:val="000000"/>
          <w:sz w:val="20"/>
          <w:lang w:val="en-US" w:eastAsia="en-US" w:bidi="ar-SA"/>
        </w:rPr>
        <w:t>Smith v. Knudsen</w:t>
      </w:r>
      <w:r>
        <w:rPr>
          <w:rFonts w:ascii="arial" w:eastAsia="arial" w:hAnsi="arial" w:cs="arial"/>
          <w:color w:val="000000"/>
          <w:sz w:val="20"/>
          <w:lang w:val="en-US" w:eastAsia="en-US" w:bidi="ar-SA"/>
        </w:rPr>
        <w:t xml:space="preserve">, </w:t>
      </w:r>
      <w:hyperlink r:id="rId627" w:history="1">
        <w:r>
          <w:rPr>
            <w:rFonts w:ascii="arial" w:eastAsia="arial" w:hAnsi="arial" w:cs="arial"/>
            <w:i/>
            <w:color w:val="0077CC"/>
            <w:sz w:val="20"/>
            <w:u w:val="single"/>
            <w:shd w:val="clear" w:color="auto" w:fill="FFFFFF"/>
            <w:lang w:val="en-US" w:eastAsia="en-US" w:bidi="ar-SA"/>
          </w:rPr>
          <w:t>2004 BCCA 613</w:t>
        </w:r>
      </w:hyperlink>
      <w:r>
        <w:rPr>
          <w:rFonts w:ascii="arial" w:eastAsia="arial" w:hAnsi="arial" w:cs="arial"/>
          <w:color w:val="000000"/>
          <w:sz w:val="20"/>
          <w:lang w:val="en-US" w:eastAsia="en-US" w:bidi="ar-SA"/>
        </w:rPr>
        <w:t>. Assessing this loss as best I am able, in my view an appropriate award for the loss to the date of trial is $150,000.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112</w:t>
      </w:r>
      <w:r>
        <w:rPr>
          <w:rFonts w:ascii="arial" w:eastAsia="arial" w:hAnsi="arial" w:cs="arial"/>
          <w:color w:val="000000"/>
          <w:sz w:val="20"/>
          <w:lang w:val="en-US" w:eastAsia="en-US" w:bidi="ar-SA"/>
        </w:rPr>
        <w:t>  Dr. Samuel has earned very little since her post-doctoral studies ended and I have already considered this in fixing the award at $150,000.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113</w:t>
      </w:r>
      <w:r>
        <w:rPr>
          <w:rFonts w:ascii="arial" w:eastAsia="arial" w:hAnsi="arial" w:cs="arial"/>
          <w:color w:val="000000"/>
          <w:sz w:val="20"/>
          <w:lang w:val="en-US" w:eastAsia="en-US" w:bidi="ar-SA"/>
        </w:rPr>
        <w:t>  The defence argues that Dr. Samuel has failed to mitigate her losses by failing to seek appropriate employment. The defence argues that Dr. Samuel would be able to perform full-time teaching duties, that it is lab work which aggravates her symptoms. I do not accept this submission. Dr. Samuel has looked widely for work which she could do which would not aggravate her symptoms. She has been largely unsuccessful. She did some unpaid part-time work at the Technology Transfer Office at Berkeley. She took a tax course through H &amp; R Block from September to December 2005, and worked for H &amp; R Block preparing tax returns from January to April 2006 working three hours per day, four days per week. She has qualified as a real estate agent, but has had no sales, and has no listings. She has taught herself web site design. None of these were physically demanding or involved full-time attendance. For the most part, they are activities performed from home, as she is able. In my view it is not realistic at this time to suggest that Dr. Samuel is able to do full-time teaching.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Cost of future care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114</w:t>
      </w:r>
      <w:r>
        <w:rPr>
          <w:rFonts w:ascii="arial" w:eastAsia="arial" w:hAnsi="arial" w:cs="arial"/>
          <w:color w:val="000000"/>
          <w:sz w:val="20"/>
          <w:lang w:val="en-US" w:eastAsia="en-US" w:bidi="ar-SA"/>
        </w:rPr>
        <w:t>  The plaintiff suggests an award of $270,000 for future care, to provide 90 days of treatment in Dr. Hurwitz's program. However, Dr. Samuel has steadfastly rejected any suggestion, including Dr. Hurwitz's opinion, that she has a psychiatric problem. She specifically rejected his opinion: "I just don't agree with it". Although she initially indicated that she would be willing to consider taking Dr. Hurwitz's treatment, she was referring to taking medication, not the extensive residential program which is the heart of Dr. Hurwitz's program. Secondly, she qualified her willingness: I would want to know more about the medications; I would want to know the risks involved with the medications; I would not want to go from physically disabled to mentally disabled (referring to the prospect of residual depression). I conclude that Dr. Samuel at most would be prepared to consider trying other medications, but that is not what the Hurwitz program entails. I conclude that there is no real possibility that she would take the treatment offered at Dr. Hurwitz's clinic. It would not be appropriate to make an award for future care that the plaintiff will not take.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115</w:t>
      </w:r>
      <w:r>
        <w:rPr>
          <w:rFonts w:ascii="arial" w:eastAsia="arial" w:hAnsi="arial" w:cs="arial"/>
          <w:color w:val="000000"/>
          <w:sz w:val="20"/>
          <w:lang w:val="en-US" w:eastAsia="en-US" w:bidi="ar-SA"/>
        </w:rPr>
        <w:t>  I am satisfied that she will require further psychiatric care. I accept the defendant's approach of providing a sum for psychiatric counselling, although in my view, the plaintiff will require longer care than the defendant suggests. I will award the plaintiff $25,000 to cover future psychiatric care.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Loss of housekeeping capacity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116</w:t>
      </w:r>
      <w:r>
        <w:rPr>
          <w:rFonts w:ascii="arial" w:eastAsia="arial" w:hAnsi="arial" w:cs="arial"/>
          <w:color w:val="000000"/>
          <w:sz w:val="20"/>
          <w:lang w:val="en-US" w:eastAsia="en-US" w:bidi="ar-SA"/>
        </w:rPr>
        <w:t>  With respect to loss of housekeeping capacity, Dr. Samuel is not currently able to do heavy housekeeping. The plaintiff has provided estimates of $4,400 to $6,200 per year to have these services provided. However, if Dr. Samuel is successfully treated, I expect that she would be able to perform housekeeping duties. Her limitations are not physical. Assuming that treatment requires some time to effect, and recognizing that without the accident, working full-time, Dr. Samuel would not likely have performed all of these tasks herself, I will award $15,000 for loss of housekeeping capacity.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Special 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117</w:t>
      </w:r>
      <w:r>
        <w:rPr>
          <w:rFonts w:ascii="arial" w:eastAsia="arial" w:hAnsi="arial" w:cs="arial"/>
          <w:color w:val="000000"/>
          <w:sz w:val="20"/>
          <w:lang w:val="en-US" w:eastAsia="en-US" w:bidi="ar-SA"/>
        </w:rPr>
        <w:t>  The plaintiff has the requested special damages of $4,279.53.</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SUMMARY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118</w:t>
      </w:r>
      <w:r>
        <w:rPr>
          <w:rFonts w:ascii="arial" w:eastAsia="arial" w:hAnsi="arial" w:cs="arial"/>
          <w:color w:val="000000"/>
          <w:sz w:val="20"/>
          <w:lang w:val="en-US" w:eastAsia="en-US" w:bidi="ar-SA"/>
        </w:rPr>
        <w:t>  I award the plaintiff: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732"/>
        <w:gridCol w:w="3346"/>
        <w:gridCol w:w="2405"/>
        <w:gridCol w:w="33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17"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(i)</w:t>
            </w:r>
          </w:p>
        </w:tc>
        <w:tc>
          <w:tcPr>
            <w:tcW w:w="3277"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Non-pecuniary damages</w:t>
            </w:r>
          </w:p>
        </w:tc>
        <w:tc>
          <w:tcPr>
            <w:tcW w:w="2355"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$ 100,000.00</w:t>
            </w:r>
          </w:p>
        </w:tc>
        <w:tc>
          <w:tcPr>
            <w:tcW w:w="3277"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numPr>
          <w:numId w:val="10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Loss of income/capacity: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1359"/>
        <w:gridCol w:w="2405"/>
        <w:gridCol w:w="3346"/>
        <w:gridCol w:w="33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1331"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235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Future:</w:t>
            </w:r>
          </w:p>
        </w:tc>
        <w:tc>
          <w:tcPr>
            <w:tcW w:w="3277"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$1,000,000.00</w:t>
            </w:r>
          </w:p>
        </w:tc>
        <w:tc>
          <w:tcPr>
            <w:tcW w:w="3277"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1359"/>
        <w:gridCol w:w="2301"/>
        <w:gridCol w:w="3450"/>
        <w:gridCol w:w="33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1331"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2253"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Past:</w:t>
            </w:r>
          </w:p>
        </w:tc>
        <w:tc>
          <w:tcPr>
            <w:tcW w:w="3379"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$ 150,000.00</w:t>
            </w:r>
          </w:p>
        </w:tc>
        <w:tc>
          <w:tcPr>
            <w:tcW w:w="3277"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419"/>
        <w:gridCol w:w="941"/>
        <w:gridCol w:w="3346"/>
        <w:gridCol w:w="2404"/>
        <w:gridCol w:w="33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410"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92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(iii)</w:t>
            </w:r>
          </w:p>
        </w:tc>
        <w:tc>
          <w:tcPr>
            <w:tcW w:w="3277"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Cost of future care</w:t>
            </w:r>
          </w:p>
        </w:tc>
        <w:tc>
          <w:tcPr>
            <w:tcW w:w="2355"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$ 25,000.00</w:t>
            </w:r>
          </w:p>
        </w:tc>
        <w:tc>
          <w:tcPr>
            <w:tcW w:w="3277"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523"/>
        <w:gridCol w:w="836"/>
        <w:gridCol w:w="3973"/>
        <w:gridCol w:w="1778"/>
        <w:gridCol w:w="33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512"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819"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(iv)</w:t>
            </w:r>
          </w:p>
        </w:tc>
        <w:tc>
          <w:tcPr>
            <w:tcW w:w="3891"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Loss of housekeeping capacity</w:t>
            </w:r>
          </w:p>
        </w:tc>
        <w:tc>
          <w:tcPr>
            <w:tcW w:w="1741"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$ 15,000.00</w:t>
            </w:r>
          </w:p>
        </w:tc>
        <w:tc>
          <w:tcPr>
            <w:tcW w:w="3277"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732"/>
        <w:gridCol w:w="3137"/>
        <w:gridCol w:w="2614"/>
        <w:gridCol w:w="33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17"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(v)</w:t>
            </w:r>
          </w:p>
        </w:tc>
        <w:tc>
          <w:tcPr>
            <w:tcW w:w="307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Special damages</w:t>
            </w:r>
          </w:p>
        </w:tc>
        <w:tc>
          <w:tcPr>
            <w:tcW w:w="2560"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$ 4,279.53</w:t>
            </w:r>
          </w:p>
        </w:tc>
        <w:tc>
          <w:tcPr>
            <w:tcW w:w="3277"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119</w:t>
      </w:r>
      <w:r>
        <w:rPr>
          <w:rFonts w:ascii="arial" w:eastAsia="arial" w:hAnsi="arial" w:cs="arial"/>
          <w:color w:val="000000"/>
          <w:sz w:val="20"/>
          <w:lang w:val="en-US" w:eastAsia="en-US" w:bidi="ar-SA"/>
        </w:rPr>
        <w:t>  I have not considered tax consequences, interest and costs. If the parties are not able to agree on these amounts, they may schedule submissions before 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B.J. BROWN J.</w:t>
      </w:r>
      <w:r>
        <w:rPr>
          <w:rFonts w:ascii="arial" w:eastAsia="arial" w:hAnsi="arial" w:cs="arial"/>
          <w:sz w:val="20"/>
          <w:lang w:val="en-US" w:eastAsia="en-US" w:bidi="ar-SA"/>
        </w:rPr>
        <w:cr/>
      </w:r>
    </w:p>
    <w:p>
      <w:pPr>
        <w:rPr>
          <w:rFonts w:ascii="arial" w:eastAsia="arial" w:hAnsi="arial" w:cs="arial"/>
          <w:sz w:val="20"/>
          <w:lang w:val="en-US" w:eastAsia="en-US" w:bidi="ar-SA"/>
        </w:rPr>
      </w:pPr>
    </w:p>
    <w:p>
      <w:pPr>
        <w:ind w:left="200"/>
        <w:rPr>
          <w:rFonts w:ascii="arial" w:eastAsia="arial" w:hAnsi="arial" w:cs="arial"/>
          <w:sz w:val="20"/>
          <w:lang w:val="en-US" w:eastAsia="en-US" w:bidi="ar-SA"/>
        </w:rPr>
        <w:sectPr>
          <w:type w:val="continuous"/>
          <w:pgMar w:top="840" w:right="1000" w:bottom="840" w:left="1000" w:header="400" w:footer="400"/>
          <w:pgNumType w:fmt="decimal"/>
          <w:cols w:space="720"/>
        </w:sectPr>
      </w:pPr>
      <w:r>
        <w:rPr>
          <w:rFonts w:ascii="arial" w:eastAsia="arial" w:hAnsi="arial" w:cs="arial"/>
          <w:sz w:val="20"/>
          <w:lang w:val="en-US" w:eastAsia="en-US" w:bidi="ar-SA"/>
        </w:rPr>
        <w:br/>
      </w:r>
      <w:r>
        <w:pict>
          <v:line id="_x0000_s1183" style="position:absolute;z-index:251842560" from="0,10pt" to="512pt,10pt" strokecolor="black" strokeweight="1pt">
            <v:stroke linestyle="single"/>
          </v:line>
        </w:pict>
      </w:r>
      <w:r>
        <w:rPr>
          <w:b/>
          <w:color w:val="767676"/>
          <w:sz w:val="16"/>
          <w:lang w:val="en-US" w:eastAsia="en-US" w:bidi="ar-SA"/>
        </w:rPr>
        <w:t>End of Document</w:t>
      </w:r>
    </w:p>
    <w:p>
      <w:pPr>
        <w:rPr>
          <w:rFonts w:ascii="arial" w:eastAsia="arial" w:hAnsi="arial" w:cs="arial"/>
          <w:sz w:val="20"/>
          <w:lang w:val="en-US" w:eastAsia="en-US" w:bidi="ar-SA"/>
        </w:rPr>
        <w:sectPr>
          <w:headerReference w:type="even" r:id="rId628"/>
          <w:headerReference w:type="default" r:id="rId629"/>
          <w:footerReference w:type="even" r:id="rId630"/>
          <w:footerReference w:type="default" r:id="rId631"/>
          <w:headerReference w:type="first" r:id="rId632"/>
          <w:footerReference w:type="first" r:id="rId633"/>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eastAsia="arial" w:hAnsi="Arial" w:cs="Arial"/>
          <w:b/>
          <w:bCs/>
          <w:kern w:val="32"/>
          <w:sz w:val="32"/>
          <w:szCs w:val="32"/>
          <w:lang w:val="en-US" w:eastAsia="en-US" w:bidi="ar-SA"/>
        </w:rPr>
      </w:pPr>
      <w:hyperlink r:id="rId634" w:history="1">
        <w:r>
          <w:rPr>
            <w:rFonts w:ascii="arial" w:eastAsia="arial" w:hAnsi="arial" w:cs="arial"/>
            <w:b/>
            <w:bCs/>
            <w:i/>
            <w:color w:val="0077CC"/>
            <w:kern w:val="32"/>
            <w:sz w:val="28"/>
            <w:szCs w:val="32"/>
            <w:u w:val="single"/>
            <w:shd w:val="clear" w:color="auto" w:fill="FFFFFF"/>
            <w:lang w:val="en-US" w:eastAsia="en-US" w:bidi="ar-SA"/>
          </w:rPr>
          <w:t>Sciberras v. Naylor, [2002] B.C.J. No. 12</w:t>
        </w:r>
      </w:hyperlink>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Judgments</w:t>
      </w:r>
    </w:p>
    <w:p>
      <w:pPr>
        <w:rPr>
          <w:rFonts w:ascii="arial" w:eastAsia="arial" w:hAnsi="arial" w:cs="arial"/>
          <w:sz w:val="20"/>
          <w:lang w:val="en-US" w:eastAsia="en-US" w:bidi="ar-SA"/>
        </w:rPr>
      </w:pP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Powell River, British Columbia</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Kirkpatrick J.</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Heard: November 26 - 30, 2001.</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Judgment: January 7, 2002.</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Powell River Registry No. S1146</w:t>
      </w:r>
    </w:p>
    <w:p>
      <w:pPr>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r>
        <w:rPr>
          <w:rFonts w:ascii="arial" w:eastAsia="arial" w:hAnsi="arial" w:cs="arial"/>
          <w:b/>
          <w:color w:val="000000"/>
          <w:sz w:val="20"/>
          <w:lang w:val="en-US" w:eastAsia="en-US" w:bidi="ar-SA"/>
        </w:rPr>
        <w:t>[2002] B.C.J. No. 12</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2002 BCSC 1</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97 B.C.L.R. (3d) 172</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110 A.C.W.S. (3d) 650</w:t>
      </w:r>
    </w:p>
    <w:p>
      <w:pPr>
        <w:spacing w:before="120" w:line="260" w:lineRule="atLeast"/>
        <w:rPr>
          <w:rFonts w:ascii="arial" w:eastAsia="arial" w:hAnsi="arial" w:cs="arial"/>
          <w:sz w:val="20"/>
          <w:lang w:val="en-US" w:eastAsia="en-US" w:bidi="ar-SA"/>
        </w:rPr>
      </w:pPr>
      <w:r>
        <w:rPr>
          <w:rFonts w:ascii="arial" w:eastAsia="arial" w:hAnsi="arial" w:cs="arial"/>
          <w:color w:val="000000"/>
          <w:sz w:val="20"/>
          <w:lang w:val="en-US" w:eastAsia="en-US" w:bidi="ar-SA"/>
        </w:rPr>
        <w:t>Between Emanuela Sciberras, plaintiff, and Martin Naylor, defendant</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(76 paras.)</w:t>
      </w:r>
    </w:p>
    <w:p>
      <w:pPr>
        <w:keepNext/>
        <w:spacing w:before="12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Case Summary</w:t>
      </w:r>
    </w:p>
    <w:p>
      <w:pPr>
        <w:spacing w:line="60" w:lineRule="exact"/>
        <w:rPr>
          <w:rFonts w:ascii="arial" w:eastAsia="arial" w:hAnsi="arial" w:cs="arial"/>
          <w:sz w:val="20"/>
          <w:lang w:val="en-US" w:eastAsia="en-US" w:bidi="ar-SA"/>
        </w:rPr>
      </w:pPr>
      <w:r>
        <w:pict>
          <v:line id="_x0000_s1184" style="position:absolute;z-index:251692032"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bookmarkStart w:id="207" w:name="Keywords_31"/>
      <w:bookmarkEnd w:id="207"/>
      <w:r>
        <w:rPr>
          <w:rFonts w:ascii="arial" w:eastAsia="arial" w:hAnsi="arial" w:cs="arial"/>
          <w:b/>
          <w:color w:val="000000"/>
          <w:sz w:val="20"/>
          <w:lang w:val="en-US" w:eastAsia="en-US" w:bidi="ar-SA"/>
        </w:rPr>
        <w:t xml:space="preserve">Torts — </w:t>
      </w:r>
      <w:r>
        <w:rPr>
          <w:rFonts w:ascii="arial" w:eastAsia="arial" w:hAnsi="arial" w:cs="arial"/>
          <w:b/>
          <w:i/>
          <w:color w:val="000000"/>
          <w:sz w:val="20"/>
          <w:u w:val="single"/>
          <w:lang w:val="en-US" w:eastAsia="en-US" w:bidi="ar-SA"/>
        </w:rPr>
        <w:t>Negligence</w:t>
      </w:r>
      <w:r>
        <w:rPr>
          <w:rFonts w:ascii="arial" w:eastAsia="arial" w:hAnsi="arial" w:cs="arial"/>
          <w:b/>
          <w:color w:val="000000"/>
          <w:sz w:val="20"/>
          <w:lang w:val="en-US" w:eastAsia="en-US" w:bidi="ar-SA"/>
        </w:rPr>
        <w:t xml:space="preserve"> — Motor vehicle — Damage awards — Injury and death — Special damage awards — General damage awards — General damages for personal injury — Aggravation of pre-existing condition.</w:t>
      </w:r>
    </w:p>
    <w:p>
      <w:pPr>
        <w:rPr>
          <w:rFonts w:ascii="arial" w:eastAsia="arial" w:hAnsi="arial" w:cs="arial"/>
          <w:sz w:val="20"/>
          <w:lang w:val="en-US" w:eastAsia="en-US" w:bidi="ar-SA"/>
        </w:rPr>
      </w:pPr>
    </w:p>
    <w:tbl>
      <w:tblPr>
        <w:tblStyle w:val="TableNormal"/>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
      <w:tblGrid>
        <w:gridCol w:w="10225"/>
      </w:tblGrid>
      <w:tr>
        <w:tblPrEx>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Ex>
        <w:tc>
          <w:tcPr/>
          <w:p>
            <w:pPr>
              <w:rPr>
                <w:rFonts w:ascii="arial" w:eastAsia="arial" w:hAnsi="arial" w:cs="arial"/>
                <w:sz w:val="20"/>
                <w:lang w:val="en-US" w:eastAsia="en-US" w:bidi="ar-SA"/>
              </w:rPr>
            </w:pPr>
            <w:bookmarkStart w:id="208" w:name="Case Summary_29"/>
            <w:bookmarkEnd w:id="208"/>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Action by the victim, Sciberras, against the tortfeasor, Naylor, for damages following a motor vehicle accident. Sciberras was injured in a motor vehicle accident in May 1997. At the time of the accident, she had been off work for one year due to a work-related injury sustained in her employment in the housekeeping department of a hospital. She had suffered for many years from chronic pain and disability prior to the motor vehicle accident, including fibromyalgia. Between the most recent workplace injury and the motor vehicle accident, Sciberras experienced right facial ache, right arm and shoulder aches, poor memory, back and neck pain and sleep disturbance. Following the accident, Sciberras experienced additional pain to what she had before and described her condition as crippled by pain. In July 2001, Sciberras's physician concluded that she was completely disabled for any type of work and was at a significant risk for diseases such as osteoporosis, osteoarthritis and cardiovascular disease. He concluded that she was at an increased risk for a mood disorder with depression and a more severe anxiety state related to her loss of functional ability. Liability was admitted. </w:t>
            </w:r>
            <w:r>
              <w:rPr>
                <w:rFonts w:ascii="arial" w:eastAsia="arial" w:hAnsi="arial" w:cs="arial"/>
                <w:sz w:val="20"/>
                <w:lang w:val="en-US" w:eastAsia="en-US" w:bidi="ar-SA"/>
              </w:rPr>
              <w:cr/>
            </w:r>
          </w:p>
          <w:p>
            <w:pPr>
              <w:spacing w:before="120" w:line="260" w:lineRule="atLeast"/>
              <w:ind w:left="240"/>
              <w:jc w:val="both"/>
              <w:rPr>
                <w:rFonts w:ascii="arial" w:eastAsia="arial" w:hAnsi="arial" w:cs="arial"/>
                <w:sz w:val="20"/>
                <w:lang w:val="en-US" w:eastAsia="en-US" w:bidi="ar-SA"/>
              </w:rPr>
            </w:pPr>
            <w:bookmarkStart w:id="209" w:name="Holdings of Court_23"/>
            <w:bookmarkEnd w:id="209"/>
            <w:r>
              <w:rPr>
                <w:rFonts w:ascii="arial" w:eastAsia="arial" w:hAnsi="arial" w:cs="arial"/>
                <w:color w:val="000000"/>
                <w:sz w:val="20"/>
                <w:lang w:val="en-US" w:eastAsia="en-US" w:bidi="ar-SA"/>
              </w:rPr>
              <w:t>HELD: Action allowed in part.</w:t>
            </w:r>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Sciberras's complaints of pain and disability rested on the evidence of her subjective complaints. Her testimony was not given much weight because of the numerous inconsistencies in her evidence relating to her level of activity prior to and following the accident, her pain, and her claim that she intended to return to work. There was no evidence that her condition was improving in the months prior to the accident. She suffered from an active, pre-existing condition at the time of the accident and there was no compelling evidence that Sciberras would ever have recovered from the fibromyalgia that existed as early as 1994. However, she was compensated for her pain, suffering and loss of enjoyment of life for the period of time during which the injuries from the motor vehicle accident aggravated her prior active condition or which were fresh complaints unrelated to her active pre-existing condition. General damages of $50,000 were awarded and Sciberras was entitled to special damages from the date of the accident until December 1997. She was not entitled to past or future wage loss, cost of future care, loss of opportunity or loss of capacity. </w:t>
            </w:r>
            <w:r>
              <w:rPr>
                <w:rFonts w:ascii="arial" w:eastAsia="arial" w:hAnsi="arial" w:cs="arial"/>
                <w:sz w:val="20"/>
                <w:lang w:val="en-US" w:eastAsia="en-US" w:bidi="ar-SA"/>
              </w:rPr>
              <w:cr/>
            </w:r>
          </w:p>
          <w:p>
            <w:pPr>
              <w:rPr>
                <w:rFonts w:ascii="arial" w:eastAsia="arial" w:hAnsi="arial" w:cs="arial"/>
                <w:sz w:val="20"/>
                <w:lang w:val="en-US" w:eastAsia="en-US" w:bidi="ar-SA"/>
              </w:rPr>
            </w:pPr>
          </w:p>
        </w:tc>
      </w:tr>
    </w:tbl>
    <w:p>
      <w:pPr>
        <w:jc w:val="both"/>
        <w:rPr>
          <w:rFonts w:ascii="arial" w:eastAsia="arial" w:hAnsi="arial" w:cs="arial"/>
          <w:sz w:val="20"/>
          <w:lang w:val="en-US" w:eastAsia="en-US" w:bidi="ar-SA"/>
        </w:rPr>
      </w:pPr>
      <w:bookmarkStart w:id="210" w:name="Counsel_31"/>
      <w:bookmarkEnd w:id="210"/>
      <w:r>
        <w:rPr>
          <w:rFonts w:ascii="arial" w:eastAsia="arial" w:hAnsi="arial" w:cs="arial"/>
          <w:sz w:val="20"/>
          <w:lang w:val="en-US" w:eastAsia="en-US" w:bidi="ar-SA"/>
        </w:rPr>
        <w:br/>
      </w:r>
    </w:p>
    <w:p>
      <w:pPr>
        <w:keepNext/>
        <w:spacing w:before="24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Counsel</w:t>
      </w:r>
    </w:p>
    <w:p>
      <w:pPr>
        <w:spacing w:line="60" w:lineRule="exact"/>
        <w:rPr>
          <w:rFonts w:ascii="arial" w:eastAsia="arial" w:hAnsi="arial" w:cs="arial"/>
          <w:sz w:val="20"/>
          <w:lang w:val="en-US" w:eastAsia="en-US" w:bidi="ar-SA"/>
        </w:rPr>
      </w:pPr>
      <w:r>
        <w:pict>
          <v:line id="_x0000_s1185" style="position:absolute;z-index:251743232"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A.R.M. Johnston and S. McCausland, for the plaintiff. I. Aikenhead, Q.C., and J.E. Whiteley, for the defendant.</w:t>
      </w:r>
      <w:r>
        <w:rPr>
          <w:rFonts w:ascii="arial" w:eastAsia="arial" w:hAnsi="arial" w:cs="arial"/>
          <w:sz w:val="20"/>
          <w:lang w:val="en-US" w:eastAsia="en-US" w:bidi="ar-SA"/>
        </w:rPr>
        <w:cr/>
      </w:r>
    </w:p>
    <w:p>
      <w:pPr>
        <w:spacing w:after="240"/>
        <w:rPr>
          <w:rFonts w:ascii="arial" w:eastAsia="arial" w:hAnsi="arial" w:cs="arial"/>
          <w:sz w:val="20"/>
          <w:lang w:val="en-US" w:eastAsia="en-US" w:bidi="ar-SA"/>
        </w:rPr>
      </w:pPr>
      <w:bookmarkStart w:id="211" w:name="Judgment_32"/>
      <w:bookmarkEnd w:id="211"/>
      <w:r>
        <w:pict>
          <v:line id="_x0000_s1186" style="position:absolute;z-index:251794432" from="0,12pt" to="512pt,12pt" strokecolor="#009ddb" strokeweight="1.5pt">
            <v:stroke linestyle="single"/>
          </v:line>
        </w:pict>
      </w:r>
    </w:p>
    <w:p>
      <w:pPr>
        <w:rPr>
          <w:rFonts w:ascii="arial" w:eastAsia="arial" w:hAnsi="arial" w:cs="arial"/>
          <w:sz w:val="20"/>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2670"/>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rFonts w:ascii="arial" w:eastAsia="arial" w:hAnsi="arial" w:cs="arial"/>
                <w:sz w:val="20"/>
                <w:lang w:val="en-US" w:eastAsia="en-US" w:bidi="ar-SA"/>
              </w:rPr>
            </w:pPr>
            <w:bookmarkStart w:id="212" w:name="KIRKPATRICK J."/>
            <w:bookmarkEnd w:id="212"/>
            <w:r>
              <w:rPr>
                <w:rFonts w:ascii="arial" w:eastAsia="arial" w:hAnsi="arial" w:cs="arial"/>
                <w:b/>
                <w:color w:val="000000"/>
                <w:sz w:val="30"/>
                <w:lang w:val="en-US" w:eastAsia="en-US" w:bidi="ar-SA"/>
              </w:rPr>
              <w:t>KIRKPATRICK J.</w:t>
            </w:r>
          </w:p>
        </w:tc>
      </w:tr>
    </w:tbl>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This case raises the difficult issue of whether, and to what extent, the injuries suffered by the plaintiff, Emanuela Sciberras, in a motor vehicle accident are the source of her on-going complaints of pain and disability.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Liability for the accident is not in issue. The accident occurred on May 23, 1997 when the mini-van driven by Mrs. Sciberras' husband was hit by the wheel of an on-coming truck which had somehow disengaged. Mr. Sciberras, in an effort to avoid colliding with the wheel, drove to the side of the road. The Sciberras' van was thrown into a ditch. Mrs. Sciberras was seated in the second middle seat. A friend was seated to her right. Mrs. Sciberras was thrown onto her right side. She was shaken and frightened by the accident. She managed to get out of the van from the driver's side. She was taken by ambulance to the emergency department of the Powell River General Hospital. She was examined and sent home with some pain medication.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At the time of the accident, Mrs. Sciberras had been off work for about one year due to a work-related injury sustained in her employment in the housekeeping department of the Powell River General Hospital. Indeed, Mr. and Mrs. Sciberras were returning home from a visit by Mrs. Sciberras to the Thorson Pain Clinic in North Vancouver when the motor vehicle accident occurred.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MRS. SCIBERRAS' BACKGROUND AND PRE-ACCIDENT MEDICAL AND EMPLOYMENT HISTORY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Mrs. Sciberras was born in Malta on November 10, 1954. She is now 47 years of age. She has about a grade 10 or 11 level of education. She immigrated to Canada when she was 19, married her husband, and settled in Powell River. She had worked as a machine operator in a knitting factory in Malta. Upon her marriage, she became a housewife and did some babysitting from her home.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The Sciberras have two daughters, Sharon, born July 28, 1975, and Sabrina, born November 9, 1978. In 1989, when Sharon was 14 and Sabrina was 11, Mrs. Sciberras found work outside the home at the Powell River General Hospital. She testified that she wanted to save money for the girls' education and to purchase things for the family home.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Prior to 1986, Mrs. Sciberras seems to have enjoyed an unremarkable medical history. The only medical complaint of note was calcium build-up in her right shoulder which was diagnosed as calcific tendonitis.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On November 2, 1990, Mrs. Sciberras injured her left arm and shoulder while pulling a laundry cart at work. She was off work from that injury for four or five months until March 1991, when she returned to light duties.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On April 26, 1991, Dr. Symonds wrote to the Workers' Compensation Board ("WCB") and advised that Mrs. Sciberras continued to have inflammation in her shoulders and continued to have chronic pain.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Mrs. Sciberras continued to have shoulder pain. She was seen by Dr. Robert Hill, an orthopaedic surgeon in March 1992 at which time she had an arthrogram. Dr. Hill planned to inject xylocaine in the subacromial space followed by a possible arthroscopic subacromial decompression.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On October 23, 1992, Dr. Symonds noted in a letter to Dr. Hill that Mrs. Sciberras was experiencing increasing pain in her right shoulder to the point that it was then worse than her left shoulder.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Throughout 1993, Mrs. Sciberras continued to complain to Dr. Symonds of: her body aching all over (which seems to be related to influenza); good and bad days with her shoulders; shoulder pain for no apparent reason; feeling dizzy; lower back pain; and leg pain. In a physician's progress report to WCB dated December 20, 1993, Dr. Symonds noted that Mrs. Sciberras' shoulders were worse. He suggested that her work might be modified to ease the pain in her shoulders.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On June 30, 1994, Mrs. Sciberras, when working in the hospital kitchen, bumped her head on the ledge of a food cart. She felt dizzy. She was sent to the emergency department and then to home. She attended a WCB rehabilitation program for six weeks and returned to graduated work almost one year later, on May 25, 1995. There are no notes in Dr. Symonds' clinical records of any complaints related to that injury during the period from June 30, 1994 to May 25, 1995.</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On November 1, 1994, Dr. Symonds reported to WCB in a physician's progress report that Mrs. Sciberras' range of motion was only slightly decreased. He noted that she was generally tender with points of maximum tenderness, some of which corresponded to fibromyalgia pain, but many of which did not. He stated that she could be developing myofascial pain syndrome or a somatoform pain disorder.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On March 8, 1996, Dr. Symonds noted in his clinical records that Mrs. Sciberras, although working full-time, was experiencing stiff musculoskeletal pain as well as back and shoulder pain.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w:t>
      </w:r>
      <w:r>
        <w:rPr>
          <w:rFonts w:ascii="arial" w:eastAsia="arial" w:hAnsi="arial" w:cs="arial"/>
          <w:color w:val="000000"/>
          <w:sz w:val="20"/>
          <w:lang w:val="en-US" w:eastAsia="en-US" w:bidi="ar-SA"/>
        </w:rPr>
        <w:t>  On May 11, 1996, Mrs. Sciberras bumped her left side on the door latch of a walk-in refrigerator at the hospital. She felt pain but continued to work. When the pain increased she went to Dr. Symonds who suggested she take time off work. She had three weeks of holiday booked, which she took to recover. She worked a total of 16 days after the May 11, 1996 injury. She has not worked since.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w:t>
      </w:r>
      <w:r>
        <w:rPr>
          <w:rFonts w:ascii="arial" w:eastAsia="arial" w:hAnsi="arial" w:cs="arial"/>
          <w:color w:val="000000"/>
          <w:sz w:val="20"/>
          <w:lang w:val="en-US" w:eastAsia="en-US" w:bidi="ar-SA"/>
        </w:rPr>
        <w:t>  Between the work place injury in May 1996 and the motor vehicle accident on May 23, 1997, Mrs. Sciberras experienced: right facial ache; right arm and shoulder aches; poor memory; back pain; neck pain; and sleep disturbance.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w:t>
      </w:r>
      <w:r>
        <w:rPr>
          <w:rFonts w:ascii="arial" w:eastAsia="arial" w:hAnsi="arial" w:cs="arial"/>
          <w:color w:val="000000"/>
          <w:sz w:val="20"/>
          <w:lang w:val="en-US" w:eastAsia="en-US" w:bidi="ar-SA"/>
        </w:rPr>
        <w:t>  Dr. Symonds referred Mrs. Sciberras to the Thorson Pain Rehabilitation Clinic in November 1996. She completed a questionnaire which detailed, among other things, the pain related to her May 1996 work place injury. She stated in the questionnaire that she had pain free periods that lasted a few hours. On bad days the pain was continuous; on good days she had pain several times a day. Someone, perhaps Mrs. Sciberras, marked on a drawing of the human body where she experienced sensitive areas. Those included: the buttocks; lower, mid, and upper back; and shoulders. She stated that she had a level of pain that completely interfered with work, household chores, and outside chores.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w:t>
      </w:r>
      <w:r>
        <w:rPr>
          <w:rFonts w:ascii="arial" w:eastAsia="arial" w:hAnsi="arial" w:cs="arial"/>
          <w:color w:val="000000"/>
          <w:sz w:val="20"/>
          <w:lang w:val="en-US" w:eastAsia="en-US" w:bidi="ar-SA"/>
        </w:rPr>
        <w:t>  On December 6, 1996, Dr. Edward Day, a visiting physiatrist at the Thorson Pain Clinic, noted in a letter to Dr. Symonds: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Ms. Sciberras has had problems with neck pain and back pain with onset two years ago in an incident at work [the June, 1994 injury]. She describes bending down and striking her head on a shelf, producing dizziness and subsequent neck pain. The pain progressed down to involve both the upper and lower back. That problem settled down and she was able to return to work after being off for about 10 months, but she never recovered fully.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w:t>
      </w:r>
      <w:r>
        <w:rPr>
          <w:rFonts w:ascii="arial" w:eastAsia="arial" w:hAnsi="arial" w:cs="arial"/>
          <w:color w:val="000000"/>
          <w:sz w:val="20"/>
          <w:lang w:val="en-US" w:eastAsia="en-US" w:bidi="ar-SA"/>
        </w:rPr>
        <w:t>  On January 5, 1997, Dr. Rida Baruni, a specialist in physical medicine and rehabilitation (pain management) with the Thorson Pain Clinic, advised Dr. Symonds that Mrs. Sciberras filled the criteria for the diagnosis of fibromyalgia syndrome. He also advised that she might also have an element of regional myofascial pain syndrome "above and beyond." Dr. Baruni's suggested treatment plan was active physical and psychological treatments, the focus of which would be a graduated aerobic exercise program, sleep hygiene and possible trigger point therapy.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w:t>
      </w:r>
      <w:r>
        <w:rPr>
          <w:rFonts w:ascii="arial" w:eastAsia="arial" w:hAnsi="arial" w:cs="arial"/>
          <w:color w:val="000000"/>
          <w:sz w:val="20"/>
          <w:lang w:val="en-US" w:eastAsia="en-US" w:bidi="ar-SA"/>
        </w:rPr>
        <w:t>  In a form report completed on February 19, 1997 by Dr. Zenona Hrabar of the Thorson Pain Clinic, Dr. Hrabar noted that Mrs. Sciberras was experiencing sleep disturbances, memory and concentration problems and persistent fatigue. Dr. Hrabar recommended medical therapy, physiotherapy and massage therapy, biofeedback, a fibromyalgia education group, pain education group, an active rehabilitation program, exercise and stretching at home. Dr. Hrabar also recommended a low dose anti-depressant, Zoloft, which Mrs. Sciberras decided not to take.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w:t>
      </w:r>
      <w:r>
        <w:rPr>
          <w:rFonts w:ascii="arial" w:eastAsia="arial" w:hAnsi="arial" w:cs="arial"/>
          <w:color w:val="000000"/>
          <w:sz w:val="20"/>
          <w:lang w:val="en-US" w:eastAsia="en-US" w:bidi="ar-SA"/>
        </w:rPr>
        <w:t>  In a physician's progress report to WCB dated March 11, 1997, Dr. Symonds quoted Mrs. Sciberras telling him, "I'm in so much pain, right shoulder and back very sore, gets very tired easily, last week could hardly sit on the toilet, can't vacuum etc. - trying to do stretching, is starting to walk on the treadmill, has to stop after 18 minutes and felt like would faint - ... ."</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w:t>
      </w:r>
      <w:r>
        <w:rPr>
          <w:rFonts w:ascii="arial" w:eastAsia="arial" w:hAnsi="arial" w:cs="arial"/>
          <w:color w:val="000000"/>
          <w:sz w:val="20"/>
          <w:lang w:val="en-US" w:eastAsia="en-US" w:bidi="ar-SA"/>
        </w:rPr>
        <w:t>  On April 1, 1997, Dr. Symonds noted in a physician's progress report to WCB that Mrs. Sciberras told him that she was in a lot of pain that day. He quoted her as saying, "I'm getting worse instead of better", "I hurt everywhere", and "sleeping very poor."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w:t>
      </w:r>
      <w:r>
        <w:rPr>
          <w:rFonts w:ascii="arial" w:eastAsia="arial" w:hAnsi="arial" w:cs="arial"/>
          <w:color w:val="000000"/>
          <w:sz w:val="20"/>
          <w:lang w:val="en-US" w:eastAsia="en-US" w:bidi="ar-SA"/>
        </w:rPr>
        <w:t>  On April 18, 1997, Dr. Symonds reported in his physician's progress report to WCB that permanent impairment from the May 11, 1996 injury was likely to result.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w:t>
      </w:r>
      <w:r>
        <w:rPr>
          <w:rFonts w:ascii="arial" w:eastAsia="arial" w:hAnsi="arial" w:cs="arial"/>
          <w:color w:val="000000"/>
          <w:sz w:val="20"/>
          <w:lang w:val="en-US" w:eastAsia="en-US" w:bidi="ar-SA"/>
        </w:rPr>
        <w:t>  Dr. Symonds had prescribed anti-depressants for Mrs. Sciberras. Mrs. Sciberras thought they were contributing to her trouble with concentration, her poor memory, and her inability to sleep well. Dr. Symonds stopped the dosage of Imipramine.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w:t>
      </w:r>
      <w:r>
        <w:rPr>
          <w:rFonts w:ascii="arial" w:eastAsia="arial" w:hAnsi="arial" w:cs="arial"/>
          <w:color w:val="000000"/>
          <w:sz w:val="20"/>
          <w:lang w:val="en-US" w:eastAsia="en-US" w:bidi="ar-SA"/>
        </w:rPr>
        <w:t>  On May 14, 1997, about two weeks before the motor vehicle accident, Dr. Symonds noted in a physician's progress report to WCB that Mrs. Sciberras described her symptoms as "pretty much the same, very achy, sore, head feels the same since off anti-depressant, sleeping seems better since off Imipramine, still marked pain, hard to do exercises, back and shoulders very sore - feels like a knife in back all the time."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w:t>
      </w:r>
      <w:r>
        <w:rPr>
          <w:rFonts w:ascii="arial" w:eastAsia="arial" w:hAnsi="arial" w:cs="arial"/>
          <w:color w:val="000000"/>
          <w:sz w:val="20"/>
          <w:lang w:val="en-US" w:eastAsia="en-US" w:bidi="ar-SA"/>
        </w:rPr>
        <w:t>  In her direct evidence, Mrs. Sciberras said that before the motor vehicle accident she was doing everything she had previously done around the house, except vacuuming. In the months before the motor vehicle accident, she said she was walking, hiking, taking aquasize, fishing, travelling and shopping with her daughters, camping, working in her garden, crocheting, and dining and dancing with her husband. Under cross-examination, she confirmed this evidence. When asked why she had not returned to work if she was capable of doing all this activity, she replied that she "was still recovering."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w:t>
      </w:r>
      <w:r>
        <w:rPr>
          <w:rFonts w:ascii="arial" w:eastAsia="arial" w:hAnsi="arial" w:cs="arial"/>
          <w:color w:val="000000"/>
          <w:sz w:val="20"/>
          <w:lang w:val="en-US" w:eastAsia="en-US" w:bidi="ar-SA"/>
        </w:rPr>
        <w:t>  Although she testified that it was her intention to return to work, she never informed her employer, WCB, or Dr. Symonds of her intention.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w:t>
      </w:r>
      <w:r>
        <w:rPr>
          <w:rFonts w:ascii="arial" w:eastAsia="arial" w:hAnsi="arial" w:cs="arial"/>
          <w:color w:val="000000"/>
          <w:sz w:val="20"/>
          <w:lang w:val="en-US" w:eastAsia="en-US" w:bidi="ar-SA"/>
        </w:rPr>
        <w:t>  Mrs. Sciberras' evidence must be viewed with considerable caution. It makes no sense at all that she would be capable of the level of activity she described and still be unable to work. I conclude that she was not as active as she described but was, as Dr. Symonds stated to WCB, incapacitated from work. I think it likely that she was generally incapacitated as well. This finding is consistent with Dr. Symonds' evidence that only 25 percent of patients who are off work from a back injury for more than one year ever return to work. It is also consistent with Mrs. Sciberras' pre-accident medical history set out above.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POST-MOTOR VEHICLE ACCIDENT MEDICAL HISTORY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w:t>
      </w:r>
      <w:r>
        <w:rPr>
          <w:rFonts w:ascii="arial" w:eastAsia="arial" w:hAnsi="arial" w:cs="arial"/>
          <w:color w:val="000000"/>
          <w:sz w:val="20"/>
          <w:lang w:val="en-US" w:eastAsia="en-US" w:bidi="ar-SA"/>
        </w:rPr>
        <w:t>  Mrs. Sciberras testified that after the motor vehicle accident she experienced additional pain to what she had before. She said that her chest was sore where her seatbelt had been. Her right arm was sore from her elbow to her hand. Her right hip and lower back were sore, with pain shooting into her legs. Her right hand closed on its own and was cold and puffy. Her lower back was sore, making it difficult to sit down. She said that the headaches she experienced after the motor vehicle accident were different from before, describing them as "like someone pounding on steel."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w:t>
      </w:r>
      <w:r>
        <w:rPr>
          <w:rFonts w:ascii="arial" w:eastAsia="arial" w:hAnsi="arial" w:cs="arial"/>
          <w:color w:val="000000"/>
          <w:sz w:val="20"/>
          <w:lang w:val="en-US" w:eastAsia="en-US" w:bidi="ar-SA"/>
        </w:rPr>
        <w:t>  In addition, Mrs. Sciberras testified that she has lost weight and has experienced panic attacks as a result of the motor vehicle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w:t>
      </w:r>
      <w:r>
        <w:rPr>
          <w:rFonts w:ascii="arial" w:eastAsia="arial" w:hAnsi="arial" w:cs="arial"/>
          <w:color w:val="000000"/>
          <w:sz w:val="20"/>
          <w:lang w:val="en-US" w:eastAsia="en-US" w:bidi="ar-SA"/>
        </w:rPr>
        <w:t>  In a physician's progress report to WCB dated June 5, 1997, Dr. Symonds quoted Mrs. Sciberras' description of her symptoms: "I'm in very bad shape" - whole head and neck and back have flared up and "I'm back to square one", "my low back and head are so sore I can't even get out of the car", "I'm so tired I can't do anything" - having a hard time sleeping ... "I don't remember when I wasn't in pain."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w:t>
      </w:r>
      <w:r>
        <w:rPr>
          <w:rFonts w:ascii="arial" w:eastAsia="arial" w:hAnsi="arial" w:cs="arial"/>
          <w:color w:val="000000"/>
          <w:sz w:val="20"/>
          <w:lang w:val="en-US" w:eastAsia="en-US" w:bidi="ar-SA"/>
        </w:rPr>
        <w:t>  When asked in cross-examination what she meant by being "back at square one", Mrs. Sciberras said that she meant that she was so much worse and had never been in this position. When asked how that meaning fit with the later statement, "I don't remember when I wasn't in pain", Mrs. Sciberras said that she had additional injuries from the motor vehicle accident that she never had before.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w:t>
      </w:r>
      <w:r>
        <w:rPr>
          <w:rFonts w:ascii="arial" w:eastAsia="arial" w:hAnsi="arial" w:cs="arial"/>
          <w:color w:val="000000"/>
          <w:sz w:val="20"/>
          <w:lang w:val="en-US" w:eastAsia="en-US" w:bidi="ar-SA"/>
        </w:rPr>
        <w:t>  Dr. Symonds, to whom she made the statements, understood that by being "back to square one", she was saying that she was back to how she had felt at her worst, noting that she had been feeling bad in the months before the motor vehicle accident. By the latter statement, Dr. Symonds understood her to be saying that she did not think her pain was ever going to go away.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34</w:t>
      </w:r>
      <w:r>
        <w:rPr>
          <w:rFonts w:ascii="arial" w:eastAsia="arial" w:hAnsi="arial" w:cs="arial"/>
          <w:color w:val="000000"/>
          <w:sz w:val="20"/>
          <w:lang w:val="en-US" w:eastAsia="en-US" w:bidi="ar-SA"/>
        </w:rPr>
        <w:t>  Mrs. Sciberras' post-motor vehicle accident medical history is, as most of the doctors testified, perplexing. She continued to complain of pain, difficulty with sleep, memory, and concentration. She began experiencing acute anxiety which manifested itself in attacks which left her feeling dizzy and with the sensation of rapid pulse, pain in her chest, and shaking.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35</w:t>
      </w:r>
      <w:r>
        <w:rPr>
          <w:rFonts w:ascii="arial" w:eastAsia="arial" w:hAnsi="arial" w:cs="arial"/>
          <w:color w:val="000000"/>
          <w:sz w:val="20"/>
          <w:lang w:val="en-US" w:eastAsia="en-US" w:bidi="ar-SA"/>
        </w:rPr>
        <w:t>  Mrs. Sciberras described her condition as essentially crippled by pain. She testified that pain limits or prevents her from doing virtually all of the activities she was capable of doing before the accident. She cannot do housework, except light dusting. She no longer drives. She cannot hang the laundry outside. She no longer gardens. She needs help with cooking and said she cannot remember recipes. She testified that she cannot remember prayers learned in childhood. She said that the peace offering in church hurts her hand. She no longer entertains. Hiking, fishing, camping and shopping trips with her family are things of the past.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36</w:t>
      </w:r>
      <w:r>
        <w:rPr>
          <w:rFonts w:ascii="arial" w:eastAsia="arial" w:hAnsi="arial" w:cs="arial"/>
          <w:color w:val="000000"/>
          <w:sz w:val="20"/>
          <w:lang w:val="en-US" w:eastAsia="en-US" w:bidi="ar-SA"/>
        </w:rPr>
        <w:t>  Mrs. Sciberras' daughters confirmed the change they have seen in their mother. However, when passages from Dr. Symonds' physician progress reports to WCB made before the motor vehicle accident were put to them in cross-examination, they were unable to identify whether their mother's complaints related to the work place injuries or to the motor vehicle accident injuries.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MEDICAL EVIDENCE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37</w:t>
      </w:r>
      <w:r>
        <w:rPr>
          <w:rFonts w:ascii="arial" w:eastAsia="arial" w:hAnsi="arial" w:cs="arial"/>
          <w:color w:val="000000"/>
          <w:sz w:val="20"/>
          <w:lang w:val="en-US" w:eastAsia="en-US" w:bidi="ar-SA"/>
        </w:rPr>
        <w:t>  There is a very large body of medical evidence before the court. I have already referred to some of it.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38</w:t>
      </w:r>
      <w:r>
        <w:rPr>
          <w:rFonts w:ascii="arial" w:eastAsia="arial" w:hAnsi="arial" w:cs="arial"/>
          <w:color w:val="000000"/>
          <w:sz w:val="20"/>
          <w:lang w:val="en-US" w:eastAsia="en-US" w:bidi="ar-SA"/>
        </w:rPr>
        <w:t>  Dr. Symonds, who has been Mrs. Sciberras' family physician since 1990, has had the most contact with her. In April, 1998 he advised her lawyer that, in terms of her functional abilities, Mrs. Sciberras was doing her own self care as well as she did before the motor vehicle accident, but was not back to the same level as before in respect of household tasks, exercise, memory, and family relationships. Because of her underlying fibromyalgia, he questioned whether Mrs. Sciberras would ever return to her pre-accident state.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39</w:t>
      </w:r>
      <w:r>
        <w:rPr>
          <w:rFonts w:ascii="arial" w:eastAsia="arial" w:hAnsi="arial" w:cs="arial"/>
          <w:color w:val="000000"/>
          <w:sz w:val="20"/>
          <w:lang w:val="en-US" w:eastAsia="en-US" w:bidi="ar-SA"/>
        </w:rPr>
        <w:t>  By July 20, 2001, Dr. Symonds' grim prognosis for his patient was that she is completely disabled for any type of work and is at significant risk for diseases such as osteoporosis, osteoarthritis, and cardiovascular disease related to her deconditioned state. As well, she is at increased risk for a mood disorder with depression and a more severe anxiety state related to her loss of functional ability, the loss of her physical relationship with her husband, her relationships outside her family, and the loss of self-esteem related to her inability to work.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40</w:t>
      </w:r>
      <w:r>
        <w:rPr>
          <w:rFonts w:ascii="arial" w:eastAsia="arial" w:hAnsi="arial" w:cs="arial"/>
          <w:color w:val="000000"/>
          <w:sz w:val="20"/>
          <w:lang w:val="en-US" w:eastAsia="en-US" w:bidi="ar-SA"/>
        </w:rPr>
        <w:t>  Given Dr. Symonds' written opinion, it is significant that when it was suggested to him in cross-examination that Mrs. Sciberras' function and symptoms in October, 1997 were extremely similar to those exhibited in April and May, 1997 before the motor vehicle accident, Dr. Symonds agreed that they were similar. He also agreed that the only new symptoms displayed after the accident were anxiety attacks or an anxiety disorder.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41</w:t>
      </w:r>
      <w:r>
        <w:rPr>
          <w:rFonts w:ascii="arial" w:eastAsia="arial" w:hAnsi="arial" w:cs="arial"/>
          <w:color w:val="000000"/>
          <w:sz w:val="20"/>
          <w:lang w:val="en-US" w:eastAsia="en-US" w:bidi="ar-SA"/>
        </w:rPr>
        <w:t>  In apparent recognition of a psychological component in Mrs. Sciberras' condition, her lawyer referred her to a psychologist, Desmond Coen. In his report dated June 14, 2001, Dr. Coen noted that Mrs. Sciberras was "a vague historian at times" and found her to be "excessively emotionally dependent upon her husband." He said that her pain management strategy was to remain at home, avoid activity and rest. That strategy is completely at odds with all of the medical advice Mrs. Sciberras has received, which emphasizes the need to become and remain active.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42</w:t>
      </w:r>
      <w:r>
        <w:rPr>
          <w:rFonts w:ascii="arial" w:eastAsia="arial" w:hAnsi="arial" w:cs="arial"/>
          <w:color w:val="000000"/>
          <w:sz w:val="20"/>
          <w:lang w:val="en-US" w:eastAsia="en-US" w:bidi="ar-SA"/>
        </w:rPr>
        <w:t>  Dr. Coen administered a battery of tests. Mrs. Sciberras failed two out of three validity tests. As a result, Dr. Coen could only be moderately confident of the validity of his opinion, which was that the cause of her psychological difficulties "is likely multifactorial involving both premorbid and motor-vehicle accident related factors."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43</w:t>
      </w:r>
      <w:r>
        <w:rPr>
          <w:rFonts w:ascii="arial" w:eastAsia="arial" w:hAnsi="arial" w:cs="arial"/>
          <w:color w:val="000000"/>
          <w:sz w:val="20"/>
          <w:lang w:val="en-US" w:eastAsia="en-US" w:bidi="ar-SA"/>
        </w:rPr>
        <w:t>  Dr. Douglas Jubb also prepared a medical-legal report on behalf of Mrs. Sciberras' lawyer. He has a general practice, with a special interest in chronic pain. In his report of December 8, 1998, Dr. Jubb stated: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This lady has unquestionably experienced a devastating change in her usual functioning following the motor vehicle accident of May, 1997.</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However, Dr. Jubb agreed under cross-examination that his opinion was based on what Mrs. Sciberras had told him and he did not know her pre-accident medical history. He did not review her WCB records, Dr. Symonds' records, or the records of the Thorson Pain Clinic. It is plain that his opinion of December 8, 1998 is unsupported by the facts of Mrs. Sciberras' medical history.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44</w:t>
      </w:r>
      <w:r>
        <w:rPr>
          <w:rFonts w:ascii="arial" w:eastAsia="arial" w:hAnsi="arial" w:cs="arial"/>
          <w:color w:val="000000"/>
          <w:sz w:val="20"/>
          <w:lang w:val="en-US" w:eastAsia="en-US" w:bidi="ar-SA"/>
        </w:rPr>
        <w:t>  In his evidence at trial, Dr. Jubb expressed some frustration in his dealings with Mrs. Sciberras because she was not amenable to listening to his suggestions, one of which was slow release opioid medication. With that he hoped to bring her to a stage where she could do more vigorous activity that would permit her to remodel herself. Mrs. Sciberras rejected that approach after discussions with Dr. Symonds. Dr. Jubb has never seen a fibromyalgia patient as severe as Mrs. Sciberras. He testified that hers is not a totally bleak picture, but that she must muster some energy in order to find an entry point. If nothing is done, Dr. Jubb said that her condition will become entirely untreatable.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45</w:t>
      </w:r>
      <w:r>
        <w:rPr>
          <w:rFonts w:ascii="arial" w:eastAsia="arial" w:hAnsi="arial" w:cs="arial"/>
          <w:color w:val="000000"/>
          <w:sz w:val="20"/>
          <w:lang w:val="en-US" w:eastAsia="en-US" w:bidi="ar-SA"/>
        </w:rPr>
        <w:t>  Under cross-examination, Dr. Jubb agreed that fibromyalgia often worsens in the absence of trauma. He said that perpetuating factors include inactivity, reluctance to start again, and resistance to drugs. I note that Mrs. Sciberras exhibits all of those factors. Under re-examination, Dr. Jubb agreed that fibromyalgia can be caused by trauma and that trauma can exacerbate fibromyalgia.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46</w:t>
      </w:r>
      <w:r>
        <w:rPr>
          <w:rFonts w:ascii="arial" w:eastAsia="arial" w:hAnsi="arial" w:cs="arial"/>
          <w:color w:val="000000"/>
          <w:sz w:val="20"/>
          <w:lang w:val="en-US" w:eastAsia="en-US" w:bidi="ar-SA"/>
        </w:rPr>
        <w:t>  Dr. Stanley Leete, a specialist in orthopaedic surgery, examined Mrs. Sciberras on October 22, 1998. He recognized that her pre-existing fibromyalgia complicated her prognosis. He wrote: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 motor vehicle accident such as she sustained super imposed upon this type of picture is almost certainly going to lead to a very protracted period of recovery, if indeed she does recover. Many patients with fibromyalgia without injury fail to substantially improve.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Once again, however, Dr. Leete was not aware that two weeks before the motor vehicle accident, Dr. Symonds had advised WCB that Mrs. Sciberras was permanently impaired.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47</w:t>
      </w:r>
      <w:r>
        <w:rPr>
          <w:rFonts w:ascii="arial" w:eastAsia="arial" w:hAnsi="arial" w:cs="arial"/>
          <w:color w:val="000000"/>
          <w:sz w:val="20"/>
          <w:lang w:val="en-US" w:eastAsia="en-US" w:bidi="ar-SA"/>
        </w:rPr>
        <w:t>  Dr. Leete stated in cross-examination that the diagnosis of fibromyalgia is very controversial. He referred to it as a "grab bag of symptoms" with no therapeutic indices and no diagnostic test. Indeed, he said that some people think it does not exist.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48</w:t>
      </w:r>
      <w:r>
        <w:rPr>
          <w:rFonts w:ascii="arial" w:eastAsia="arial" w:hAnsi="arial" w:cs="arial"/>
          <w:color w:val="000000"/>
          <w:sz w:val="20"/>
          <w:lang w:val="en-US" w:eastAsia="en-US" w:bidi="ar-SA"/>
        </w:rPr>
        <w:t>  In re-examination, Dr. Leete stated that he believed that the motor vehicle accident injury was more severe than her work place injuries and that therefore the motor vehicle accident was more likely a factor in aggravating her problems.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49</w:t>
      </w:r>
      <w:r>
        <w:rPr>
          <w:rFonts w:ascii="arial" w:eastAsia="arial" w:hAnsi="arial" w:cs="arial"/>
          <w:color w:val="000000"/>
          <w:sz w:val="20"/>
          <w:lang w:val="en-US" w:eastAsia="en-US" w:bidi="ar-SA"/>
        </w:rPr>
        <w:t>  Counsel for the defendant relies on the reports of: Dr. Hill, the orthopaedic surgeon who saw Mrs. Sciberras in March, 1992 and who conducted an independent medical examination on April 24, 2001; Dr. Claire Weeks, a specialist in physical medicine and rehabilitation; Dr. H. Davis, a psychiatrist; and the reports of the Thorson Pain Clinic, to which Mrs. Sciberras had been referred by Dr. Symonds after the May, 1996 work injury.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50</w:t>
      </w:r>
      <w:r>
        <w:rPr>
          <w:rFonts w:ascii="arial" w:eastAsia="arial" w:hAnsi="arial" w:cs="arial"/>
          <w:color w:val="000000"/>
          <w:sz w:val="20"/>
          <w:lang w:val="en-US" w:eastAsia="en-US" w:bidi="ar-SA"/>
        </w:rPr>
        <w:t>  When Dr. Hill examined Mrs. Sciberras in April, 2001 he found that he could not touch her on any part of her body without reproducing discomfort. He noted, however, that "with distraction the areas previously significantly tender to touch I could distract her and apply pressure to these previously painful areas, and she wouldn't complain of any discomfort."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51</w:t>
      </w:r>
      <w:r>
        <w:rPr>
          <w:rFonts w:ascii="arial" w:eastAsia="arial" w:hAnsi="arial" w:cs="arial"/>
          <w:color w:val="000000"/>
          <w:sz w:val="20"/>
          <w:lang w:val="en-US" w:eastAsia="en-US" w:bidi="ar-SA"/>
        </w:rPr>
        <w:t>  Dr. Hill further noted: "I find assessment of this patient particularly difficult in view of her extensive area of discomfort that extends from the tip of her head to the tip of her toes."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52</w:t>
      </w:r>
      <w:r>
        <w:rPr>
          <w:rFonts w:ascii="arial" w:eastAsia="arial" w:hAnsi="arial" w:cs="arial"/>
          <w:color w:val="000000"/>
          <w:sz w:val="20"/>
          <w:lang w:val="en-US" w:eastAsia="en-US" w:bidi="ar-SA"/>
        </w:rPr>
        <w:t>  Later in his report, Dr. Hill stated: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All the symptoms that she complains about as being related to her accident were recorded by various physicians prior to the motor vehicle accident in some form or another.</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In my opinion, there is no doubt in her mind that the motor vehicle accident did accentuate her fibromyalgia, as evidenced by her increased complaints. To objectively measure this however is extremely difficult.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In my opinion, she has no physical disability that can be directly attributable to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Significantly, Dr. Symonds agreed with the first two paragraphs noted above. He disagreed with the last paragraph, stating, "what evidence can you point to that proves otherwise?"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53</w:t>
      </w:r>
      <w:r>
        <w:rPr>
          <w:rFonts w:ascii="arial" w:eastAsia="arial" w:hAnsi="arial" w:cs="arial"/>
          <w:color w:val="000000"/>
          <w:sz w:val="20"/>
          <w:lang w:val="en-US" w:eastAsia="en-US" w:bidi="ar-SA"/>
        </w:rPr>
        <w:t>  Dr. Weeks examined Mrs. Sciberras on May 25, 2001 and produced a comprehensive report dated July 30, 2001. As Dr. Hill found, Dr. Weeks was unable to find anywhere on either side of Mrs. Sciberras' body which was not painful, even to light palpation.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54</w:t>
      </w:r>
      <w:r>
        <w:rPr>
          <w:rFonts w:ascii="arial" w:eastAsia="arial" w:hAnsi="arial" w:cs="arial"/>
          <w:color w:val="000000"/>
          <w:sz w:val="20"/>
          <w:lang w:val="en-US" w:eastAsia="en-US" w:bidi="ar-SA"/>
        </w:rPr>
        <w:t>  Dr. Weeks' impression was described, in part, as follows: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Her GP, Dr. B. Symonds, has filed WCB progress reports with regard to her conditions. On May 14, 1997, just over a week prior to the motor vehicle accident in question, he filed a progress report with regard to her work injury on May 11, 1996. In this report, he indicated that she was "pretty much the same" with "still marked pain, back and shoulders very sore" and indicated that it "feels like a knife in my back all the time." This entry would suggest that she was having widespread problems and continuing disability related to her work accident essentially at the time of the motor vehicle accident. It is my opinion, therefore, that, although the motor vehicle accident may have caused a temporary exacerbation of her symptoms, the overwhelming pattern of her symptoms and the disability which she attributed to them was little changed by this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Under cross-examination, Dr. Symonds agreed that Dr. Weeks' opinion was rational and possibly correct.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55</w:t>
      </w:r>
      <w:r>
        <w:rPr>
          <w:rFonts w:ascii="arial" w:eastAsia="arial" w:hAnsi="arial" w:cs="arial"/>
          <w:color w:val="000000"/>
          <w:sz w:val="20"/>
          <w:lang w:val="en-US" w:eastAsia="en-US" w:bidi="ar-SA"/>
        </w:rPr>
        <w:t>  Dr. Weeks' opinion continued: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When I saw and examined her on May 25, 2001, the predominant presentation was that of symptom magnification with no demonstrable organic cause. There was a great deal of inconsistency in her presentation. For example, her gait, as assessed in my office was suggestive of pain and/or weakness on the right side, although when her gait was being observed unknown to her, it was entirely normal. In addition, there was a marked discrepancy in her straight leg raising in the seated and supine positions Although she reported profound vibration loss in the arms and legs, this deficit was not evident in her ambulation.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Under cross-examination, Dr. Symonds took issue with Dr. Weeks' finding of no organic cause. He stated, in an advocate's voice: "I would submit that fibromyalgia is organic."</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56</w:t>
      </w:r>
      <w:r>
        <w:rPr>
          <w:rFonts w:ascii="arial" w:eastAsia="arial" w:hAnsi="arial" w:cs="arial"/>
          <w:color w:val="000000"/>
          <w:sz w:val="20"/>
          <w:lang w:val="en-US" w:eastAsia="en-US" w:bidi="ar-SA"/>
        </w:rPr>
        <w:t>  Counsel for the defendant also recognized the potential psychological component in Mrs. Sciberras' case. Dr. Davis, a psychiatrist, interviewed her on July 4, 2001. Like Dr. Weeks, Dr. Davis produced a comprehensive report. He summarized his findings as follows: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In summary, based on this clinical assessment augmented by the MMPI-2, Ms. Sciberras, who has been suffering symptoms suggestive of a chronic pain illness for many years was involved in an MVA in May, 1997 where she suffered soft tissue injuries. Such soft tissue injuries would have been expected to clear up within a few weeks to at the most six months ie the arbitrary period of the chronic stage. The suggestion of a chronic pain syndrome ie implying chronic, intractable pain, covered with a major depressive disorder and comorbid anxiety plus insomnia were suggested but, once again, appears to have predated the MVA. She did not present with the criteria of Post Traumatic Stress Disorder and in fact the profile of PTSD suggested by Briere was not noted on the MMPI-2.</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Dr. Davis concluded that, in the absence of a major mood disorder, anxiety state or psychotic illness, Mrs. Sciberras' pain disorder was strongly suggestive of secondary gain.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57</w:t>
      </w:r>
      <w:r>
        <w:rPr>
          <w:rFonts w:ascii="arial" w:eastAsia="arial" w:hAnsi="arial" w:cs="arial"/>
          <w:color w:val="000000"/>
          <w:sz w:val="20"/>
          <w:lang w:val="en-US" w:eastAsia="en-US" w:bidi="ar-SA"/>
        </w:rPr>
        <w:t>  Dr. Symonds and a psychologist, Dr. Penner, were critical of Dr. Davis' findings. Dr. Symonds was critical of what he thought were contradictory findings by Dr. Davis, for example, his finding of overt pain behaviour by Mrs. Sciberras combined with the observation that she moved and walked freely.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58</w:t>
      </w:r>
      <w:r>
        <w:rPr>
          <w:rFonts w:ascii="arial" w:eastAsia="arial" w:hAnsi="arial" w:cs="arial"/>
          <w:color w:val="000000"/>
          <w:sz w:val="20"/>
          <w:lang w:val="en-US" w:eastAsia="en-US" w:bidi="ar-SA"/>
        </w:rPr>
        <w:t>  Dr. Penner provided an opinion which counsel for the defendant, with some justification, described as "errant nonsense." Dr. Penner postulated that Mrs. Sciberras sustained a mild traumatic brain injury which, prior to his report in February, 2001, had never even been suggested by anyone. Such an ill-considered diagnosis tends to place the entirety of his report under suspicion. I give it no weight whatsoever.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59</w:t>
      </w:r>
      <w:r>
        <w:rPr>
          <w:rFonts w:ascii="arial" w:eastAsia="arial" w:hAnsi="arial" w:cs="arial"/>
          <w:color w:val="000000"/>
          <w:sz w:val="20"/>
          <w:lang w:val="en-US" w:eastAsia="en-US" w:bidi="ar-SA"/>
        </w:rPr>
        <w:t>  In my view, the reports of Dr. Weeks, Dr. Davis and Dr. Hill are compelling. I find that evidence to be more consistent with my impressions of Mrs. Sciberras and her testimony than the evidence of Dr. Symonds and others.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CREDIBILITY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60</w:t>
      </w:r>
      <w:r>
        <w:rPr>
          <w:rFonts w:ascii="arial" w:eastAsia="arial" w:hAnsi="arial" w:cs="arial"/>
          <w:color w:val="000000"/>
          <w:sz w:val="20"/>
          <w:lang w:val="en-US" w:eastAsia="en-US" w:bidi="ar-SA"/>
        </w:rPr>
        <w:t>  It should be obvious from this lengthy review of Mrs. Sciberras' medical history and the opinions of the various doctors who have treated and seen her that her story is complex and perplexing. Most of Mrs. Sciberras' current complaints of pain and disability rest on the evidence of her subjective complaints. It is thus necessary to scrutinize her evidence carefully.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61</w:t>
      </w:r>
      <w:r>
        <w:rPr>
          <w:rFonts w:ascii="arial" w:eastAsia="arial" w:hAnsi="arial" w:cs="arial"/>
          <w:color w:val="000000"/>
          <w:sz w:val="20"/>
          <w:lang w:val="en-US" w:eastAsia="en-US" w:bidi="ar-SA"/>
        </w:rPr>
        <w:t>  Counsel for the defendant argued that Mrs. Sciberras was an unreliable witness who was evasive under cross-examination. Indeed, the defence goes so far as to say that Mrs. Sciberras made untruthful statements to the court, knowing them to be false. The defence listed many inconsistencies in Mrs. Sciberras' evidence. Some of the more significant ones were:</w:t>
      </w:r>
      <w:r>
        <w:rPr>
          <w:rFonts w:ascii="arial" w:eastAsia="arial" w:hAnsi="arial" w:cs="arial"/>
          <w:sz w:val="20"/>
          <w:lang w:val="en-US" w:eastAsia="en-US" w:bidi="ar-SA"/>
        </w:rPr>
        <w:cr/>
      </w:r>
    </w:p>
    <w:p>
      <w:pPr>
        <w:numPr>
          <w:numId w:val="10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Mrs. Sciberras testified that after the 1996 work injury she was able to do many activities. That testimony is clearly contradictory to what she told her health care professionals at the time and to the claim she was making to WCB;</w:t>
      </w:r>
    </w:p>
    <w:p>
      <w:pPr>
        <w:numPr>
          <w:numId w:val="10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She testified that, before the motor vehicle accident, she had mid-back pain on her right, although she injured her back on her left side. She had pain in her sciatic nerve on the left, with pain into her left leg. The only other pain she experienced from the work injury was headache. She said she had no other pain. As can be seen from the review of her pre-accident medical history, this is a demonstrably untrue statement;</w:t>
      </w:r>
    </w:p>
    <w:p>
      <w:pPr>
        <w:numPr>
          <w:numId w:val="10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She claimed she was getting ready to return to work, but she never told her employer, WCB, or Dr. Symonds. The evidence that her daughters "knew" that she was planning to return to work was unconvincing. The evidence of her friend, Mrs. Davis, was similarly unweighty;</w:t>
      </w:r>
    </w:p>
    <w:p>
      <w:pPr>
        <w:numPr>
          <w:numId w:val="10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Although it is a minor point, she testified that she no longer drives. She told others the same thing and her daughters corroborated her statement. However, Dr. Coen said in July 2001 that she continues to drive occasionally;</w:t>
      </w:r>
    </w:p>
    <w:p>
      <w:pPr>
        <w:numPr>
          <w:numId w:val="10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She testified that her sleeping patterns were better before the motor vehicle accident. Again, a review of the evidence shows many complaints of sleep disturbance prior to the accident;</w:t>
      </w:r>
    </w:p>
    <w:p>
      <w:pPr>
        <w:numPr>
          <w:numId w:val="10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She claimed that she lost 40 pounds after the accident which she attributed to pain and anxiety. As the records show, the weight loss was not more than about 20 pounds and was not a concern to the hospital nutritionist who met with her when she was hospitalized for a panic or anxiety attack in December, 2000;</w:t>
      </w:r>
    </w:p>
    <w:p>
      <w:pPr>
        <w:numPr>
          <w:numId w:val="10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Mrs. Sciberras stated that she was getting better in the months before May, 1997 because the sciatic nerve pain had gone away. However, Dr. Symonds reported to WCB in March 1997 that she could hardly sit on the toilet. The defence argues that if she was telling her caregivers the truth on April 25, 1997 when she complained of "pain into leg, left side pain constant", then her evidence at trial that she was recovered from her symptoms cannot be true; and</w:t>
      </w:r>
    </w:p>
    <w:p>
      <w:pPr>
        <w:numPr>
          <w:numId w:val="10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Mrs. Sciberras had no difficulty with memory in answering questions put to her in direct examination. Her cross-examination, which began for a short time at the end of the first day of trial and concluded by noon the following day, was marked by numerous responses of "I don't remember" and "I don't know." She was frequently unresponsive to questions.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This is not an exhaustive list. However, it demonstrates some of the troubling aspects of Mrs. Sciberras' evidence. My impression is that Mrs. Sciberras has convinced herself that the motor vehicle accident is the cause of all of her problems. I think she is understandably incapable of being objective in her belief. To a degree, she has been encouraged in her belief by Dr. Symonds and the likes of Dr. Penner.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62</w:t>
      </w:r>
      <w:r>
        <w:rPr>
          <w:rFonts w:ascii="arial" w:eastAsia="arial" w:hAnsi="arial" w:cs="arial"/>
          <w:color w:val="000000"/>
          <w:sz w:val="20"/>
          <w:lang w:val="en-US" w:eastAsia="en-US" w:bidi="ar-SA"/>
        </w:rPr>
        <w:t>  However, it is plain that Mrs. Sciberras had suffered for many years from a wide array of chronic pain and disability prior to the motor vehicle accident, including, most significantly, fibromyalgia. I reject her evidence that she was improving in the months prior to the accident. The weight of the evidence establishes that she was not recovering. I conclude that the only rational finding is that Mrs. Sciberras suffered from an active, pre-existing condition at the time of the motor vehicle accident. I further conclude that there is no compelling evidence that Mrs. Sciberras would ever have recovered from the fibromyalgia which existed as early as 1994.</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THE LAW</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63</w:t>
      </w:r>
      <w:r>
        <w:rPr>
          <w:rFonts w:ascii="arial" w:eastAsia="arial" w:hAnsi="arial" w:cs="arial"/>
          <w:color w:val="000000"/>
          <w:sz w:val="20"/>
          <w:lang w:val="en-US" w:eastAsia="en-US" w:bidi="ar-SA"/>
        </w:rPr>
        <w:t xml:space="preserve">  The seminal decision on the central issue of causation in this case is Athey v. Leonati </w:t>
      </w:r>
      <w:hyperlink r:id="rId593" w:history="1">
        <w:r>
          <w:rPr>
            <w:rFonts w:ascii="arial" w:eastAsia="arial" w:hAnsi="arial" w:cs="arial"/>
            <w:i/>
            <w:color w:val="0077CC"/>
            <w:sz w:val="20"/>
            <w:u w:val="single"/>
            <w:shd w:val="clear" w:color="auto" w:fill="FFFFFF"/>
            <w:lang w:val="en-US" w:eastAsia="en-US" w:bidi="ar-SA"/>
          </w:rPr>
          <w:t>(1996), 140 D.L.R. (4th) 235</w:t>
        </w:r>
      </w:hyperlink>
      <w:r>
        <w:rPr>
          <w:rFonts w:ascii="arial" w:eastAsia="arial" w:hAnsi="arial" w:cs="arial"/>
          <w:color w:val="000000"/>
          <w:sz w:val="20"/>
          <w:lang w:val="en-US" w:eastAsia="en-US" w:bidi="ar-SA"/>
        </w:rPr>
        <w:t xml:space="preserve"> (S.C.C.). The general principles enunciated in Athey at 238-239 are:</w:t>
      </w:r>
      <w:r>
        <w:rPr>
          <w:rFonts w:ascii="arial" w:eastAsia="arial" w:hAnsi="arial" w:cs="arial"/>
          <w:sz w:val="20"/>
          <w:lang w:val="en-US" w:eastAsia="en-US" w:bidi="ar-SA"/>
        </w:rPr>
        <w:cr/>
      </w:r>
    </w:p>
    <w:p>
      <w:pPr>
        <w:numPr>
          <w:numId w:val="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Causation is established where the plaintiff proves to the civil standard on a balance of probabilities that the defendant caused or contributed to the injury;</w:t>
      </w:r>
    </w:p>
    <w:p>
      <w:pPr>
        <w:numPr>
          <w:numId w:val="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general, but not conclusive, test for causation is the "but for" test, which requires the plaintiff to show that the injury would not have occurred but for the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of the defendant;</w:t>
      </w:r>
    </w:p>
    <w:p>
      <w:pPr>
        <w:numPr>
          <w:numId w:val="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"but for" test is unworkable in some circumstances, so the courts have recognized that causation is established where the defendant's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"materially contributed" to the occurrence of the injury;</w:t>
      </w:r>
    </w:p>
    <w:p>
      <w:pPr>
        <w:numPr>
          <w:numId w:val="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Causation need not be determined by scientific precision; and</w:t>
      </w:r>
    </w:p>
    <w:p>
      <w:pPr>
        <w:numPr>
          <w:numId w:val="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It is not necessary for the plaintiff to establish that the defendant's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was the sole cause of the injury. There is no basis for a reduction of liability because of the existence of other preconditions: defendants remain liable for all injuries caused or contributed to by their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64</w:t>
      </w:r>
      <w:r>
        <w:rPr>
          <w:rFonts w:ascii="arial" w:eastAsia="arial" w:hAnsi="arial" w:cs="arial"/>
          <w:color w:val="000000"/>
          <w:sz w:val="20"/>
          <w:lang w:val="en-US" w:eastAsia="en-US" w:bidi="ar-SA"/>
        </w:rPr>
        <w:t>  In the case at bar, counsel for Mrs. Sciberras asserts that she had a pre-existing condition relating to her back and neck. In addition, she had a "thin-skull" by reason of her fibromyalgia which, the plaintiff says, caused her to sustain greater injury and more extended healing time. As well, the plaintiff says she suffered "new injuries" to her right chest, right arm and hand, hips and low back.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65</w:t>
      </w:r>
      <w:r>
        <w:rPr>
          <w:rFonts w:ascii="arial" w:eastAsia="arial" w:hAnsi="arial" w:cs="arial"/>
          <w:color w:val="000000"/>
          <w:sz w:val="20"/>
          <w:lang w:val="en-US" w:eastAsia="en-US" w:bidi="ar-SA"/>
        </w:rPr>
        <w:t>  The defendant theorizes that Mrs. Sciberras either suffered from an active pre-existing condition or was a true "crumbling skull" which meant that her condition would have inevitably worsened over time and the motor vehicle accident had minimal effect on her.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66</w:t>
      </w:r>
      <w:r>
        <w:rPr>
          <w:rFonts w:ascii="arial" w:eastAsia="arial" w:hAnsi="arial" w:cs="arial"/>
          <w:color w:val="000000"/>
          <w:sz w:val="20"/>
          <w:lang w:val="en-US" w:eastAsia="en-US" w:bidi="ar-SA"/>
        </w:rPr>
        <w:t>  The court in Athey explained the distinction between "thin skulls" and "crumbling skulls" at 243-244:</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"crumbling skull" doctrine is an awkward label for a fairly simple idea. It is named after the well-known "thin skull" rule, which makes the tortfeasor liable for the plaintiff's injuries even if the injuries are unexpectedly severe owing to a pre-existing condition. The tortfeasor must take his or her victim as the tortfeasor finds the victim, and is therefore liable even though the plaintiff's losses are more dramatic than they would be for the average person.</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[35] The so-called "crumbling skull" rule simply recognizes that the pre-existing condition was inherent in the plaintiff's "original position." The defendant need not put the plaintiff in a position better than his or her original position. The defendant is liable for the injuries caused, even if they are extreme, but need not compensate the plaintiff for any debilitating effects of the pre-existing condition which the plaintiff would have experienced anyway. The defendant is liable for the additional damage but not the pre-existing damage: Cooper-Stephenson, supra at pp. 779-780 and John Munkman, Damages for Personal Injuries and Death, 9th ed. (London: Butterworths, 1993) at pp. 39-40. Likewise, if there is a measurable risk that the pre-existing condition would have detrimentally affected the plaintiff in the future, regardless of the defendant's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then this can be taken into account in reducing the overall award: Graham v. Rourke </w:t>
      </w:r>
      <w:hyperlink r:id="rId635" w:history="1">
        <w:r>
          <w:rPr>
            <w:rFonts w:ascii="arial" w:eastAsia="arial" w:hAnsi="arial" w:cs="arial"/>
            <w:i/>
            <w:color w:val="0077CC"/>
            <w:sz w:val="20"/>
            <w:u w:val="single"/>
            <w:shd w:val="clear" w:color="auto" w:fill="FFFFFF"/>
            <w:lang w:val="en-US" w:eastAsia="en-US" w:bidi="ar-SA"/>
          </w:rPr>
          <w:t>(1990), 75 O.R. (2d) 622</w:t>
        </w:r>
      </w:hyperlink>
      <w:r>
        <w:rPr>
          <w:rFonts w:ascii="arial" w:eastAsia="arial" w:hAnsi="arial" w:cs="arial"/>
          <w:color w:val="000000"/>
          <w:sz w:val="20"/>
          <w:lang w:val="en-US" w:eastAsia="en-US" w:bidi="ar-SA"/>
        </w:rPr>
        <w:t>; Malec v. J.C. Hutton Proprietary Ltd. (1990), 169 A.U.C.L.R. 638; Cooper-Stephenson, supra, at pp. 851-852. This is consistent with the general rule that the plaintiff must be returned to the position he would have been in, with all of its attendant risks and short-comings, and not a better position.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67</w:t>
      </w:r>
      <w:r>
        <w:rPr>
          <w:rFonts w:ascii="arial" w:eastAsia="arial" w:hAnsi="arial" w:cs="arial"/>
          <w:color w:val="000000"/>
          <w:sz w:val="20"/>
          <w:lang w:val="en-US" w:eastAsia="en-US" w:bidi="ar-SA"/>
        </w:rPr>
        <w:t>  The law in this often confused area of the law is clearly stated in L.N. Klar, Tort Law, 2d ed. (Scarborough: Carswell, 1996), at 347:</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Cases in which plaintiff's pre-existing conditions are either aggravated or activated by an accident frequently arise. Where a plaintiff has a pre-existing condition which is latent and inactive at the time of the accident, but becomes triggered by it, the courts appropriately treat this as a thin skull case. The plaintiff is entitled to full compensation. Where, however, the plaintiff is suffering from an active and existing condition at the time of the accident, which is aggravated by the accident, courts will assign only partial responsibility for the plaintiff's injuries to the defendant. The defendant's responsibility will depend upon the extent to which the accident aggravated the plaintiff's existing condition. Finally, a third category of cases has been suggested. A case may arise where the plaintiff has an asymptomatic, degenerative condition at the time of the accident which ultimately would have resulted in the type of injury suffered by the plaintiff in the accident. The accident accelerates the process of degeneration. This has been called a "crumbling skull," with the plaintiff entitled only to the damages corresponding to the effect of the accident on the accelerative process. In principle, this category of cases raises the same issue as raised by cases where plaintiffs are suffering from existing conditions which become aggravated by the defendant's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and should be treated in a similar way.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68</w:t>
      </w:r>
      <w:r>
        <w:rPr>
          <w:rFonts w:ascii="arial" w:eastAsia="arial" w:hAnsi="arial" w:cs="arial"/>
          <w:color w:val="000000"/>
          <w:sz w:val="20"/>
          <w:lang w:val="en-US" w:eastAsia="en-US" w:bidi="ar-SA"/>
        </w:rPr>
        <w:t>  In my opinion, based on the extensive evidence before me, I conclude that Mrs. Sciberras suffered from an active and manifest pre-existing condition of fibromyalgia, chronic pain, and impairment in her ability to work, which was inherent in her "original position."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69</w:t>
      </w:r>
      <w:r>
        <w:rPr>
          <w:rFonts w:ascii="arial" w:eastAsia="arial" w:hAnsi="arial" w:cs="arial"/>
          <w:color w:val="000000"/>
          <w:sz w:val="20"/>
          <w:lang w:val="en-US" w:eastAsia="en-US" w:bidi="ar-SA"/>
        </w:rPr>
        <w:t>  Notwithstanding this finding, Mrs. Sciberras is entitled to be compensated for her pain, suffering, and loss of enjoyment of life for the period of time during which the injuries from the motor vehicle accident aggravated her prior active condition or which were fresh complaints unrelated to her active pre-existing condition. This assessment is exceedingly difficult to make by reason of the interweaving nature of Mrs. Sciberras' complaints and the skepticism with which I regard her on-going complaints of pain.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70</w:t>
      </w:r>
      <w:r>
        <w:rPr>
          <w:rFonts w:ascii="arial" w:eastAsia="arial" w:hAnsi="arial" w:cs="arial"/>
          <w:color w:val="000000"/>
          <w:sz w:val="20"/>
          <w:lang w:val="en-US" w:eastAsia="en-US" w:bidi="ar-SA"/>
        </w:rPr>
        <w:t>  I think the most likely time by which her motor vehicle accident injuries resolved was by the end of 1997. I find support in this conclusion from the evidence of Dr. Symonds that her function and symptoms were at a similar pre-accident level by October 1997. Allowing some leeway in that opinion, I would extend the recovery period to the end of 1997.</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71</w:t>
      </w:r>
      <w:r>
        <w:rPr>
          <w:rFonts w:ascii="arial" w:eastAsia="arial" w:hAnsi="arial" w:cs="arial"/>
          <w:color w:val="000000"/>
          <w:sz w:val="20"/>
          <w:lang w:val="en-US" w:eastAsia="en-US" w:bidi="ar-SA"/>
        </w:rPr>
        <w:t xml:space="preserve">  The defendant submits that, of all of the decisions provided to me, the one that most closely approximates the case at bar is the recent Court of Appeal decision in Smyth v. Gill, </w:t>
      </w:r>
      <w:hyperlink r:id="rId636" w:history="1">
        <w:r>
          <w:rPr>
            <w:rFonts w:ascii="arial" w:eastAsia="arial" w:hAnsi="arial" w:cs="arial"/>
            <w:i/>
            <w:color w:val="0077CC"/>
            <w:sz w:val="20"/>
            <w:u w:val="single"/>
            <w:shd w:val="clear" w:color="auto" w:fill="FFFFFF"/>
            <w:lang w:val="en-US" w:eastAsia="en-US" w:bidi="ar-SA"/>
          </w:rPr>
          <w:t>[2001] B.C.J. No. 2379</w:t>
        </w:r>
      </w:hyperlink>
      <w:r>
        <w:rPr>
          <w:rFonts w:ascii="arial" w:eastAsia="arial" w:hAnsi="arial" w:cs="arial"/>
          <w:color w:val="000000"/>
          <w:sz w:val="20"/>
          <w:lang w:val="en-US" w:eastAsia="en-US" w:bidi="ar-SA"/>
        </w:rPr>
        <w:t xml:space="preserve"> (C.A.), in which the court affirmed an award of $50,000 for general damages in a case involving a "crumbling skull."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72</w:t>
      </w:r>
      <w:r>
        <w:rPr>
          <w:rFonts w:ascii="arial" w:eastAsia="arial" w:hAnsi="arial" w:cs="arial"/>
          <w:color w:val="000000"/>
          <w:sz w:val="20"/>
          <w:lang w:val="en-US" w:eastAsia="en-US" w:bidi="ar-SA"/>
        </w:rPr>
        <w:t>  Although I have not found that Mrs. Sciberras has a "crumbling skull", I nevertheless accept that an award of $50,000 is an appropriate award for general damages in this case.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73</w:t>
      </w:r>
      <w:r>
        <w:rPr>
          <w:rFonts w:ascii="arial" w:eastAsia="arial" w:hAnsi="arial" w:cs="arial"/>
          <w:color w:val="000000"/>
          <w:sz w:val="20"/>
          <w:lang w:val="en-US" w:eastAsia="en-US" w:bidi="ar-SA"/>
        </w:rPr>
        <w:t>  Accordingly, I assess Mrs. Sciberras' general damages at $50,000.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74</w:t>
      </w:r>
      <w:r>
        <w:rPr>
          <w:rFonts w:ascii="arial" w:eastAsia="arial" w:hAnsi="arial" w:cs="arial"/>
          <w:color w:val="000000"/>
          <w:sz w:val="20"/>
          <w:lang w:val="en-US" w:eastAsia="en-US" w:bidi="ar-SA"/>
        </w:rPr>
        <w:t>  Mrs. Sciberras is also entitled to special damages from the date of the accident to December 31, 1997. Counsel have advised me that they will be able to agree as to the amount payable.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75</w:t>
      </w:r>
      <w:r>
        <w:rPr>
          <w:rFonts w:ascii="arial" w:eastAsia="arial" w:hAnsi="arial" w:cs="arial"/>
          <w:color w:val="000000"/>
          <w:sz w:val="20"/>
          <w:lang w:val="en-US" w:eastAsia="en-US" w:bidi="ar-SA"/>
        </w:rPr>
        <w:t>  Because I have found that Mrs. Sciberras' pre-accident condition would have inevitably resulted in her current state, I am unable to find any entitlement to past or future wage loss, cost of future care, loss of opportunity, or loss of capacity. Those claims are therefore dismissed.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76</w:t>
      </w:r>
      <w:r>
        <w:rPr>
          <w:rFonts w:ascii="arial" w:eastAsia="arial" w:hAnsi="arial" w:cs="arial"/>
          <w:color w:val="000000"/>
          <w:sz w:val="20"/>
          <w:lang w:val="en-US" w:eastAsia="en-US" w:bidi="ar-SA"/>
        </w:rPr>
        <w:t>  The question of costs was not addressed. If the parties are unable to agree, they have leave to apply.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KIRKPATRICK J.</w:t>
      </w:r>
      <w:r>
        <w:rPr>
          <w:rFonts w:ascii="arial" w:eastAsia="arial" w:hAnsi="arial" w:cs="arial"/>
          <w:sz w:val="20"/>
          <w:lang w:val="en-US" w:eastAsia="en-US" w:bidi="ar-SA"/>
        </w:rPr>
        <w:cr/>
      </w:r>
    </w:p>
    <w:p>
      <w:pPr>
        <w:rPr>
          <w:rFonts w:ascii="arial" w:eastAsia="arial" w:hAnsi="arial" w:cs="arial"/>
          <w:sz w:val="20"/>
          <w:lang w:val="en-US" w:eastAsia="en-US" w:bidi="ar-SA"/>
        </w:rPr>
      </w:pPr>
    </w:p>
    <w:p>
      <w:pPr>
        <w:ind w:left="200"/>
        <w:rPr>
          <w:rFonts w:ascii="arial" w:eastAsia="arial" w:hAnsi="arial" w:cs="arial"/>
          <w:sz w:val="20"/>
          <w:lang w:val="en-US" w:eastAsia="en-US" w:bidi="ar-SA"/>
        </w:rPr>
        <w:sectPr>
          <w:type w:val="continuous"/>
          <w:pgMar w:top="840" w:right="1000" w:bottom="840" w:left="1000" w:header="400" w:footer="400"/>
          <w:pgNumType w:fmt="decimal"/>
          <w:cols w:space="720"/>
        </w:sectPr>
      </w:pPr>
      <w:r>
        <w:rPr>
          <w:rFonts w:ascii="arial" w:eastAsia="arial" w:hAnsi="arial" w:cs="arial"/>
          <w:sz w:val="20"/>
          <w:lang w:val="en-US" w:eastAsia="en-US" w:bidi="ar-SA"/>
        </w:rPr>
        <w:br/>
      </w:r>
      <w:r>
        <w:pict>
          <v:line id="_x0000_s1187" style="position:absolute;z-index:251843584" from="0,10pt" to="512pt,10pt" strokecolor="black" strokeweight="1pt">
            <v:stroke linestyle="single"/>
          </v:line>
        </w:pict>
      </w:r>
      <w:r>
        <w:rPr>
          <w:b/>
          <w:color w:val="767676"/>
          <w:sz w:val="16"/>
          <w:lang w:val="en-US" w:eastAsia="en-US" w:bidi="ar-SA"/>
        </w:rPr>
        <w:t>End of Document</w:t>
      </w:r>
    </w:p>
    <w:p>
      <w:pPr>
        <w:rPr>
          <w:rFonts w:ascii="arial" w:eastAsia="arial" w:hAnsi="arial" w:cs="arial"/>
          <w:sz w:val="20"/>
          <w:lang w:val="en-US" w:eastAsia="en-US" w:bidi="ar-SA"/>
        </w:rPr>
        <w:sectPr>
          <w:headerReference w:type="even" r:id="rId637"/>
          <w:headerReference w:type="default" r:id="rId638"/>
          <w:footerReference w:type="even" r:id="rId639"/>
          <w:footerReference w:type="default" r:id="rId640"/>
          <w:headerReference w:type="first" r:id="rId641"/>
          <w:footerReference w:type="first" r:id="rId642"/>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eastAsia="arial" w:hAnsi="Arial" w:cs="Arial"/>
          <w:b/>
          <w:bCs/>
          <w:kern w:val="32"/>
          <w:sz w:val="32"/>
          <w:szCs w:val="32"/>
          <w:lang w:val="en-US" w:eastAsia="en-US" w:bidi="ar-SA"/>
        </w:rPr>
      </w:pPr>
      <w:hyperlink r:id="rId643" w:history="1">
        <w:r>
          <w:rPr>
            <w:rFonts w:ascii="arial" w:eastAsia="arial" w:hAnsi="arial" w:cs="arial"/>
            <w:b/>
            <w:bCs/>
            <w:i/>
            <w:color w:val="0077CC"/>
            <w:kern w:val="32"/>
            <w:sz w:val="28"/>
            <w:szCs w:val="32"/>
            <w:u w:val="single"/>
            <w:shd w:val="clear" w:color="auto" w:fill="FFFFFF"/>
            <w:lang w:val="en-US" w:eastAsia="en-US" w:bidi="ar-SA"/>
          </w:rPr>
          <w:t>Smithers Parts Ltd. v. Hudson, [2009] B.C.J. No. 2370</w:t>
        </w:r>
      </w:hyperlink>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Judgments</w:t>
      </w:r>
    </w:p>
    <w:p>
      <w:pPr>
        <w:rPr>
          <w:rFonts w:ascii="arial" w:eastAsia="arial" w:hAnsi="arial" w:cs="arial"/>
          <w:sz w:val="20"/>
          <w:lang w:val="en-US" w:eastAsia="en-US" w:bidi="ar-SA"/>
        </w:rPr>
      </w:pP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Smithers, British Columbia</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A.W. MacKenzie J.</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Heard: October 29 and 30, 2009.</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Oral judgment: November 9, 2009.</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Docket: 15209</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Registry: Smithers</w:t>
      </w:r>
    </w:p>
    <w:p>
      <w:pPr>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r>
        <w:rPr>
          <w:rFonts w:ascii="arial" w:eastAsia="arial" w:hAnsi="arial" w:cs="arial"/>
          <w:b/>
          <w:color w:val="000000"/>
          <w:sz w:val="20"/>
          <w:lang w:val="en-US" w:eastAsia="en-US" w:bidi="ar-SA"/>
        </w:rPr>
        <w:t>[2009] B.C.J. No. 2370</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2009 BCSC 1645</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2009 CarswellBC 3226</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182 A.C.W.S. (3d) 509</w:t>
      </w:r>
    </w:p>
    <w:p>
      <w:pPr>
        <w:spacing w:before="120" w:line="260" w:lineRule="atLeast"/>
        <w:rPr>
          <w:rFonts w:ascii="arial" w:eastAsia="arial" w:hAnsi="arial" w:cs="arial"/>
          <w:sz w:val="20"/>
          <w:lang w:val="en-US" w:eastAsia="en-US" w:bidi="ar-SA"/>
        </w:rPr>
      </w:pPr>
      <w:r>
        <w:rPr>
          <w:rFonts w:ascii="arial" w:eastAsia="arial" w:hAnsi="arial" w:cs="arial"/>
          <w:color w:val="000000"/>
          <w:sz w:val="20"/>
          <w:lang w:val="en-US" w:eastAsia="en-US" w:bidi="ar-SA"/>
        </w:rPr>
        <w:t>Between Smithers Parts Ltd., Appellant, and Fred Hudson, Respondent</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(64 paras.)</w:t>
      </w:r>
    </w:p>
    <w:p>
      <w:pPr>
        <w:keepNext/>
        <w:spacing w:before="12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Case Summary</w:t>
      </w:r>
    </w:p>
    <w:p>
      <w:pPr>
        <w:spacing w:line="60" w:lineRule="exact"/>
        <w:rPr>
          <w:rFonts w:ascii="arial" w:eastAsia="arial" w:hAnsi="arial" w:cs="arial"/>
          <w:sz w:val="20"/>
          <w:lang w:val="en-US" w:eastAsia="en-US" w:bidi="ar-SA"/>
        </w:rPr>
      </w:pPr>
      <w:r>
        <w:pict>
          <v:line id="_x0000_s1188" style="position:absolute;z-index:251693056"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bookmarkStart w:id="213" w:name="Keywords_32"/>
      <w:bookmarkEnd w:id="213"/>
      <w:r>
        <w:rPr>
          <w:rFonts w:ascii="arial" w:eastAsia="arial" w:hAnsi="arial" w:cs="arial"/>
          <w:b/>
          <w:color w:val="000000"/>
          <w:sz w:val="20"/>
          <w:lang w:val="en-US" w:eastAsia="en-US" w:bidi="ar-SA"/>
        </w:rPr>
        <w:t>Civil litigation — Civil procedure — Appeals — Grounds for review — Misapprehension of or failure to consider evidence — Appeal from a judgment requiring the appellant Smithers Parts Ltd. to pay the respondent $11,000 for breach of contract allowed — The judge erred in finding the appellant was in breach of contract when its mechanic directed the respondent to drive his logging truck to the Houston, B.C. mill when the mechanic knew that doing so could cause damage to the truck's engine, and that the mechanic failed to advise the respondent accordingly — The trial judge erred in deciding the case on an issue never raised in the pleadings or properly advanced or defended at trial.</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Contracts — Breach of contract — General principles — Appeal from a judgment requiring the appellant Smithers Parts Ltd. to pay the respondent $11,000 for breach of contract allowed — The judge erred in finding the appellant was in breach of contract when its mechanic directed the respondent to drive his logging truck to the Houston, B.C. mill when the mechanic knew that doing so could cause damage to the truck's engine, and that the mechanic failed to advise the respondent accordingly — The trial judge erred in deciding the case on an issue never raised in the pleadings or properly advanced or defended at trial.</w:t>
      </w:r>
    </w:p>
    <w:p>
      <w:pPr>
        <w:rPr>
          <w:rFonts w:ascii="arial" w:eastAsia="arial" w:hAnsi="arial" w:cs="arial"/>
          <w:sz w:val="20"/>
          <w:lang w:val="en-US" w:eastAsia="en-US" w:bidi="ar-SA"/>
        </w:rPr>
      </w:pPr>
    </w:p>
    <w:tbl>
      <w:tblPr>
        <w:tblStyle w:val="TableNormal"/>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
      <w:tblGrid>
        <w:gridCol w:w="10225"/>
      </w:tblGrid>
      <w:tr>
        <w:tblPrEx>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Ex>
        <w:tc>
          <w:tcPr/>
          <w:p>
            <w:pPr>
              <w:rPr>
                <w:rFonts w:ascii="arial" w:eastAsia="arial" w:hAnsi="arial" w:cs="arial"/>
                <w:sz w:val="20"/>
                <w:lang w:val="en-US" w:eastAsia="en-US" w:bidi="ar-SA"/>
              </w:rPr>
            </w:pPr>
            <w:bookmarkStart w:id="214" w:name="Case Summary_30"/>
            <w:bookmarkEnd w:id="214"/>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Appeal from a judgment requiring the appellant Smithers Parts Ltd. to pay the respondent $11,000. Although the claims for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and breach of contract based on the allegation that the appellant's repair services to the respondent's logging truck did not meet the standard expected of a professional heavy-duty mechanic were dismissed, the judge found the appellant was in breach of contract when its mechanic Drescher directed the claimant on Dec. 20, 2004 at the defendant's shop to drive his logging truck to the mill in Houston, B.C., when Drescher knew that doing so could cause damage to the truck's engine, and Drescher failed to advise the claimant accordingly. The breach was found to cause damage to the defendant's truck's engine, for which the claimant paid the defendant $7,000 for engine repair and parts. The judge also awarded the respondent $4,000 for lost income from four log-hauling trips when the truck was in the shop for repairs from Dec. 21, 2004 to Jan. 3, 2005. The issues were whether the judge erred by: (1) deciding an issue that was not before the court; (2) misapprehending the evidence upon which his decision was based; and (3) making a decision that was not supported by the evidence. The appellant argued that the issue of failure to advise or failure to warn was not raised in the pleadings or elsewhere in the pre-trial proceedings. The appellant also argued the judge misapprehended the evidence about when the overheating occurred that caused the engine damage and the location of the mill where the appellant told the respondent to drive his truck after it had sustained engine damage. Finally, the appellant argued there was no causal connection between the alleged failure to advise the respondent of the risk of driving the truck and the engine damage from overheating caused by the faulty air compressor. </w:t>
            </w:r>
            <w:r>
              <w:rPr>
                <w:rFonts w:ascii="arial" w:eastAsia="arial" w:hAnsi="arial" w:cs="arial"/>
                <w:sz w:val="20"/>
                <w:lang w:val="en-US" w:eastAsia="en-US" w:bidi="ar-SA"/>
              </w:rPr>
              <w:cr/>
            </w:r>
          </w:p>
          <w:p>
            <w:pPr>
              <w:spacing w:before="120" w:line="260" w:lineRule="atLeast"/>
              <w:ind w:left="240"/>
              <w:jc w:val="both"/>
              <w:rPr>
                <w:rFonts w:ascii="arial" w:eastAsia="arial" w:hAnsi="arial" w:cs="arial"/>
                <w:sz w:val="20"/>
                <w:lang w:val="en-US" w:eastAsia="en-US" w:bidi="ar-SA"/>
              </w:rPr>
            </w:pPr>
            <w:bookmarkStart w:id="215" w:name="Holdings of Court_24"/>
            <w:bookmarkEnd w:id="215"/>
            <w:r>
              <w:rPr>
                <w:rFonts w:ascii="arial" w:eastAsia="arial" w:hAnsi="arial" w:cs="arial"/>
                <w:color w:val="000000"/>
                <w:sz w:val="20"/>
                <w:lang w:val="en-US" w:eastAsia="en-US" w:bidi="ar-SA"/>
              </w:rPr>
              <w:t>HELD: Appeal allowed.</w:t>
            </w:r>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The decision that the appellant was to pay the respondent $11,000 in damages for breach of contract was set aside. The money paid into court as security for the appeal was to be paid out. The trial judge erred in deciding the case on an issue never raised in the pleadings or properly advanced or defended at trial. The appellant did not have proper notice that failure to advise was an issue. As he was unprepared to meet that issue, he was unfairly disadvantaged at trial. Alternatively, the evidence failed to prove a causal relationship between such a failure and any engine damage from the respondent driving his truck to the mill to unload it and returning to the shop. The only evidence of overheating was related to the drive into the mill on Dec. 19, 2004, not the short drive to the mill on Dec. 20, 2004 after the truck had cooled down overnight and the radiator was refilled that morning. Even the respondent said there was no overheating on his drive to the mill while there was serious overheating the night before. The trial judge misapprehended the evidence about when the overheating occurred that caused the engine damage and the location of the mill where the respondent drove to offload his logs. His decision was based on a misapprehension of the evidence and was unsupported by the evidence. The appellant was awarded $11,460 in expert fees, $99 for freight charges, $2,007 in transcript expenses, and $144 for QuickLaw searches. </w:t>
            </w:r>
            <w:r>
              <w:rPr>
                <w:rFonts w:ascii="arial" w:eastAsia="arial" w:hAnsi="arial" w:cs="arial"/>
                <w:sz w:val="20"/>
                <w:lang w:val="en-US" w:eastAsia="en-US" w:bidi="ar-SA"/>
              </w:rPr>
              <w:cr/>
            </w:r>
          </w:p>
          <w:p>
            <w:pPr>
              <w:rPr>
                <w:rFonts w:ascii="arial" w:eastAsia="arial" w:hAnsi="arial" w:cs="arial"/>
                <w:sz w:val="20"/>
                <w:lang w:val="en-US" w:eastAsia="en-US" w:bidi="ar-SA"/>
              </w:rPr>
            </w:pPr>
          </w:p>
        </w:tc>
      </w:tr>
    </w:tbl>
    <w:p>
      <w:pPr>
        <w:jc w:val="both"/>
        <w:rPr>
          <w:rFonts w:ascii="arial" w:eastAsia="arial" w:hAnsi="arial" w:cs="arial"/>
          <w:sz w:val="20"/>
          <w:lang w:val="en-US" w:eastAsia="en-US" w:bidi="ar-SA"/>
        </w:rPr>
      </w:pPr>
      <w:bookmarkStart w:id="216" w:name="Legislation Cited_23"/>
      <w:bookmarkEnd w:id="216"/>
      <w:r>
        <w:rPr>
          <w:rFonts w:ascii="arial" w:eastAsia="arial" w:hAnsi="arial" w:cs="arial"/>
          <w:sz w:val="20"/>
          <w:lang w:val="en-US" w:eastAsia="en-US" w:bidi="ar-SA"/>
        </w:rPr>
        <w:br/>
      </w:r>
    </w:p>
    <w:p>
      <w:pPr>
        <w:keepNext/>
        <w:spacing w:before="24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Statutes, Regulations and Rules Cited:</w:t>
      </w:r>
    </w:p>
    <w:p>
      <w:pPr>
        <w:spacing w:line="60" w:lineRule="exact"/>
        <w:rPr>
          <w:rFonts w:ascii="arial" w:eastAsia="arial" w:hAnsi="arial" w:cs="arial"/>
          <w:sz w:val="20"/>
          <w:lang w:val="en-US" w:eastAsia="en-US" w:bidi="ar-SA"/>
        </w:rPr>
      </w:pPr>
      <w:r>
        <w:pict>
          <v:line id="_x0000_s1189" style="position:absolute;z-index:251744256"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Small Claims Act, </w:t>
      </w:r>
      <w:hyperlink r:id="rId644" w:history="1">
        <w:r>
          <w:rPr>
            <w:rFonts w:ascii="arial" w:eastAsia="arial" w:hAnsi="arial" w:cs="arial"/>
            <w:i/>
            <w:color w:val="0077CC"/>
            <w:sz w:val="20"/>
            <w:u w:val="single"/>
            <w:shd w:val="clear" w:color="auto" w:fill="FFFFFF"/>
            <w:lang w:val="en-US" w:eastAsia="en-US" w:bidi="ar-SA"/>
          </w:rPr>
          <w:t>RSBC 1996, CHAPTER 430, s. 2</w:t>
        </w:r>
      </w:hyperlink>
      <w:r>
        <w:rPr>
          <w:rFonts w:ascii="arial" w:eastAsia="arial" w:hAnsi="arial" w:cs="arial"/>
          <w:color w:val="000000"/>
          <w:sz w:val="20"/>
          <w:lang w:val="en-US" w:eastAsia="en-US" w:bidi="ar-SA"/>
        </w:rPr>
        <w:t>(1), s. 13</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Small Claims Rules, Rule 20(2)</w:t>
      </w:r>
      <w:r>
        <w:rPr>
          <w:rFonts w:ascii="arial" w:eastAsia="arial" w:hAnsi="arial" w:cs="arial"/>
          <w:sz w:val="20"/>
          <w:lang w:val="en-US" w:eastAsia="en-US" w:bidi="ar-SA"/>
        </w:rPr>
        <w:cr/>
      </w:r>
    </w:p>
    <w:p>
      <w:pPr>
        <w:rPr>
          <w:rFonts w:ascii="arial" w:eastAsia="arial" w:hAnsi="arial" w:cs="arial"/>
          <w:sz w:val="20"/>
          <w:lang w:val="en-US" w:eastAsia="en-US" w:bidi="ar-SA"/>
        </w:rPr>
      </w:pPr>
    </w:p>
    <w:tbl>
      <w:tblPr>
        <w:tblStyle w:val="TableNormal"/>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
      <w:tblGrid>
        <w:gridCol w:w="10225"/>
      </w:tblGrid>
      <w:tr>
        <w:tblPrEx>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Ex>
        <w:tc>
          <w:tcPr/>
          <w:p>
            <w:pPr>
              <w:spacing w:before="120" w:line="260" w:lineRule="atLeast"/>
              <w:ind w:left="240"/>
              <w:rPr>
                <w:rFonts w:ascii="arial" w:eastAsia="arial" w:hAnsi="arial" w:cs="arial"/>
                <w:sz w:val="20"/>
                <w:lang w:val="en-US" w:eastAsia="en-US" w:bidi="ar-SA"/>
              </w:rPr>
            </w:pPr>
            <w:r>
              <w:rPr>
                <w:rFonts w:ascii="arial" w:eastAsia="arial" w:hAnsi="arial" w:cs="arial"/>
                <w:b/>
                <w:color w:val="000000"/>
                <w:sz w:val="20"/>
                <w:lang w:val="en-US" w:eastAsia="en-US" w:bidi="ar-SA"/>
              </w:rPr>
              <w:t>Appeal From:</w:t>
            </w:r>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On Appeal from the Honourable Judge W. Jack of the Provincial Court of British Columbia file no. 14071 judgment dated February 26, 2009. </w:t>
            </w:r>
            <w:r>
              <w:rPr>
                <w:rFonts w:ascii="arial" w:eastAsia="arial" w:hAnsi="arial" w:cs="arial"/>
                <w:sz w:val="20"/>
                <w:lang w:val="en-US" w:eastAsia="en-US" w:bidi="ar-SA"/>
              </w:rPr>
              <w:cr/>
            </w:r>
          </w:p>
          <w:p>
            <w:pPr>
              <w:rPr>
                <w:rFonts w:ascii="arial" w:eastAsia="arial" w:hAnsi="arial" w:cs="arial"/>
                <w:sz w:val="20"/>
                <w:lang w:val="en-US" w:eastAsia="en-US" w:bidi="ar-SA"/>
              </w:rPr>
            </w:pPr>
          </w:p>
        </w:tc>
      </w:tr>
    </w:tbl>
    <w:p>
      <w:pPr>
        <w:jc w:val="both"/>
        <w:rPr>
          <w:rFonts w:ascii="arial" w:eastAsia="arial" w:hAnsi="arial" w:cs="arial"/>
          <w:sz w:val="20"/>
          <w:lang w:val="en-US" w:eastAsia="en-US" w:bidi="ar-SA"/>
        </w:rPr>
      </w:pPr>
      <w:bookmarkStart w:id="217" w:name="Counsel_32"/>
      <w:bookmarkEnd w:id="217"/>
      <w:r>
        <w:rPr>
          <w:rFonts w:ascii="arial" w:eastAsia="arial" w:hAnsi="arial" w:cs="arial"/>
          <w:sz w:val="20"/>
          <w:lang w:val="en-US" w:eastAsia="en-US" w:bidi="ar-SA"/>
        </w:rPr>
        <w:br/>
      </w:r>
    </w:p>
    <w:p>
      <w:pPr>
        <w:keepNext/>
        <w:spacing w:before="24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Counsel</w:t>
      </w:r>
    </w:p>
    <w:p>
      <w:pPr>
        <w:spacing w:line="60" w:lineRule="exact"/>
        <w:rPr>
          <w:rFonts w:ascii="arial" w:eastAsia="arial" w:hAnsi="arial" w:cs="arial"/>
          <w:sz w:val="20"/>
          <w:lang w:val="en-US" w:eastAsia="en-US" w:bidi="ar-SA"/>
        </w:rPr>
      </w:pPr>
      <w:r>
        <w:pict>
          <v:line id="_x0000_s1190" style="position:absolute;z-index:251795456"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Counsel for the Appellant: T. Buri, Q.C.</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Counsel for the Respondent: T. Hudson.</w:t>
      </w:r>
      <w:r>
        <w:rPr>
          <w:rFonts w:ascii="arial" w:eastAsia="arial" w:hAnsi="arial" w:cs="arial"/>
          <w:sz w:val="20"/>
          <w:lang w:val="en-US" w:eastAsia="en-US" w:bidi="ar-SA"/>
        </w:rPr>
        <w:cr/>
      </w:r>
    </w:p>
    <w:p>
      <w:pPr>
        <w:spacing w:after="240"/>
        <w:rPr>
          <w:rFonts w:ascii="arial" w:eastAsia="arial" w:hAnsi="arial" w:cs="arial"/>
          <w:sz w:val="20"/>
          <w:lang w:val="en-US" w:eastAsia="en-US" w:bidi="ar-SA"/>
        </w:rPr>
      </w:pPr>
      <w:bookmarkStart w:id="218" w:name="Judgment_33"/>
      <w:bookmarkEnd w:id="218"/>
      <w:r>
        <w:pict>
          <v:line id="_x0000_s1191" style="position:absolute;z-index:251844608" from="0,12pt" to="512pt,12pt" strokecolor="#009ddb" strokeweight="1.5pt">
            <v:stroke linestyle="single"/>
          </v:line>
        </w:pict>
      </w:r>
    </w:p>
    <w:p>
      <w:pPr>
        <w:spacing w:before="120" w:line="260" w:lineRule="atLeast"/>
        <w:jc w:val="center"/>
        <w:rPr>
          <w:rFonts w:ascii="arial" w:eastAsia="arial" w:hAnsi="arial" w:cs="arial"/>
          <w:sz w:val="20"/>
          <w:lang w:val="en-US" w:eastAsia="en-US" w:bidi="ar-SA"/>
        </w:rPr>
      </w:pPr>
      <w:r>
        <w:rPr>
          <w:rFonts w:ascii="arial" w:eastAsia="arial" w:hAnsi="arial" w:cs="arial"/>
          <w:b/>
          <w:color w:val="000000"/>
          <w:sz w:val="20"/>
          <w:lang w:val="en-US" w:eastAsia="en-US" w:bidi="ar-SA"/>
        </w:rPr>
        <w:t>Oral Reasons for Judgment</w:t>
      </w:r>
      <w:r>
        <w:rPr>
          <w:rFonts w:ascii="arial" w:eastAsia="arial" w:hAnsi="arial" w:cs="arial"/>
          <w:sz w:val="20"/>
          <w:lang w:val="en-US" w:eastAsia="en-US" w:bidi="ar-SA"/>
        </w:rPr>
        <w:cr/>
      </w:r>
    </w:p>
    <w:p>
      <w:pPr>
        <w:rPr>
          <w:rFonts w:ascii="arial" w:eastAsia="arial" w:hAnsi="arial" w:cs="arial"/>
          <w:sz w:val="20"/>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4121"/>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rFonts w:ascii="arial" w:eastAsia="arial" w:hAnsi="arial" w:cs="arial"/>
                <w:sz w:val="20"/>
                <w:lang w:val="en-US" w:eastAsia="en-US" w:bidi="ar-SA"/>
              </w:rPr>
            </w:pPr>
            <w:bookmarkStart w:id="219" w:name="A.W. MacKENZIE J. (orally)"/>
            <w:bookmarkEnd w:id="219"/>
            <w:r>
              <w:rPr>
                <w:rFonts w:ascii="arial" w:eastAsia="arial" w:hAnsi="arial" w:cs="arial"/>
                <w:b/>
                <w:color w:val="000000"/>
                <w:sz w:val="30"/>
                <w:lang w:val="en-US" w:eastAsia="en-US" w:bidi="ar-SA"/>
              </w:rPr>
              <w:t>A.W. MacKENZIE J. (orally)</w:t>
            </w:r>
          </w:p>
        </w:tc>
      </w:tr>
    </w:tbl>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This is an appeal from a judgment of the Provincial Court pronounced on February 26, 2009, following a trial in Small Claims proceedings conducted in Smithers, British Columbia.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xml:space="preserve">  The respondent, Fred Hudson, had brought an action against the appellant, Smithers Parts Ltd., for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and breach of contract based on the allegation that the appellant's repair services to the respondent's logging truck did not meet the standard expected of a professional heavy-duty mechanic.</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The claims arose from the rapid and successive failure of three newly rebuilt air compressors the appellant installed on the respondent's logging truck.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After seven days of trial and extensive expert opinion, the learned Provincial Court judge found the appellant not liable to the respondent for any of the compressor failures. The appellant had not negligently installed them.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The appellant says this conclusion should have disposed of all the issues raised in the pleadings. However, the judge went on to find that engine damage caused by the failure of the second replacement compressor could have been avoided if the appellant had, on December 20, 2004, warned the respondent of the risk of driving his truck to the mill in Houston.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The learned Provincial Court judge found the appellant was in breach of contract when the proprietor, Mr. Drescher, directed the respondent, on December 20, 2004, at the appellant's shop, to drive his logging truck to the mill when Drescher knew that driving the truck to the mill and back to the shop could cause damage to the truck's engine.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The judge found this breach of contract caused damage to the truck's engine. He awarded the respondent damages of $11,000, representing the cost of engine parts and repairs, income loss for the down time during the repairs, and post-judgment interest.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The appeal is brought on the basis that the issue of failure to advise or failure to warn was not raised in the pleadings or elsewhere in the pre-trial proceedings. The appellant also submits the learned trial judge misapprehended the evidence about when the overheating occurred that caused the engine damage and the location of the mill where the appellant told the respondent to drive his truck after it had sustained engine damage.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Finally, the appellant argues there was no causal connection between the alleged failure to advise the respondent of the risk of driving the truck and the engine damage from overheating caused by the faulty air compressor.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No appeal is taken from the $210 in damages awarded for breach of contract on December 18 and 19, 2004, when the appellant's mechanic, Mr. Goalder, failed to have gear pullers with him when he provided services and repair to the failed compressors. The judge ordered that each party would pay their own costs.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Grounds of Appeal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The issues are whether the learned Provincial Court judge erred by (1) deciding an issue that was not before the court, (2) misapprehending the evidence upon which his decision was based, and (3) making a decision that was not supported by the evidence. The second and third issues can be addressed together.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Background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The following summary of undisputed facts is from the judgment below:</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In 2004 and 2005, the respondent was a logging truck operator working out of Smithers. He was paid by the trip to haul logs. The appellant's business in Smithers was the repair and servicing of heavy equipment, including the respondent's logging truck and its air compressor and air supply system. The parties had a contractual business relationship that had existed for several years before 2004 and continued to about January 4, 2005, during which time the appellant's mechanics, Mr. Drescher (also the appellant's directing mind) and Mr. Goalder, provided professional services, parts, and repairs to the respondent's logging truck and its air supply system.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On December 17, 2004, the air compressor on the respondent's logging truck failed while he was hauling logs in the Burns Lake area.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w:t>
      </w:r>
      <w:r>
        <w:rPr>
          <w:rFonts w:ascii="arial" w:eastAsia="arial" w:hAnsi="arial" w:cs="arial"/>
          <w:color w:val="000000"/>
          <w:sz w:val="20"/>
          <w:lang w:val="en-US" w:eastAsia="en-US" w:bidi="ar-SA"/>
        </w:rPr>
        <w:t>  On December 18, Mr. Goalder attended the truck at roadside, removed the failed air compressor, and installed the first replacement rebuilt air compressor. After Mr. Goalder tested it, the respondent resumed his trip. However, the same day, near Houston, this first replacement air compressor failed. Its head gasket had blown.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w:t>
      </w:r>
      <w:r>
        <w:rPr>
          <w:rFonts w:ascii="arial" w:eastAsia="arial" w:hAnsi="arial" w:cs="arial"/>
          <w:color w:val="000000"/>
          <w:sz w:val="20"/>
          <w:lang w:val="en-US" w:eastAsia="en-US" w:bidi="ar-SA"/>
        </w:rPr>
        <w:t>  On December 19 at roadside near Houston, Mr. Goalder removed the first replacement air compressor and installed a second replacement rebuilt air compressor. He again performed tests to satisfy himself that the second replacement air compressor functioned properly.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w:t>
      </w:r>
      <w:r>
        <w:rPr>
          <w:rFonts w:ascii="arial" w:eastAsia="arial" w:hAnsi="arial" w:cs="arial"/>
          <w:color w:val="000000"/>
          <w:sz w:val="20"/>
          <w:lang w:val="en-US" w:eastAsia="en-US" w:bidi="ar-SA"/>
        </w:rPr>
        <w:t>  The respondent proceeded in his logging truck, but as he travelled towards Smithers, he noticed the engine was seriously overheating. The respondent drove to the appellant's repair shop but it was closed at the very late hour. He left his truck, loaded with logs, at the appellant's shop.</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w:t>
      </w:r>
      <w:r>
        <w:rPr>
          <w:rFonts w:ascii="arial" w:eastAsia="arial" w:hAnsi="arial" w:cs="arial"/>
          <w:color w:val="000000"/>
          <w:sz w:val="20"/>
          <w:lang w:val="en-US" w:eastAsia="en-US" w:bidi="ar-SA"/>
        </w:rPr>
        <w:t>  At this point, in paras. 28-30 of his reasons, the trial judge makes the impugned findings of fact that ground his conclusion at para. 64 that the appellant failed to advise the respondent of the risk of engine damage in driving his truck to the mill to unload the logs and back to the shop. He said: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[28] On the 20th of December 2004 the claimant refilled his truck's engine coolant. When the truck was started at the shop, there were loud noises coming from the engine. In spite of the engine noises and the high engine temperature, Drescher directed the claimant to take his logging truck to the mill in Houston and dump the logs and then return to the shop. Drescher knew that driving the truck to the mill could cause damage to the truck's engine. Drescher did not tell the claimant of this risk.</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[29] The claimant arrived at the mill and saw engine coolant being pumped out through the truck's second replacement rebuilt air compressor. This air compressor had failed also due to a blown head gasket.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[30] From the 21st of December '04 to the 3rd of January '05, Goalder removed the second replacement air compressor and installed a third rebuilt air compressor. The claimant had told Drescher not to do any work on his truck's engine until the claimant knew who was going to pay for the repair. In spite of this direction, in order to get the claimant back on the road and hauling logs, Goalder dismantled and rebuilt the truck's engine, which was damaged due to overheating and having been driven from Smithers to the Houston mill. The cost to the claimant for the engine rebuild was $7,000, which the claimant paid to the defendant. Disassembly of the truck's engine by Goalder revealed damage to the core of the engine, engine's pistons, and cylinders. The claimant's truck was out of service from the 21st of December 2004 to the 3rd of January 2005, due to its engine being rebuilt by the defendant.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w:t>
      </w:r>
      <w:r>
        <w:rPr>
          <w:rFonts w:ascii="arial" w:eastAsia="arial" w:hAnsi="arial" w:cs="arial"/>
          <w:color w:val="000000"/>
          <w:sz w:val="20"/>
          <w:lang w:val="en-US" w:eastAsia="en-US" w:bidi="ar-SA"/>
        </w:rPr>
        <w:t>  The trial judge then observed that after January 4, 2005, the third replacement air compressor was replaced by a more expensive one, and the logging truck operated afterward without incident.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w:t>
      </w:r>
      <w:r>
        <w:rPr>
          <w:rFonts w:ascii="arial" w:eastAsia="arial" w:hAnsi="arial" w:cs="arial"/>
          <w:color w:val="000000"/>
          <w:sz w:val="20"/>
          <w:lang w:val="en-US" w:eastAsia="en-US" w:bidi="ar-SA"/>
        </w:rPr>
        <w:t>  The four replacement air compressors were made by different manufacturers, the first three being less expensive than the fourth and built by two different rebuilders.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Reasons for judgment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w:t>
      </w:r>
      <w:r>
        <w:rPr>
          <w:rFonts w:ascii="arial" w:eastAsia="arial" w:hAnsi="arial" w:cs="arial"/>
          <w:color w:val="000000"/>
          <w:sz w:val="20"/>
          <w:lang w:val="en-US" w:eastAsia="en-US" w:bidi="ar-SA"/>
        </w:rPr>
        <w:t>  No issue is taken with the trial judge's conclusion at para. 35 of the reasons that the respondent failed to prove on a balance of probabilities that the defendant was liable in contract or negligent for the failures of the three rebuilt replacement air compressors. The trial judge accepted the opinion of the appellant's expert, Mr. Bailey, that the cause of the failure of air compressors number one and two was loose head bolts and not a blockage in the air discharge system. The loose head bolts were caused by faulty remanufacturing by the factory rebuilder and not by overpressure or any fault of the appellant. These would not be noticeable by a mechanic, and it was not the practice of heavy-duty mechanics to check the torque on compressor head bolts before installation: Reasons, para. 36-37.</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w:t>
      </w:r>
      <w:r>
        <w:rPr>
          <w:rFonts w:ascii="arial" w:eastAsia="arial" w:hAnsi="arial" w:cs="arial"/>
          <w:color w:val="000000"/>
          <w:sz w:val="20"/>
          <w:lang w:val="en-US" w:eastAsia="en-US" w:bidi="ar-SA"/>
        </w:rPr>
        <w:t>  The judge also accepted Mr. Bailey's opinion that the failure of the third replacement air compressor was a lack of lubrication and found there was no evidence it was the appellant's fault: Reasons, para. 37. Thus, the appellant was not responsible for the failure of any of the three air compressors. Furthermore, the pressure relief valve would have had no effect of preventing the failure of replacement compressor number three nor was there evidence to prove that the failure of any of the three replacement air compressors was a blockage in their discharge system: Reasons, paras. 38-39.</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w:t>
      </w:r>
      <w:r>
        <w:rPr>
          <w:rFonts w:ascii="arial" w:eastAsia="arial" w:hAnsi="arial" w:cs="arial"/>
          <w:color w:val="000000"/>
          <w:sz w:val="20"/>
          <w:lang w:val="en-US" w:eastAsia="en-US" w:bidi="ar-SA"/>
        </w:rPr>
        <w:t>  In short, the learned trial judge made very careful and detailed findings based on the evidence that the appellant properly installed each of the three replacement compressors and ensured that the air compressor discharge system functioned properly: Reasons, para. 40. He also found the respondent failed to prove the appellant overcharged or failed to pass on the rebate to the respondent. At issue, however, are the findings at para. 64 as follows: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[64] I find that the defendant was in breach of contract when Drescher directed the claimant on the 20th of December 2004 at the defendant's shop to drive his logging truck to the mill, when Drescher knew that driving the truck to the mill and back to the shop could cause damage to the truck's engine, and Drescher had failed to advise the claimant accordingly. I find that this breach of contract caused damage to the claimant's truck's engine, for which the defendant charged and the claimant paid the sum of $7,000 for engine repair and parts. I therefore order that the defendant pay to the claimant the sum of $7,000 forthwith.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w:t>
      </w:r>
      <w:r>
        <w:rPr>
          <w:rFonts w:ascii="arial" w:eastAsia="arial" w:hAnsi="arial" w:cs="arial"/>
          <w:color w:val="000000"/>
          <w:sz w:val="20"/>
          <w:lang w:val="en-US" w:eastAsia="en-US" w:bidi="ar-SA"/>
        </w:rPr>
        <w:t>  The judge also awarded the respondent $4,000 for lost income from four log-hauling trips when the truck was in the appellant's shop undergoing engine repair from December 21, 2004, to January 3, 2005. He ordered that each party bear their own costs.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Analysis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w:t>
      </w:r>
      <w:r>
        <w:rPr>
          <w:rFonts w:ascii="arial" w:eastAsia="arial" w:hAnsi="arial" w:cs="arial"/>
          <w:color w:val="000000"/>
          <w:sz w:val="20"/>
          <w:lang w:val="en-US" w:eastAsia="en-US" w:bidi="ar-SA"/>
        </w:rPr>
        <w:t>  The appellant seeks an order setting aside the decision of the Provincial Court judge as based on an issue that was not before the court, a misapprehension of the evidence, and unsupported by the evidence.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w:t>
      </w:r>
      <w:r>
        <w:rPr>
          <w:rFonts w:ascii="arial" w:eastAsia="arial" w:hAnsi="arial" w:cs="arial"/>
          <w:color w:val="000000"/>
          <w:sz w:val="20"/>
          <w:lang w:val="en-US" w:eastAsia="en-US" w:bidi="ar-SA"/>
        </w:rPr>
        <w:t xml:space="preserve">  The standard of review on pure questions of law is one of correctness, but the standard of review for findings of fact is they cannot be reversed unless the trial judge has made a palpable and overriding error. A palpable error is one that is plainly seen: </w:t>
      </w:r>
      <w:r>
        <w:rPr>
          <w:rFonts w:ascii="arial" w:eastAsia="arial" w:hAnsi="arial" w:cs="arial"/>
          <w:i/>
          <w:color w:val="000000"/>
          <w:sz w:val="20"/>
          <w:lang w:val="en-US" w:eastAsia="en-US" w:bidi="ar-SA"/>
        </w:rPr>
        <w:t>Housen v. Nikolaisen</w:t>
      </w:r>
      <w:r>
        <w:rPr>
          <w:rFonts w:ascii="arial" w:eastAsia="arial" w:hAnsi="arial" w:cs="arial"/>
          <w:color w:val="000000"/>
          <w:sz w:val="20"/>
          <w:lang w:val="en-US" w:eastAsia="en-US" w:bidi="ar-SA"/>
        </w:rPr>
        <w:t xml:space="preserve">, </w:t>
      </w:r>
      <w:hyperlink r:id="rId645" w:history="1">
        <w:r>
          <w:rPr>
            <w:rFonts w:ascii="arial" w:eastAsia="arial" w:hAnsi="arial" w:cs="arial"/>
            <w:i/>
            <w:color w:val="0077CC"/>
            <w:sz w:val="20"/>
            <w:u w:val="single"/>
            <w:shd w:val="clear" w:color="auto" w:fill="FFFFFF"/>
            <w:lang w:val="en-US" w:eastAsia="en-US" w:bidi="ar-SA"/>
          </w:rPr>
          <w:t>2002 SCC 33</w:t>
        </w:r>
      </w:hyperlink>
      <w:r>
        <w:rPr>
          <w:rFonts w:ascii="arial" w:eastAsia="arial" w:hAnsi="arial" w:cs="arial"/>
          <w:color w:val="000000"/>
          <w:sz w:val="20"/>
          <w:lang w:val="en-US" w:eastAsia="en-US" w:bidi="ar-SA"/>
        </w:rPr>
        <w:t xml:space="preserve">. An appeal court should only intervene when there is a material error, a serious misapprehension of the evidence, or an error in law: </w:t>
      </w:r>
      <w:r>
        <w:rPr>
          <w:rFonts w:ascii="arial" w:eastAsia="arial" w:hAnsi="arial" w:cs="arial"/>
          <w:i/>
          <w:color w:val="000000"/>
          <w:sz w:val="20"/>
          <w:lang w:val="en-US" w:eastAsia="en-US" w:bidi="ar-SA"/>
        </w:rPr>
        <w:t>Hickey v. Hickey</w:t>
      </w:r>
      <w:r>
        <w:rPr>
          <w:rFonts w:ascii="arial" w:eastAsia="arial" w:hAnsi="arial" w:cs="arial"/>
          <w:color w:val="000000"/>
          <w:sz w:val="20"/>
          <w:lang w:val="en-US" w:eastAsia="en-US" w:bidi="ar-SA"/>
        </w:rPr>
        <w:t xml:space="preserve">, </w:t>
      </w:r>
      <w:hyperlink r:id="rId646" w:history="1">
        <w:r>
          <w:rPr>
            <w:rFonts w:ascii="arial" w:eastAsia="arial" w:hAnsi="arial" w:cs="arial"/>
            <w:i/>
            <w:color w:val="0077CC"/>
            <w:sz w:val="20"/>
            <w:u w:val="single"/>
            <w:shd w:val="clear" w:color="auto" w:fill="FFFFFF"/>
            <w:lang w:val="en-US" w:eastAsia="en-US" w:bidi="ar-SA"/>
          </w:rPr>
          <w:t>[1999] 2 S.C.R. 518</w:t>
        </w:r>
      </w:hyperlink>
      <w:r>
        <w:rPr>
          <w:rFonts w:ascii="arial" w:eastAsia="arial" w:hAnsi="arial" w:cs="arial"/>
          <w:color w:val="000000"/>
          <w:sz w:val="20"/>
          <w:lang w:val="en-US" w:eastAsia="en-US" w:bidi="ar-SA"/>
        </w:rPr>
        <w:t xml:space="preserve"> at paras. 11-12; </w:t>
      </w:r>
      <w:r>
        <w:rPr>
          <w:rFonts w:ascii="arial" w:eastAsia="arial" w:hAnsi="arial" w:cs="arial"/>
          <w:i/>
          <w:color w:val="000000"/>
          <w:sz w:val="20"/>
          <w:lang w:val="en-US" w:eastAsia="en-US" w:bidi="ar-SA"/>
        </w:rPr>
        <w:t>R. v. Clark</w:t>
      </w:r>
      <w:r>
        <w:rPr>
          <w:rFonts w:ascii="arial" w:eastAsia="arial" w:hAnsi="arial" w:cs="arial"/>
          <w:color w:val="000000"/>
          <w:sz w:val="20"/>
          <w:lang w:val="en-US" w:eastAsia="en-US" w:bidi="ar-SA"/>
        </w:rPr>
        <w:t xml:space="preserve">, </w:t>
      </w:r>
      <w:hyperlink r:id="rId647" w:history="1">
        <w:r>
          <w:rPr>
            <w:rFonts w:ascii="arial" w:eastAsia="arial" w:hAnsi="arial" w:cs="arial"/>
            <w:i/>
            <w:color w:val="0077CC"/>
            <w:sz w:val="20"/>
            <w:u w:val="single"/>
            <w:shd w:val="clear" w:color="auto" w:fill="FFFFFF"/>
            <w:lang w:val="en-US" w:eastAsia="en-US" w:bidi="ar-SA"/>
          </w:rPr>
          <w:t>2005 SCC 2</w:t>
        </w:r>
      </w:hyperlink>
      <w:r>
        <w:rPr>
          <w:rFonts w:ascii="arial" w:eastAsia="arial" w:hAnsi="arial" w:cs="arial"/>
          <w:color w:val="000000"/>
          <w:sz w:val="20"/>
          <w:lang w:val="en-US" w:eastAsia="en-US" w:bidi="ar-SA"/>
        </w:rPr>
        <w:t xml:space="preserve">. This court will only intervene in an appeal from Small Claims Court where the trial judge was clearly wrong in his apprehension of the law or the facts: </w:t>
      </w:r>
      <w:r>
        <w:rPr>
          <w:rFonts w:ascii="arial" w:eastAsia="arial" w:hAnsi="arial" w:cs="arial"/>
          <w:i/>
          <w:color w:val="000000"/>
          <w:sz w:val="20"/>
          <w:lang w:val="en-US" w:eastAsia="en-US" w:bidi="ar-SA"/>
        </w:rPr>
        <w:t>Priority Buildings Services Ltd. v. Ali</w:t>
      </w:r>
      <w:r>
        <w:rPr>
          <w:rFonts w:ascii="arial" w:eastAsia="arial" w:hAnsi="arial" w:cs="arial"/>
          <w:color w:val="000000"/>
          <w:sz w:val="20"/>
          <w:lang w:val="en-US" w:eastAsia="en-US" w:bidi="ar-SA"/>
        </w:rPr>
        <w:t xml:space="preserve">, </w:t>
      </w:r>
      <w:hyperlink r:id="rId648" w:history="1">
        <w:r>
          <w:rPr>
            <w:rFonts w:ascii="arial" w:eastAsia="arial" w:hAnsi="arial" w:cs="arial"/>
            <w:i/>
            <w:color w:val="0077CC"/>
            <w:sz w:val="20"/>
            <w:u w:val="single"/>
            <w:shd w:val="clear" w:color="auto" w:fill="FFFFFF"/>
            <w:lang w:val="en-US" w:eastAsia="en-US" w:bidi="ar-SA"/>
          </w:rPr>
          <w:t>[1999] B.C.J. No. 2820</w:t>
        </w:r>
      </w:hyperlink>
      <w:r>
        <w:rPr>
          <w:rFonts w:ascii="arial" w:eastAsia="arial" w:hAnsi="arial" w:cs="arial"/>
          <w:color w:val="000000"/>
          <w:sz w:val="20"/>
          <w:lang w:val="en-US" w:eastAsia="en-US" w:bidi="ar-SA"/>
        </w:rPr>
        <w:t xml:space="preserve"> at para. 10, and </w:t>
      </w:r>
      <w:r>
        <w:rPr>
          <w:rFonts w:ascii="arial" w:eastAsia="arial" w:hAnsi="arial" w:cs="arial"/>
          <w:i/>
          <w:color w:val="000000"/>
          <w:sz w:val="20"/>
          <w:lang w:val="en-US" w:eastAsia="en-US" w:bidi="ar-SA"/>
        </w:rPr>
        <w:t>Stewart v. Strutt</w:t>
      </w:r>
      <w:r>
        <w:rPr>
          <w:rFonts w:ascii="arial" w:eastAsia="arial" w:hAnsi="arial" w:cs="arial"/>
          <w:color w:val="000000"/>
          <w:sz w:val="20"/>
          <w:lang w:val="en-US" w:eastAsia="en-US" w:bidi="ar-SA"/>
        </w:rPr>
        <w:t xml:space="preserve">, </w:t>
      </w:r>
      <w:hyperlink r:id="rId649" w:history="1">
        <w:r>
          <w:rPr>
            <w:rFonts w:ascii="arial" w:eastAsia="arial" w:hAnsi="arial" w:cs="arial"/>
            <w:i/>
            <w:color w:val="0077CC"/>
            <w:sz w:val="20"/>
            <w:u w:val="single"/>
            <w:shd w:val="clear" w:color="auto" w:fill="FFFFFF"/>
            <w:lang w:val="en-US" w:eastAsia="en-US" w:bidi="ar-SA"/>
          </w:rPr>
          <w:t>[1998] B.C.J. No. 636</w:t>
        </w:r>
      </w:hyperlink>
      <w:r>
        <w:rPr>
          <w:rFonts w:ascii="arial" w:eastAsia="arial" w:hAnsi="arial" w:cs="arial"/>
          <w:color w:val="000000"/>
          <w:sz w:val="20"/>
          <w:lang w:val="en-US" w:eastAsia="en-US" w:bidi="ar-SA"/>
        </w:rPr>
        <w:t xml:space="preserve"> at para. 10, both being Provincial Court decisions.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w:t>
      </w:r>
      <w:r>
        <w:rPr>
          <w:rFonts w:ascii="arial" w:eastAsia="arial" w:hAnsi="arial" w:cs="arial"/>
          <w:color w:val="000000"/>
          <w:sz w:val="20"/>
          <w:lang w:val="en-US" w:eastAsia="en-US" w:bidi="ar-SA"/>
        </w:rPr>
        <w:t>  Apart from the ground that the judge based his error on an issue not before the court, I must find palpable and overriding error in order to reverse findings of fact or that the trial judge was clearly wrong in his apprehension of the facts; thus, the rules are the same as in the British Columbia Court of Appeal on a review from a judgment of this court.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w:t>
      </w:r>
      <w:r>
        <w:rPr>
          <w:rFonts w:ascii="arial" w:eastAsia="arial" w:hAnsi="arial" w:cs="arial"/>
          <w:color w:val="000000"/>
          <w:sz w:val="20"/>
          <w:lang w:val="en-US" w:eastAsia="en-US" w:bidi="ar-SA"/>
        </w:rPr>
        <w:t xml:space="preserve">  Section 13 of the </w:t>
      </w:r>
      <w:r>
        <w:rPr>
          <w:rFonts w:ascii="arial" w:eastAsia="arial" w:hAnsi="arial" w:cs="arial"/>
          <w:i/>
          <w:color w:val="000000"/>
          <w:sz w:val="20"/>
          <w:lang w:val="en-US" w:eastAsia="en-US" w:bidi="ar-SA"/>
        </w:rPr>
        <w:t>Small Claims Act</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R.S.B.C. 1996, c. 430</w:t>
      </w:r>
      <w:r>
        <w:rPr>
          <w:rFonts w:ascii="arial" w:eastAsia="arial" w:hAnsi="arial" w:cs="arial"/>
          <w:color w:val="000000"/>
          <w:sz w:val="20"/>
          <w:lang w:val="en-US" w:eastAsia="en-US" w:bidi="ar-SA"/>
        </w:rPr>
        <w:t>, provides: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13 (1) On an appeal, the Supreme Court may do one or more of the following:</w:t>
      </w:r>
    </w:p>
    <w:p>
      <w:pPr>
        <w:numPr>
          <w:numId w:val="10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make any order that could be made by the Provincial Court;</w:t>
      </w:r>
    </w:p>
    <w:p>
      <w:pPr>
        <w:numPr>
          <w:numId w:val="10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impose reasonable terms and conditions in an order;</w:t>
      </w:r>
    </w:p>
    <w:p>
      <w:pPr>
        <w:numPr>
          <w:numId w:val="10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make any additional order that it considers just;</w:t>
      </w:r>
    </w:p>
    <w:p>
      <w:pPr>
        <w:numPr>
          <w:numId w:val="10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by order award costs to any party to the appeal in accordance with the Supreme Court Rules.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 Did the trial judge err by deciding an issue that was not before the court?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w:t>
      </w:r>
      <w:r>
        <w:rPr>
          <w:rFonts w:ascii="arial" w:eastAsia="arial" w:hAnsi="arial" w:cs="arial"/>
          <w:color w:val="000000"/>
          <w:sz w:val="20"/>
          <w:lang w:val="en-US" w:eastAsia="en-US" w:bidi="ar-SA"/>
        </w:rPr>
        <w:t xml:space="preserve">  The appellant relied on several cases for the proposition that despite the mandate of the Small Claims Court under s. 2(1) of the </w:t>
      </w:r>
      <w:r>
        <w:rPr>
          <w:rFonts w:ascii="arial" w:eastAsia="arial" w:hAnsi="arial" w:cs="arial"/>
          <w:i/>
          <w:color w:val="000000"/>
          <w:sz w:val="20"/>
          <w:lang w:val="en-US" w:eastAsia="en-US" w:bidi="ar-SA"/>
        </w:rPr>
        <w:t>Small Claims Act</w:t>
      </w:r>
      <w:r>
        <w:rPr>
          <w:rFonts w:ascii="arial" w:eastAsia="arial" w:hAnsi="arial" w:cs="arial"/>
          <w:color w:val="000000"/>
          <w:sz w:val="20"/>
          <w:lang w:val="en-US" w:eastAsia="en-US" w:bidi="ar-SA"/>
        </w:rPr>
        <w:t xml:space="preserve"> that disputes are to be resolved in a just, speedy, inexpensive and simple manner, the requirement for pleadings or that the other side have notice of the issues do not offend that mandate because a party must be given the opportunity to properly prepare for trial: </w:t>
      </w:r>
      <w:r>
        <w:rPr>
          <w:rFonts w:ascii="arial" w:eastAsia="arial" w:hAnsi="arial" w:cs="arial"/>
          <w:i/>
          <w:color w:val="000000"/>
          <w:sz w:val="20"/>
          <w:lang w:val="en-US" w:eastAsia="en-US" w:bidi="ar-SA"/>
        </w:rPr>
        <w:t>Lovrich v. Insurance Corp. of British Columbia</w:t>
      </w:r>
      <w:r>
        <w:rPr>
          <w:rFonts w:ascii="arial" w:eastAsia="arial" w:hAnsi="arial" w:cs="arial"/>
          <w:color w:val="000000"/>
          <w:sz w:val="20"/>
          <w:lang w:val="en-US" w:eastAsia="en-US" w:bidi="ar-SA"/>
        </w:rPr>
        <w:t xml:space="preserve">, </w:t>
      </w:r>
      <w:hyperlink r:id="rId650" w:history="1">
        <w:r>
          <w:rPr>
            <w:rFonts w:ascii="arial" w:eastAsia="arial" w:hAnsi="arial" w:cs="arial"/>
            <w:i/>
            <w:color w:val="0077CC"/>
            <w:sz w:val="20"/>
            <w:u w:val="single"/>
            <w:shd w:val="clear" w:color="auto" w:fill="FFFFFF"/>
            <w:lang w:val="en-US" w:eastAsia="en-US" w:bidi="ar-SA"/>
          </w:rPr>
          <w:t>[1994] B.C.J. No. 2284</w:t>
        </w:r>
      </w:hyperlink>
      <w:r>
        <w:rPr>
          <w:rFonts w:ascii="arial" w:eastAsia="arial" w:hAnsi="arial" w:cs="arial"/>
          <w:color w:val="000000"/>
          <w:sz w:val="20"/>
          <w:lang w:val="en-US" w:eastAsia="en-US" w:bidi="ar-SA"/>
        </w:rPr>
        <w:t xml:space="preserve"> (Prov. Ct.) at para. 10.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Cappos v. Zurich Canada</w:t>
      </w:r>
      <w:r>
        <w:rPr>
          <w:rFonts w:ascii="arial" w:eastAsia="arial" w:hAnsi="arial" w:cs="arial"/>
          <w:color w:val="000000"/>
          <w:sz w:val="20"/>
          <w:lang w:val="en-US" w:eastAsia="en-US" w:bidi="ar-SA"/>
        </w:rPr>
        <w:t xml:space="preserve">, </w:t>
      </w:r>
      <w:hyperlink r:id="rId651" w:history="1">
        <w:r>
          <w:rPr>
            <w:rFonts w:ascii="arial" w:eastAsia="arial" w:hAnsi="arial" w:cs="arial"/>
            <w:i/>
            <w:color w:val="0077CC"/>
            <w:sz w:val="20"/>
            <w:u w:val="single"/>
            <w:shd w:val="clear" w:color="auto" w:fill="FFFFFF"/>
            <w:lang w:val="en-US" w:eastAsia="en-US" w:bidi="ar-SA"/>
          </w:rPr>
          <w:t>[1996] B.C.J. No. 2552</w:t>
        </w:r>
      </w:hyperlink>
      <w:r>
        <w:rPr>
          <w:rFonts w:ascii="arial" w:eastAsia="arial" w:hAnsi="arial" w:cs="arial"/>
          <w:color w:val="000000"/>
          <w:sz w:val="20"/>
          <w:lang w:val="en-US" w:eastAsia="en-US" w:bidi="ar-SA"/>
        </w:rPr>
        <w:t xml:space="preserve"> (Prov. Ct.), His Honour Judge Stansfield considered the sufficiency of pleadings in Small Claims Court. He commented that the settlement conference process will usually cure problems where the objective of effective notice has not been met by the pleadings as originally drafted by the parties. However, parties who arrive in court having provided no notice of their intended application or issues therein would have their applications dismissed as patently unfair unless the party without notice is not taken by surprise: paras. 14-16.</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Priority Buildings Services Ltd. v. Ali</w:t>
      </w:r>
      <w:r>
        <w:rPr>
          <w:rFonts w:ascii="arial" w:eastAsia="arial" w:hAnsi="arial" w:cs="arial"/>
          <w:color w:val="000000"/>
          <w:sz w:val="20"/>
          <w:lang w:val="en-US" w:eastAsia="en-US" w:bidi="ar-SA"/>
        </w:rPr>
        <w:t>, Madam Justice Stromberg-Stein observed that a party is entitled to have proper notice of the claims being made against it. In the interests of fairness and justice, a party is entitled to know the case to be met. She said it is inappropriate, and perhaps unjust and unfair, to try an issue not properly raised in the pleadings since the lack of proper notice of the issue will leave a party unprepared and disadvantaged at trial. The trial judge erred in doing so in that case. The appeal was decided, however, on a different issue that was squarely before the court through the pleadings and the evidence.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w:t>
      </w:r>
      <w:r>
        <w:rPr>
          <w:rFonts w:ascii="arial" w:eastAsia="arial" w:hAnsi="arial" w:cs="arial"/>
          <w:color w:val="000000"/>
          <w:sz w:val="20"/>
          <w:lang w:val="en-US" w:eastAsia="en-US" w:bidi="ar-SA"/>
        </w:rPr>
        <w:t>  In this case, the respondent submitted that part of the issue before the court was whether the appellant's mechanics acted as ordinary, reasonable, and prudent mechanics in the circumstances, including the provision of services which included providing advice to the respondent. The respondent said it could be inferred that in finding the advice of Mr. Drescher, the appellant's guiding mind and a heavy-duty mechanic, to drive the truck from the shop to the mill to unload it and back to the shop resulted in engine damage, that the trial judge found a duty to advise the respondent of the risk of engine damage, and the appellant failed in that duty. The respondent argues there was substantial evidence on which to infer that the trial judge found the appellant's mechanics, Mr. Drescher and Mr. Goalder, did not act as ordinary, reasonable, and prudent heavy-duty mechanics in the circumstances. This evidence included Drescher's knowledge that if one does not know what the damage is, it is probably safe not to drive the truck because that way there is no risk of further harm: Transcript, Day 7, p. 64, lines 41-45.</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w:t>
      </w:r>
      <w:r>
        <w:rPr>
          <w:rFonts w:ascii="arial" w:eastAsia="arial" w:hAnsi="arial" w:cs="arial"/>
          <w:color w:val="000000"/>
          <w:sz w:val="20"/>
          <w:lang w:val="en-US" w:eastAsia="en-US" w:bidi="ar-SA"/>
        </w:rPr>
        <w:t xml:space="preserve">  The respondent says the trial judge inferred an obligation to inform the respondent of the potential risks moving the truck given the engine noise and its previous overheating. The respondent maintains that his amended statement of claim at paras. 8(a) and (h) to (k) provides notice of the particulars of the breach of contract and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at issue. These paragraphs provide:</w:t>
      </w:r>
      <w:r>
        <w:rPr>
          <w:rFonts w:ascii="arial" w:eastAsia="arial" w:hAnsi="arial" w:cs="arial"/>
          <w:sz w:val="20"/>
          <w:lang w:val="en-US" w:eastAsia="en-US" w:bidi="ar-SA"/>
        </w:rPr>
        <w:cr/>
      </w:r>
    </w:p>
    <w:p>
      <w:pPr>
        <w:numPr>
          <w:numId w:val="2"/>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Particulars of the breach of contract and negligent exercise of expertise, skill and workmanship by the Defendant, its agents and/or employees includes, </w:t>
      </w:r>
      <w:r>
        <w:rPr>
          <w:rFonts w:ascii="arial" w:eastAsia="arial" w:hAnsi="arial" w:cs="arial"/>
          <w:i/>
          <w:color w:val="000000"/>
          <w:sz w:val="20"/>
          <w:lang w:val="en-US" w:eastAsia="en-US" w:bidi="ar-SA"/>
        </w:rPr>
        <w:t>inter alia</w:t>
      </w:r>
      <w:r>
        <w:rPr>
          <w:rFonts w:ascii="arial" w:eastAsia="arial" w:hAnsi="arial" w:cs="arial"/>
          <w:color w:val="000000"/>
          <w:sz w:val="20"/>
          <w:lang w:val="en-US" w:eastAsia="en-US" w:bidi="ar-SA"/>
        </w:rPr>
        <w:t>:</w:t>
      </w:r>
    </w:p>
    <w:p>
      <w:pPr>
        <w:numPr>
          <w:numId w:val="3"/>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Providing and installing defective parts on the Unit ...</w:t>
      </w:r>
    </w:p>
    <w:p>
      <w:pPr>
        <w:numPr>
          <w:numId w:val="3"/>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Failing to adhere to industry and manufacturer standards and recommendations for conducting diagnostics, maintenance and repair of heavy duty equipment in the Province of British Columbia;</w:t>
      </w:r>
    </w:p>
    <w:p>
      <w:pPr>
        <w:numPr>
          <w:numId w:val="3"/>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Failing to use the requisite standard, or any standard, of expertise and skill required of heavy duty mechanics engaged in the diagnostic testing, maintenance and repair of the Unit;</w:t>
      </w:r>
    </w:p>
    <w:p>
      <w:pPr>
        <w:numPr>
          <w:numId w:val="3"/>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Failing to use the requisite expertise, skill and care, or any expertise, skill and care, in the diagnostics, maintenance and repair of the Unit generally; and</w:t>
      </w:r>
    </w:p>
    <w:p>
      <w:pPr>
        <w:numPr>
          <w:numId w:val="3"/>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Such further and other particulars of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and breach of contract as may be proven at the trial of this action.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34</w:t>
      </w:r>
      <w:r>
        <w:rPr>
          <w:rFonts w:ascii="arial" w:eastAsia="arial" w:hAnsi="arial" w:cs="arial"/>
          <w:color w:val="000000"/>
          <w:sz w:val="20"/>
          <w:lang w:val="en-US" w:eastAsia="en-US" w:bidi="ar-SA"/>
        </w:rPr>
        <w:t>  In short, the respondent submits the issue of whether the appellant failed to advise or warn the respondent was implicit in the standard of care owed by an ordinary, reasonable, and prudent mechanic. He contends there is a duty to advise built into that standard and failure to warn of inherent dangers associated with a recommended course of action is a breach of that duty. Furthermore, he says that Mr. Drescher and Mr. Goalder had every opportunity to respond to the issue raised by the trial judge in that the suggestion that it was unwise to move the truck before diagnosing the engine noise was put to them in cross-examination.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35</w:t>
      </w:r>
      <w:r>
        <w:rPr>
          <w:rFonts w:ascii="arial" w:eastAsia="arial" w:hAnsi="arial" w:cs="arial"/>
          <w:color w:val="000000"/>
          <w:sz w:val="20"/>
          <w:lang w:val="en-US" w:eastAsia="en-US" w:bidi="ar-SA"/>
        </w:rPr>
        <w:t>  I am not persuaded the respondent's position is correct. Instead, I agree with the appellant that the claim, had it been framed in the pleadings, would have been for damages for breach of contract by the appellant in failing to warn or advise the respondent of the risks of driving his logging truck to and from the sawmill in Smithers in the circumstances.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36</w:t>
      </w:r>
      <w:r>
        <w:rPr>
          <w:rFonts w:ascii="arial" w:eastAsia="arial" w:hAnsi="arial" w:cs="arial"/>
          <w:color w:val="000000"/>
          <w:sz w:val="20"/>
          <w:lang w:val="en-US" w:eastAsia="en-US" w:bidi="ar-SA"/>
        </w:rPr>
        <w:t>  An examination of the appeal book reveals that the claim for failure to advise or warn was not raised in any of the pleadings, pre-trial disclosures, or pre-trial hearings. The respondent gave the appellant no notice of such a claim, nor did the respondent tender any evidence to support a claim of failure to advise or warn. The respondent now relies on the evidence elicited on cross-examination of Mr. Drescher acknowledging that it was not safe to drive the truck with the damaged engine so as to avoid risk of further harm.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37</w:t>
      </w:r>
      <w:r>
        <w:rPr>
          <w:rFonts w:ascii="arial" w:eastAsia="arial" w:hAnsi="arial" w:cs="arial"/>
          <w:color w:val="000000"/>
          <w:sz w:val="20"/>
          <w:lang w:val="en-US" w:eastAsia="en-US" w:bidi="ar-SA"/>
        </w:rPr>
        <w:t>  Mr. Goalder also testified in cross-examination that there was a risk in moving the truck from the shop to the mill before it could be examined, but the issue defined by the pleadings and the pre-trial procedures was whether the appellant had exercised the standards of a heavy-duty mechanic in providing professional services, parts, and repairs to the respondent's truck. The entire trial was focused on resolving the issue of whether, as the respondent claimed, the compressors were negligently installed as reflected in an alleged blockage in the air discharge hose.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38</w:t>
      </w:r>
      <w:r>
        <w:rPr>
          <w:rFonts w:ascii="arial" w:eastAsia="arial" w:hAnsi="arial" w:cs="arial"/>
          <w:color w:val="000000"/>
          <w:sz w:val="20"/>
          <w:lang w:val="en-US" w:eastAsia="en-US" w:bidi="ar-SA"/>
        </w:rPr>
        <w:t>  The appellant, on the other hand, led evidence to show the compressors failed due to manufacturer's defects which would absolve the appellant from any liability.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39</w:t>
      </w:r>
      <w:r>
        <w:rPr>
          <w:rFonts w:ascii="arial" w:eastAsia="arial" w:hAnsi="arial" w:cs="arial"/>
          <w:color w:val="000000"/>
          <w:sz w:val="20"/>
          <w:lang w:val="en-US" w:eastAsia="en-US" w:bidi="ar-SA"/>
        </w:rPr>
        <w:t xml:space="preserve">  The first suggestion that the appellant could be liable for the engine damage without being liable for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came in a misleading statement of facts in the respondent's final submissions. In his written submission following the hearing (and I pause to say I do not find that it was deliberately misleading, but in fact it was misleading), the respondent said: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Drescher admitted in cross-examination that he was aware if the unit was driven to the mill it could cause further damage. (The respondent) was not advised of this and engine damage occurred.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40</w:t>
      </w:r>
      <w:r>
        <w:rPr>
          <w:rFonts w:ascii="arial" w:eastAsia="arial" w:hAnsi="arial" w:cs="arial"/>
          <w:color w:val="000000"/>
          <w:sz w:val="20"/>
          <w:lang w:val="en-US" w:eastAsia="en-US" w:bidi="ar-SA"/>
        </w:rPr>
        <w:t>  This statement is misleading because the testimony of the respondent himself was that there was no overheating on the trip to the mill and back. It was common ground that the engine damage was caused by overheating of the engine due to a faulty air compressor, and the evidence of the respondent himself was that serious overheating occurred the night before on December 19, 2004. Even then the respondent did not identify the failure to advise issue in the section of his argument that defined the issues in the case nor did he offer any argument as to how the evidence would support such a claim.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41</w:t>
      </w:r>
      <w:r>
        <w:rPr>
          <w:rFonts w:ascii="arial" w:eastAsia="arial" w:hAnsi="arial" w:cs="arial"/>
          <w:color w:val="000000"/>
          <w:sz w:val="20"/>
          <w:lang w:val="en-US" w:eastAsia="en-US" w:bidi="ar-SA"/>
        </w:rPr>
        <w:t>  The next time the issue was addressed was in the reasons for judgment when it was too late for the appellant to reply to such a claim, but in any event, there was evidence from the respondent himself that no overheating in fact occurred after the appellant, Mr. Drescher, suggested to the respondent that he drive his truck to the mill to unload the logs, then return to the appellant's shop for repairs.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42</w:t>
      </w:r>
      <w:r>
        <w:rPr>
          <w:rFonts w:ascii="arial" w:eastAsia="arial" w:hAnsi="arial" w:cs="arial"/>
          <w:color w:val="000000"/>
          <w:sz w:val="20"/>
          <w:lang w:val="en-US" w:eastAsia="en-US" w:bidi="ar-SA"/>
        </w:rPr>
        <w:t>  With respect to the drive from the appellant's shop to the mill in Smithers to unload the logs, the respondent testified as follows: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6"/>
        <w:gridCol w:w="521"/>
        <w:gridCol w:w="240"/>
        <w:gridCol w:w="8027"/>
        <w:gridCol w:w="104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205"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Mr. Drescher -- he wanted to be able to bring the truck into the shop. And, his shop is not laid out in a manner that you can bring a loaded truck in there, without -- him being able to close the doors. So, they suggested I take it over to the mill and unload it; and then, we drop my trailer and bring the truck inside.</w:t>
            </w:r>
          </w:p>
        </w:tc>
        <w:tc>
          <w:tcPr>
            <w:tcW w:w="102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205"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Given the problems that you had the day before, were you concerned about that advice?</w:t>
            </w:r>
          </w:p>
        </w:tc>
        <w:tc>
          <w:tcPr>
            <w:tcW w:w="102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205"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Um -- I was concerned about everything, by that time.</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732"/>
        <w:gridCol w:w="8051"/>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17"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What did you do about that?</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6"/>
        <w:gridCol w:w="521"/>
        <w:gridCol w:w="240"/>
        <w:gridCol w:w="8027"/>
        <w:gridCol w:w="104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205"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Well, I mean, I did all the checks that I could do. I topped up the radiator. I went over and got it unloaded -- they did it as quickly as possible -- returned to the yard. I didn't have any problems with overheating when I took the load there and came back, so --</w:t>
            </w:r>
          </w:p>
        </w:tc>
        <w:tc>
          <w:tcPr>
            <w:tcW w:w="102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205"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Okay. Well, you did have problems, when they were taking the load off.</w:t>
            </w:r>
          </w:p>
        </w:tc>
        <w:tc>
          <w:tcPr>
            <w:tcW w:w="102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205"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Well, I noticed that the coolant was pumping out of the air dryer. I mean, that -- yeah, that's a problem.</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43</w:t>
      </w:r>
      <w:r>
        <w:rPr>
          <w:rFonts w:ascii="arial" w:eastAsia="arial" w:hAnsi="arial" w:cs="arial"/>
          <w:color w:val="000000"/>
          <w:sz w:val="20"/>
          <w:lang w:val="en-US" w:eastAsia="en-US" w:bidi="ar-SA"/>
        </w:rPr>
        <w:t>  In the passage above, the respondent clearly says there was no problem with engine overheating December 20, 2004, on the way to the mill and back to the shop, and it is common ground the engine damage was caused by overheating through failure of the air compressor, but this overheating had occurred the night before on December 19, 2004. The appellant could have shown, had it any notice of the issue upon which the judge decided the case, that the amount of coolant that was pumped out during the short trip to the Smithers mill was not enough to cause sufficient overheating to damage the engine. Therefore, not only was the appellant deprived of the opportunity to address this failure to warn or failure to advise issue, but the scant evidence relating to the issue revealed that the engine damage had already occurred the night before on December 19, 2004, as described by the respondent who testified about the serious and obvious overheating of the engine that occurred on his travels from Houston to Smithers. The respondent said there was no overheating on the trip to the mill, but there was serious overheating the night before.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44</w:t>
      </w:r>
      <w:r>
        <w:rPr>
          <w:rFonts w:ascii="arial" w:eastAsia="arial" w:hAnsi="arial" w:cs="arial"/>
          <w:color w:val="000000"/>
          <w:sz w:val="20"/>
          <w:lang w:val="en-US" w:eastAsia="en-US" w:bidi="ar-SA"/>
        </w:rPr>
        <w:t>  The appellant agrees that Drescher knew there was some risk in advising the respondent to drive his truck to the mill in Smithers to unload the logs, but the truck could not otherwise be repaired and the engine damage from overheating had already occurred the day before on December 19, 2004.</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45</w:t>
      </w:r>
      <w:r>
        <w:rPr>
          <w:rFonts w:ascii="arial" w:eastAsia="arial" w:hAnsi="arial" w:cs="arial"/>
          <w:color w:val="000000"/>
          <w:sz w:val="20"/>
          <w:lang w:val="en-US" w:eastAsia="en-US" w:bidi="ar-SA"/>
        </w:rPr>
        <w:t>  It is a fundamental principle of our justice system that a defendant be given an opportunity to answer the claims against him. The appellant here had no opportunity to answer the claim that he directed the respondent to take a risk knowing the risk might cause damage and without so informing the respondent. Had the appellant been given the chance to answer this claim, it could have shown that (a) the engine damage had already occurred the night before, (b) the respondent already well understood the risks, (c) the respondent was not "directed" to do anything but instead a suggestion was made, (d) the truck could not be repaired unless the suggestion was followed, (e) the risk was very low that further engine damage would occur as the truck had cooled overnight, the coolant lost the night before had been replaced, and the distance from the shop to the mill was not the distance of about a 45-minute drive between Smithers and Houston, as the trial judge mistakenly assumed, but instead, it was just across Highway 16 in Smithers.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46</w:t>
      </w:r>
      <w:r>
        <w:rPr>
          <w:rFonts w:ascii="arial" w:eastAsia="arial" w:hAnsi="arial" w:cs="arial"/>
          <w:color w:val="000000"/>
          <w:sz w:val="20"/>
          <w:lang w:val="en-US" w:eastAsia="en-US" w:bidi="ar-SA"/>
        </w:rPr>
        <w:t>  I conclude, therefore, that the trial judge was in error in deciding the case on an issue never raised in the pleadings or properly advanced or defended at trial. The appellant did not have proper notice that failure to advise was an issue. Unprepared to meet that issue, the appellant was unfairly disadvantaged at trial.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47</w:t>
      </w:r>
      <w:r>
        <w:rPr>
          <w:rFonts w:ascii="arial" w:eastAsia="arial" w:hAnsi="arial" w:cs="arial"/>
          <w:color w:val="000000"/>
          <w:sz w:val="20"/>
          <w:lang w:val="en-US" w:eastAsia="en-US" w:bidi="ar-SA"/>
        </w:rPr>
        <w:t>  The appeal must succeed on this issue alone, but it is underscored by the trial judge's misapprehensions of the evidence.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 Did the trial judge misapprehend the evidence upon which his decision was based or make a decision that was unsupported by the evidence?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48</w:t>
      </w:r>
      <w:r>
        <w:rPr>
          <w:rFonts w:ascii="arial" w:eastAsia="arial" w:hAnsi="arial" w:cs="arial"/>
          <w:color w:val="000000"/>
          <w:sz w:val="20"/>
          <w:lang w:val="en-US" w:eastAsia="en-US" w:bidi="ar-SA"/>
        </w:rPr>
        <w:t>  Even had the issue of failure to advise or warn been properly before the court, the evidence fails to prove a causal relationship between such a failure and any engine damage from the respondent driving his truck to the Smithers mill to unload it and returning to the shop. As mentioned above, there was no dispute that the engine damage described by the trial judge was caused by engine overheating which, in turn, was caused by the failure of the second replacement compressor, but the only evidence of overheating was related to the drive into Smithers on December 19, 2004, not the short drive to the mill on December 20, 2004, after the truck had cooled down overnight and the radiator was refilled that morning.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49</w:t>
      </w:r>
      <w:r>
        <w:rPr>
          <w:rFonts w:ascii="arial" w:eastAsia="arial" w:hAnsi="arial" w:cs="arial"/>
          <w:color w:val="000000"/>
          <w:sz w:val="20"/>
          <w:lang w:val="en-US" w:eastAsia="en-US" w:bidi="ar-SA"/>
        </w:rPr>
        <w:t>  Mr. Drescher did not see any problem with the respondent going to the mill to unload his logs on the morning of December 20. He said that after a new compressor had been installed but before the engine damage was confirmed, the respondent himself decided, fully aware by then that engine damage might have occurred, to drive his truck to another shop for a second opinion about the noise from the engine.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50</w:t>
      </w:r>
      <w:r>
        <w:rPr>
          <w:rFonts w:ascii="arial" w:eastAsia="arial" w:hAnsi="arial" w:cs="arial"/>
          <w:color w:val="000000"/>
          <w:sz w:val="20"/>
          <w:lang w:val="en-US" w:eastAsia="en-US" w:bidi="ar-SA"/>
        </w:rPr>
        <w:t>  Also, Mr. Goalder concluded that the engine damage occurred the previous evening before the respondent took his truck to the mill the next morning. Although both parties tendered extensive expert opinion evidence, neither expert was asked about when the engine damage occurred.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51</w:t>
      </w:r>
      <w:r>
        <w:rPr>
          <w:rFonts w:ascii="arial" w:eastAsia="arial" w:hAnsi="arial" w:cs="arial"/>
          <w:color w:val="000000"/>
          <w:sz w:val="20"/>
          <w:lang w:val="en-US" w:eastAsia="en-US" w:bidi="ar-SA"/>
        </w:rPr>
        <w:t>  As discussed above, even the respondent said there was no overheating on his drive to the mill while there was serious overheating the night before. He had refilled the coolant just before driving to the mill, and it was a very short distance just across Highway 16 in Smithers from the shop to the Smithers mill.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52</w:t>
      </w:r>
      <w:r>
        <w:rPr>
          <w:rFonts w:ascii="arial" w:eastAsia="arial" w:hAnsi="arial" w:cs="arial"/>
          <w:color w:val="000000"/>
          <w:sz w:val="20"/>
          <w:lang w:val="en-US" w:eastAsia="en-US" w:bidi="ar-SA"/>
        </w:rPr>
        <w:t>  Turning to another error, the respondent says the trial judge's reference to the respondent having driven his truck from the shop to the mill in Houston were simply mistakes as the evidence was that the respondent drove the truck to the mill in Smithers and back to the shop. I am not at all convinced that these errors (and there were two of them - paras. 28 and 30) were minor mistakes. Instead, it appears the trial judge misunderstood to which mill the respondent drove on December 20 to unload his logs so that the appellant could do the repairs. Houston, at about a 45-minute drive from Smithers, was a significantly longer return trip for a truck with an already damaged engine. The risk of a repeated overheating was much greater from driving that distance than from merely driving the truck the very short distance to the mill in Smithers.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53</w:t>
      </w:r>
      <w:r>
        <w:rPr>
          <w:rFonts w:ascii="arial" w:eastAsia="arial" w:hAnsi="arial" w:cs="arial"/>
          <w:color w:val="000000"/>
          <w:sz w:val="20"/>
          <w:lang w:val="en-US" w:eastAsia="en-US" w:bidi="ar-SA"/>
        </w:rPr>
        <w:t>  I conclude that the trial judge misapprehended the evidence about when the overheating occurred that caused the engine damage and the location of the mill where the respondent drove to offload his logs. Thus, his decision was based on a misapprehension of the evidence and was unsupported by the evidence.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Disposition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54</w:t>
      </w:r>
      <w:r>
        <w:rPr>
          <w:rFonts w:ascii="arial" w:eastAsia="arial" w:hAnsi="arial" w:cs="arial"/>
          <w:color w:val="000000"/>
          <w:sz w:val="20"/>
          <w:lang w:val="en-US" w:eastAsia="en-US" w:bidi="ar-SA"/>
        </w:rPr>
        <w:t>  I set aside the decision of the Provincial Court judge that the appellant pay the respondent $11,000 in damages for breach of contract and order the payment out of court of the money the appellant paid into count as security for this appeal.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55</w:t>
      </w:r>
      <w:r>
        <w:rPr>
          <w:rFonts w:ascii="arial" w:eastAsia="arial" w:hAnsi="arial" w:cs="arial"/>
          <w:color w:val="000000"/>
          <w:sz w:val="20"/>
          <w:lang w:val="en-US" w:eastAsia="en-US" w:bidi="ar-SA"/>
        </w:rPr>
        <w:t>  The respondent submits that the appellant should not be permitted all the costs of its expert evidence because the appellant refused the respondent's suggestion that Mr. Bailey testify by the less expensive means of video link. The respondent says the trial judge may have "taken liberties with this fact-finding venture," but the appellant's expert fees are "ludicrous and need not have been incurred." He objects to the fact the appellant's expert sat through days of trial. The respondent says that "by the antics of the defence," this matter was a seven-day trial.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56</w:t>
      </w:r>
      <w:r>
        <w:rPr>
          <w:rFonts w:ascii="arial" w:eastAsia="arial" w:hAnsi="arial" w:cs="arial"/>
          <w:color w:val="000000"/>
          <w:sz w:val="20"/>
          <w:lang w:val="en-US" w:eastAsia="en-US" w:bidi="ar-SA"/>
        </w:rPr>
        <w:t>  I find there is no foundation at all for the respondent's position on costs. Instead, it was critical for the appellant's expert to be present when the respondent's expert testified so that he could comment in cross-examination on that testimony. The appellant's expert had provided a rebuttal report, but the trial judge did not allow direct examination on it.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57</w:t>
      </w:r>
      <w:r>
        <w:rPr>
          <w:rFonts w:ascii="arial" w:eastAsia="arial" w:hAnsi="arial" w:cs="arial"/>
          <w:color w:val="000000"/>
          <w:sz w:val="20"/>
          <w:lang w:val="en-US" w:eastAsia="en-US" w:bidi="ar-SA"/>
        </w:rPr>
        <w:t>  The respondent also submits that if there was an error it was "solely within the purview of the trial judge" so that each party ought to pay his own costs.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58</w:t>
      </w:r>
      <w:r>
        <w:rPr>
          <w:rFonts w:ascii="arial" w:eastAsia="arial" w:hAnsi="arial" w:cs="arial"/>
          <w:color w:val="000000"/>
          <w:sz w:val="20"/>
          <w:lang w:val="en-US" w:eastAsia="en-US" w:bidi="ar-SA"/>
        </w:rPr>
        <w:t>  There is no support in law for the respondent's position on costs. I exercise my discretion to award costs to the appellant, including the costs of the proceedings commenced in the Supreme Court, the costs payable in respect of the Provincial Court proceedings, and the costs of this appeal.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59</w:t>
      </w:r>
      <w:r>
        <w:rPr>
          <w:rFonts w:ascii="arial" w:eastAsia="arial" w:hAnsi="arial" w:cs="arial"/>
          <w:color w:val="000000"/>
          <w:sz w:val="20"/>
          <w:lang w:val="en-US" w:eastAsia="en-US" w:bidi="ar-SA"/>
        </w:rPr>
        <w:t>  As to the costs payable in connection with the Provincial Court proceedings, I fix those costs in the following amounts: (a) $11,459.59 for expert fees; (b) $99.21 for freight charges; (c) $2,006.83 for transcript expenses; (d) $143.57 for QuickLaw searches.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60</w:t>
      </w:r>
      <w:r>
        <w:rPr>
          <w:rFonts w:ascii="arial" w:eastAsia="arial" w:hAnsi="arial" w:cs="arial"/>
          <w:color w:val="000000"/>
          <w:sz w:val="20"/>
          <w:lang w:val="en-US" w:eastAsia="en-US" w:bidi="ar-SA"/>
        </w:rPr>
        <w:t xml:space="preserve">  Rule 20(2) of the </w:t>
      </w:r>
      <w:r>
        <w:rPr>
          <w:rFonts w:ascii="arial" w:eastAsia="arial" w:hAnsi="arial" w:cs="arial"/>
          <w:i/>
          <w:color w:val="000000"/>
          <w:sz w:val="20"/>
          <w:lang w:val="en-US" w:eastAsia="en-US" w:bidi="ar-SA"/>
        </w:rPr>
        <w:t>Small Claims Rules</w:t>
      </w:r>
      <w:r>
        <w:rPr>
          <w:rFonts w:ascii="arial" w:eastAsia="arial" w:hAnsi="arial" w:cs="arial"/>
          <w:color w:val="000000"/>
          <w:sz w:val="20"/>
          <w:lang w:val="en-US" w:eastAsia="en-US" w:bidi="ar-SA"/>
        </w:rPr>
        <w:t xml:space="preserve"> provides:</w:t>
      </w:r>
      <w:r>
        <w:rPr>
          <w:rFonts w:ascii="arial" w:eastAsia="arial" w:hAnsi="arial" w:cs="arial"/>
          <w:sz w:val="20"/>
          <w:lang w:val="en-US" w:eastAsia="en-US" w:bidi="ar-SA"/>
        </w:rPr>
        <w:cr/>
      </w:r>
    </w:p>
    <w:p>
      <w:pPr>
        <w:numPr>
          <w:numId w:val="4"/>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An unsuccessful party must pay to the successful party the following expenses, unless a judge or registrar orders otherwise:</w:t>
      </w:r>
    </w:p>
    <w:p>
      <w:pPr>
        <w:numPr>
          <w:numId w:val="5"/>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any fees the party paid for filing any documents;</w:t>
      </w:r>
    </w:p>
    <w:p>
      <w:pPr>
        <w:numPr>
          <w:numId w:val="5"/>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reasonable amounts the party paid for serving any documents;</w:t>
      </w:r>
    </w:p>
    <w:p>
      <w:pPr>
        <w:numPr>
          <w:numId w:val="5"/>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any other reasonable charges or expenses that the judge or registrar considers directly relate to the conduct of the proceeding.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61</w:t>
      </w:r>
      <w:r>
        <w:rPr>
          <w:rFonts w:ascii="arial" w:eastAsia="arial" w:hAnsi="arial" w:cs="arial"/>
          <w:color w:val="000000"/>
          <w:sz w:val="20"/>
          <w:lang w:val="en-US" w:eastAsia="en-US" w:bidi="ar-SA"/>
        </w:rPr>
        <w:t>  All these expenses were reasonably incurred in the circumstances, and I consider them directly related to the conduct of the proceedings.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62</w:t>
      </w:r>
      <w:r>
        <w:rPr>
          <w:rFonts w:ascii="arial" w:eastAsia="arial" w:hAnsi="arial" w:cs="arial"/>
          <w:color w:val="000000"/>
          <w:sz w:val="20"/>
          <w:lang w:val="en-US" w:eastAsia="en-US" w:bidi="ar-SA"/>
        </w:rPr>
        <w:t>  There is no claim for Mr. Bailey's airfare as those were paid with airline points.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63</w:t>
      </w:r>
      <w:r>
        <w:rPr>
          <w:rFonts w:ascii="arial" w:eastAsia="arial" w:hAnsi="arial" w:cs="arial"/>
          <w:color w:val="000000"/>
          <w:sz w:val="20"/>
          <w:lang w:val="en-US" w:eastAsia="en-US" w:bidi="ar-SA"/>
        </w:rPr>
        <w:t>  COUNSEL: My Lady, I assume that costs of the Supreme Court action prior to the transfer and on appeal will be assessed?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64</w:t>
      </w:r>
      <w:r>
        <w:rPr>
          <w:rFonts w:ascii="arial" w:eastAsia="arial" w:hAnsi="arial" w:cs="arial"/>
          <w:color w:val="000000"/>
          <w:sz w:val="20"/>
          <w:lang w:val="en-US" w:eastAsia="en-US" w:bidi="ar-SA"/>
        </w:rPr>
        <w:t>  THE COURT: Yes. Those costs will be assessed.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A.W. MacKENZIE J.</w:t>
      </w:r>
      <w:r>
        <w:rPr>
          <w:rFonts w:ascii="arial" w:eastAsia="arial" w:hAnsi="arial" w:cs="arial"/>
          <w:sz w:val="20"/>
          <w:lang w:val="en-US" w:eastAsia="en-US" w:bidi="ar-SA"/>
        </w:rPr>
        <w:cr/>
      </w:r>
    </w:p>
    <w:p>
      <w:pPr>
        <w:rPr>
          <w:rFonts w:ascii="arial" w:eastAsia="arial" w:hAnsi="arial" w:cs="arial"/>
          <w:sz w:val="20"/>
          <w:lang w:val="en-US" w:eastAsia="en-US" w:bidi="ar-SA"/>
        </w:rPr>
      </w:pPr>
    </w:p>
    <w:p>
      <w:pPr>
        <w:ind w:left="200"/>
        <w:rPr>
          <w:rFonts w:ascii="arial" w:eastAsia="arial" w:hAnsi="arial" w:cs="arial"/>
          <w:sz w:val="20"/>
          <w:lang w:val="en-US" w:eastAsia="en-US" w:bidi="ar-SA"/>
        </w:rPr>
        <w:sectPr>
          <w:type w:val="continuous"/>
          <w:pgMar w:top="840" w:right="1000" w:bottom="840" w:left="1000" w:header="400" w:footer="400"/>
          <w:pgNumType w:fmt="decimal"/>
          <w:cols w:space="720"/>
        </w:sectPr>
      </w:pPr>
      <w:r>
        <w:rPr>
          <w:rFonts w:ascii="arial" w:eastAsia="arial" w:hAnsi="arial" w:cs="arial"/>
          <w:sz w:val="20"/>
          <w:lang w:val="en-US" w:eastAsia="en-US" w:bidi="ar-SA"/>
        </w:rPr>
        <w:br/>
      </w:r>
      <w:r>
        <w:pict>
          <v:line id="_x0000_s1192" style="position:absolute;z-index:251885568" from="0,10pt" to="512pt,10pt" strokecolor="black" strokeweight="1pt">
            <v:stroke linestyle="single"/>
          </v:line>
        </w:pict>
      </w:r>
      <w:r>
        <w:rPr>
          <w:b/>
          <w:color w:val="767676"/>
          <w:sz w:val="16"/>
          <w:lang w:val="en-US" w:eastAsia="en-US" w:bidi="ar-SA"/>
        </w:rPr>
        <w:t>End of Document</w:t>
      </w:r>
    </w:p>
    <w:p>
      <w:pPr>
        <w:rPr>
          <w:rFonts w:ascii="arial" w:eastAsia="arial" w:hAnsi="arial" w:cs="arial"/>
          <w:sz w:val="20"/>
          <w:lang w:val="en-US" w:eastAsia="en-US" w:bidi="ar-SA"/>
        </w:rPr>
        <w:sectPr>
          <w:headerReference w:type="even" r:id="rId652"/>
          <w:headerReference w:type="default" r:id="rId653"/>
          <w:footerReference w:type="even" r:id="rId654"/>
          <w:footerReference w:type="default" r:id="rId655"/>
          <w:headerReference w:type="first" r:id="rId656"/>
          <w:footerReference w:type="first" r:id="rId657"/>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eastAsia="arial" w:hAnsi="Arial" w:cs="Arial"/>
          <w:b/>
          <w:bCs/>
          <w:kern w:val="32"/>
          <w:sz w:val="32"/>
          <w:szCs w:val="32"/>
          <w:lang w:val="en-US" w:eastAsia="en-US" w:bidi="ar-SA"/>
        </w:rPr>
      </w:pPr>
      <w:hyperlink r:id="rId658" w:history="1">
        <w:r>
          <w:rPr>
            <w:rFonts w:ascii="arial" w:eastAsia="arial" w:hAnsi="arial" w:cs="arial"/>
            <w:b/>
            <w:bCs/>
            <w:i/>
            <w:color w:val="0077CC"/>
            <w:kern w:val="32"/>
            <w:sz w:val="28"/>
            <w:szCs w:val="32"/>
            <w:u w:val="single"/>
            <w:shd w:val="clear" w:color="auto" w:fill="FFFFFF"/>
            <w:lang w:val="en-US" w:eastAsia="en-US" w:bidi="ar-SA"/>
          </w:rPr>
          <w:t>Snowfield Development Corp. v. Dyno Nobel Canada Inc., [2011] B.C.J. No. 1809</w:t>
        </w:r>
      </w:hyperlink>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Judgments</w:t>
      </w:r>
    </w:p>
    <w:p>
      <w:pPr>
        <w:rPr>
          <w:rFonts w:ascii="arial" w:eastAsia="arial" w:hAnsi="arial" w:cs="arial"/>
          <w:sz w:val="20"/>
          <w:lang w:val="en-US" w:eastAsia="en-US" w:bidi="ar-SA"/>
        </w:rPr>
      </w:pP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Vancouver, British Columbia</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J.M. Gropper J.</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Heard: August 3, 2011.</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Judgment: September 29, 2011.</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Docket: S104049</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Registry: Vancouver</w:t>
      </w:r>
    </w:p>
    <w:p>
      <w:pPr>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r>
        <w:rPr>
          <w:rFonts w:ascii="arial" w:eastAsia="arial" w:hAnsi="arial" w:cs="arial"/>
          <w:b/>
          <w:color w:val="000000"/>
          <w:sz w:val="20"/>
          <w:lang w:val="en-US" w:eastAsia="en-US" w:bidi="ar-SA"/>
        </w:rPr>
        <w:t>[2011] B.C.J. No. 1809</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2011 BCSC 1296</w:t>
      </w:r>
    </w:p>
    <w:p>
      <w:pPr>
        <w:spacing w:before="120" w:line="260" w:lineRule="atLeast"/>
        <w:rPr>
          <w:rFonts w:ascii="arial" w:eastAsia="arial" w:hAnsi="arial" w:cs="arial"/>
          <w:sz w:val="20"/>
          <w:lang w:val="en-US" w:eastAsia="en-US" w:bidi="ar-SA"/>
        </w:rPr>
      </w:pPr>
      <w:r>
        <w:rPr>
          <w:rFonts w:ascii="arial" w:eastAsia="arial" w:hAnsi="arial" w:cs="arial"/>
          <w:color w:val="000000"/>
          <w:sz w:val="20"/>
          <w:lang w:val="en-US" w:eastAsia="en-US" w:bidi="ar-SA"/>
        </w:rPr>
        <w:t>Between Snowfield Development Corp., Plaintiff, and Dyno Nobel Canada Inc., Defendant</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(23 paras.)</w:t>
      </w:r>
    </w:p>
    <w:p>
      <w:pPr>
        <w:keepNext/>
        <w:spacing w:before="12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Case Summary</w:t>
      </w:r>
    </w:p>
    <w:p>
      <w:pPr>
        <w:spacing w:line="60" w:lineRule="exact"/>
        <w:rPr>
          <w:rFonts w:ascii="arial" w:eastAsia="arial" w:hAnsi="arial" w:cs="arial"/>
          <w:sz w:val="20"/>
          <w:lang w:val="en-US" w:eastAsia="en-US" w:bidi="ar-SA"/>
        </w:rPr>
      </w:pPr>
      <w:r>
        <w:pict>
          <v:line id="_x0000_s1193" style="position:absolute;z-index:251694080"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bookmarkStart w:id="220" w:name="Keywords_33"/>
      <w:bookmarkEnd w:id="220"/>
      <w:r>
        <w:rPr>
          <w:rFonts w:ascii="arial" w:eastAsia="arial" w:hAnsi="arial" w:cs="arial"/>
          <w:b/>
          <w:color w:val="000000"/>
          <w:sz w:val="20"/>
          <w:lang w:val="en-US" w:eastAsia="en-US" w:bidi="ar-SA"/>
        </w:rPr>
        <w:t>Civil litigation — Civil procedure — Pre-trial procedures — Preliminary determinations — Question of law — Application by defendant for preliminary determination of question of law regarding applicable limitation period dismissed — Plaintiff contracted with defendant to drill and blast a pit at its mine-site — Pit did not meet requirements of its purpose, which required additional blasting and further cost — Three years after defendant completed work on pit, plaintiff commenced claim for damages — As plaintiff's claim for damages was not in respect of injury to land, but rather breach of contract or negligent performance of contract, six year limitation applied and plaintiff commenced action in time.</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Civil litigation — Limitation of actions — Conflict between limitation periods — Which limitation period applies — Application by defendant for preliminary determination of question of law regarding applicable limitation period dismissed — Plaintiff contracted with defendant to drill and blast a pit at its mine-site — Pit did not meet requirements of its purpose, which required additional blasting and further cost — Three years after defendant completed work on pit, plaintiff commenced claim for damages — As plaintiff's claim for damages was not in respect of injury to land, but rather breach of contract or negligent performance of contract, six year limitation applied and plaintiff commenced action in time.</w:t>
      </w:r>
    </w:p>
    <w:p>
      <w:pPr>
        <w:rPr>
          <w:rFonts w:ascii="arial" w:eastAsia="arial" w:hAnsi="arial" w:cs="arial"/>
          <w:sz w:val="20"/>
          <w:lang w:val="en-US" w:eastAsia="en-US" w:bidi="ar-SA"/>
        </w:rPr>
      </w:pPr>
    </w:p>
    <w:tbl>
      <w:tblPr>
        <w:tblStyle w:val="TableNormal"/>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
      <w:tblGrid>
        <w:gridCol w:w="10225"/>
      </w:tblGrid>
      <w:tr>
        <w:tblPrEx>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Ex>
        <w:tc>
          <w:tcPr/>
          <w:p>
            <w:pPr>
              <w:rPr>
                <w:rFonts w:ascii="arial" w:eastAsia="arial" w:hAnsi="arial" w:cs="arial"/>
                <w:sz w:val="20"/>
                <w:lang w:val="en-US" w:eastAsia="en-US" w:bidi="ar-SA"/>
              </w:rPr>
            </w:pPr>
            <w:bookmarkStart w:id="221" w:name="Case Summary_31"/>
            <w:bookmarkEnd w:id="221"/>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Application by the defendant for a preliminary determination of a question of law as to the applicable limitation period. The plaintiff, a mining exploration company, contracted with the defendant, a drilling and blasting company, to drill and blast a pit at the plaintiff' mine-site. The pit which the defendant drilled did not allow the plaintiff to access diamonds in the kimberlite, which was the purpose of the drilling and blasting, and the pit had to be expanded at further cost. Approximately three years after the defendant completed the work, the plaintiff filed a writ of summons, a statement of claim and an amended notice of civil claim alleging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and breach of contract and seeking damages for costs thrown away, remediation expenses and loss of opportunity. The defendant sought a determination as to whether a two year or six year limitation period applied to the plaintiff's claim to determine whether the plaintiff filed its claim against the defendant after the expiry of the limitation period and whether the claim was statute-barred. </w:t>
            </w:r>
            <w:r>
              <w:rPr>
                <w:rFonts w:ascii="arial" w:eastAsia="arial" w:hAnsi="arial" w:cs="arial"/>
                <w:sz w:val="20"/>
                <w:lang w:val="en-US" w:eastAsia="en-US" w:bidi="ar-SA"/>
              </w:rPr>
              <w:cr/>
            </w:r>
          </w:p>
          <w:p>
            <w:pPr>
              <w:spacing w:before="120" w:line="260" w:lineRule="atLeast"/>
              <w:ind w:left="240"/>
              <w:jc w:val="both"/>
              <w:rPr>
                <w:rFonts w:ascii="arial" w:eastAsia="arial" w:hAnsi="arial" w:cs="arial"/>
                <w:sz w:val="20"/>
                <w:lang w:val="en-US" w:eastAsia="en-US" w:bidi="ar-SA"/>
              </w:rPr>
            </w:pPr>
            <w:bookmarkStart w:id="222" w:name="Holdings of Court_25"/>
            <w:bookmarkEnd w:id="222"/>
            <w:r>
              <w:rPr>
                <w:rFonts w:ascii="arial" w:eastAsia="arial" w:hAnsi="arial" w:cs="arial"/>
                <w:color w:val="000000"/>
                <w:sz w:val="20"/>
                <w:lang w:val="en-US" w:eastAsia="en-US" w:bidi="ar-SA"/>
              </w:rPr>
              <w:t>HELD: Application dismissed.</w:t>
            </w:r>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As the plaintiff's claim for damages was not in respect of the injury to land, but rather breach of contract or negligent performance of a contract, the six year limitation applied and the plaintiff's action was commenced in time. </w:t>
            </w:r>
            <w:r>
              <w:rPr>
                <w:rFonts w:ascii="arial" w:eastAsia="arial" w:hAnsi="arial" w:cs="arial"/>
                <w:sz w:val="20"/>
                <w:lang w:val="en-US" w:eastAsia="en-US" w:bidi="ar-SA"/>
              </w:rPr>
              <w:cr/>
            </w:r>
          </w:p>
          <w:p>
            <w:pPr>
              <w:rPr>
                <w:rFonts w:ascii="arial" w:eastAsia="arial" w:hAnsi="arial" w:cs="arial"/>
                <w:sz w:val="20"/>
                <w:lang w:val="en-US" w:eastAsia="en-US" w:bidi="ar-SA"/>
              </w:rPr>
            </w:pPr>
          </w:p>
        </w:tc>
      </w:tr>
    </w:tbl>
    <w:p>
      <w:pPr>
        <w:jc w:val="both"/>
        <w:rPr>
          <w:rFonts w:ascii="arial" w:eastAsia="arial" w:hAnsi="arial" w:cs="arial"/>
          <w:sz w:val="20"/>
          <w:lang w:val="en-US" w:eastAsia="en-US" w:bidi="ar-SA"/>
        </w:rPr>
      </w:pPr>
      <w:bookmarkStart w:id="223" w:name="Legislation Cited_24"/>
      <w:bookmarkEnd w:id="223"/>
      <w:r>
        <w:rPr>
          <w:rFonts w:ascii="arial" w:eastAsia="arial" w:hAnsi="arial" w:cs="arial"/>
          <w:sz w:val="20"/>
          <w:lang w:val="en-US" w:eastAsia="en-US" w:bidi="ar-SA"/>
        </w:rPr>
        <w:br/>
      </w:r>
    </w:p>
    <w:p>
      <w:pPr>
        <w:keepNext/>
        <w:spacing w:before="24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Statutes, Regulations and Rules Cited:</w:t>
      </w:r>
    </w:p>
    <w:p>
      <w:pPr>
        <w:spacing w:line="60" w:lineRule="exact"/>
        <w:rPr>
          <w:rFonts w:ascii="arial" w:eastAsia="arial" w:hAnsi="arial" w:cs="arial"/>
          <w:sz w:val="20"/>
          <w:lang w:val="en-US" w:eastAsia="en-US" w:bidi="ar-SA"/>
        </w:rPr>
      </w:pPr>
      <w:r>
        <w:pict>
          <v:line id="_x0000_s1194" style="position:absolute;z-index:251745280"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Limitation Act, RSBC 1996, CHAPTER 266, s. 3(2)(a), s. 3(5)</w:t>
      </w:r>
      <w:r>
        <w:rPr>
          <w:rFonts w:ascii="arial" w:eastAsia="arial" w:hAnsi="arial" w:cs="arial"/>
          <w:sz w:val="20"/>
          <w:lang w:val="en-US" w:eastAsia="en-US" w:bidi="ar-SA"/>
        </w:rPr>
        <w:cr/>
      </w:r>
    </w:p>
    <w:p>
      <w:pPr>
        <w:keepNext/>
        <w:spacing w:before="240" w:line="340" w:lineRule="atLeast"/>
        <w:rPr>
          <w:rFonts w:ascii="arial" w:eastAsia="arial" w:hAnsi="arial" w:cs="arial"/>
          <w:sz w:val="20"/>
          <w:lang w:val="en-US" w:eastAsia="en-US" w:bidi="ar-SA"/>
        </w:rPr>
      </w:pPr>
      <w:bookmarkStart w:id="224" w:name="Counsel_33"/>
      <w:bookmarkEnd w:id="224"/>
      <w:r>
        <w:rPr>
          <w:rFonts w:ascii="arial" w:eastAsia="arial" w:hAnsi="arial" w:cs="arial"/>
          <w:b/>
          <w:color w:val="000000"/>
          <w:sz w:val="28"/>
          <w:lang w:val="en-US" w:eastAsia="en-US" w:bidi="ar-SA"/>
        </w:rPr>
        <w:t>Counsel</w:t>
      </w:r>
    </w:p>
    <w:p>
      <w:pPr>
        <w:spacing w:line="60" w:lineRule="exact"/>
        <w:rPr>
          <w:rFonts w:ascii="arial" w:eastAsia="arial" w:hAnsi="arial" w:cs="arial"/>
          <w:sz w:val="20"/>
          <w:lang w:val="en-US" w:eastAsia="en-US" w:bidi="ar-SA"/>
        </w:rPr>
      </w:pPr>
      <w:r>
        <w:pict>
          <v:line id="_x0000_s1195" style="position:absolute;z-index:251796480"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Counsel for the Plaintiff: M. Ellis and J. Dhillon (Articled Student).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Counsel for the Defendant: S.D. Hansen and G.A. Cavouras.</w:t>
      </w:r>
      <w:r>
        <w:rPr>
          <w:rFonts w:ascii="arial" w:eastAsia="arial" w:hAnsi="arial" w:cs="arial"/>
          <w:sz w:val="20"/>
          <w:lang w:val="en-US" w:eastAsia="en-US" w:bidi="ar-SA"/>
        </w:rPr>
        <w:cr/>
      </w:r>
    </w:p>
    <w:p>
      <w:pPr>
        <w:spacing w:after="240"/>
        <w:rPr>
          <w:rFonts w:ascii="arial" w:eastAsia="arial" w:hAnsi="arial" w:cs="arial"/>
          <w:sz w:val="20"/>
          <w:lang w:val="en-US" w:eastAsia="en-US" w:bidi="ar-SA"/>
        </w:rPr>
      </w:pPr>
      <w:bookmarkStart w:id="225" w:name="Judgment_34"/>
      <w:bookmarkEnd w:id="225"/>
      <w:r>
        <w:pict>
          <v:line id="_x0000_s1196" style="position:absolute;z-index:251845632" from="0,12pt" to="512pt,12pt" strokecolor="#009ddb" strokeweight="1.5pt">
            <v:stroke linestyle="single"/>
          </v:line>
        </w:pict>
      </w:r>
    </w:p>
    <w:p>
      <w:pPr>
        <w:spacing w:before="120" w:line="260" w:lineRule="atLeast"/>
        <w:jc w:val="center"/>
        <w:rPr>
          <w:rFonts w:ascii="arial" w:eastAsia="arial" w:hAnsi="arial" w:cs="arial"/>
          <w:sz w:val="20"/>
          <w:lang w:val="en-US" w:eastAsia="en-US" w:bidi="ar-SA"/>
        </w:rPr>
      </w:pPr>
      <w:r>
        <w:rPr>
          <w:rFonts w:ascii="arial" w:eastAsia="arial" w:hAnsi="arial" w:cs="arial"/>
          <w:b/>
          <w:color w:val="000000"/>
          <w:sz w:val="20"/>
          <w:lang w:val="en-US" w:eastAsia="en-US" w:bidi="ar-SA"/>
        </w:rPr>
        <w:t>Reasons for Judgment</w:t>
      </w:r>
      <w:r>
        <w:rPr>
          <w:rFonts w:ascii="arial" w:eastAsia="arial" w:hAnsi="arial" w:cs="arial"/>
          <w:sz w:val="20"/>
          <w:lang w:val="en-US" w:eastAsia="en-US" w:bidi="ar-SA"/>
        </w:rPr>
        <w:cr/>
      </w:r>
    </w:p>
    <w:p>
      <w:pPr>
        <w:rPr>
          <w:rFonts w:ascii="arial" w:eastAsia="arial" w:hAnsi="arial" w:cs="arial"/>
          <w:sz w:val="20"/>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2771"/>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rFonts w:ascii="arial" w:eastAsia="arial" w:hAnsi="arial" w:cs="arial"/>
                <w:sz w:val="20"/>
                <w:lang w:val="en-US" w:eastAsia="en-US" w:bidi="ar-SA"/>
              </w:rPr>
            </w:pPr>
            <w:bookmarkStart w:id="226" w:name="J.M. GROPPER J."/>
            <w:bookmarkEnd w:id="226"/>
            <w:r>
              <w:rPr>
                <w:rFonts w:ascii="arial" w:eastAsia="arial" w:hAnsi="arial" w:cs="arial"/>
                <w:b/>
                <w:color w:val="000000"/>
                <w:sz w:val="30"/>
                <w:lang w:val="en-US" w:eastAsia="en-US" w:bidi="ar-SA"/>
              </w:rPr>
              <w:t>J.M. GROPPER J.</w:t>
            </w:r>
          </w:p>
        </w:tc>
      </w:tr>
    </w:tbl>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Introduction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xml:space="preserve">  The parties seek a determination of a legal issue under Rule 9-4. The issue is whether the plaintiff filed its claim against the defendant after the time for doing so under the </w:t>
      </w:r>
      <w:r>
        <w:rPr>
          <w:rFonts w:ascii="arial" w:eastAsia="arial" w:hAnsi="arial" w:cs="arial"/>
          <w:i/>
          <w:color w:val="000000"/>
          <w:sz w:val="20"/>
          <w:lang w:val="en-US" w:eastAsia="en-US" w:bidi="ar-SA"/>
        </w:rPr>
        <w:t>Limitation Act,</w:t>
      </w:r>
      <w:r>
        <w:rPr>
          <w:rFonts w:ascii="arial" w:eastAsia="arial" w:hAnsi="arial" w:cs="arial"/>
          <w:color w:val="000000"/>
          <w:sz w:val="20"/>
          <w:lang w:val="en-US" w:eastAsia="en-US" w:bidi="ar-SA"/>
        </w:rPr>
        <w:t xml:space="preserve"> R.S.B.C. 1966, c. 266 expired and whether its claim is now statute barred. Does a 2 year or 6 year limitation under the </w:t>
      </w:r>
      <w:r>
        <w:rPr>
          <w:rFonts w:ascii="arial" w:eastAsia="arial" w:hAnsi="arial" w:cs="arial"/>
          <w:i/>
          <w:color w:val="000000"/>
          <w:sz w:val="20"/>
          <w:lang w:val="en-US" w:eastAsia="en-US" w:bidi="ar-SA"/>
        </w:rPr>
        <w:t>Limitation Act</w:t>
      </w:r>
      <w:r>
        <w:rPr>
          <w:rFonts w:ascii="arial" w:eastAsia="arial" w:hAnsi="arial" w:cs="arial"/>
          <w:color w:val="000000"/>
          <w:sz w:val="20"/>
          <w:lang w:val="en-US" w:eastAsia="en-US" w:bidi="ar-SA"/>
        </w:rPr>
        <w:t xml:space="preserve"> apply to the plaintiff's claim?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Background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Snowfield Development Corp. is a mining exploration company. Dyno Nobel Canada Inc. is a drilling and blasting company.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On October 16, 2006, the plaintiff contracted with the defendant to drill and blast a pit at the plaintiff's mine-site near Mud Lake in the Northwest Territories. The pit which the defendant drilled did not allow the plaintiff to access diamonds in the kimberlite, which was the purpose of the drilling and blasting. The pit had to be expanded to meet the plaintiff's requirements. Essentially the defendant had to construct a second pit which required the plaintiff to make further expenditures of time and money.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The defendant blasted rock in a series of three blasts on November 17, 2006, December 23, 2006, and February 7, 2007. The defendant performed additional work in the spring and early summer of 2007.</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xml:space="preserve">  On June 7, 2010, the plaintiff filed a Writ of Summons and on June 30, 2010, the plaintiff filed a Statement of Claim. On August 6, 2010, the plaintiff filed an Amended Notice of Civil Claim (to comply with the new </w:t>
      </w:r>
      <w:r>
        <w:rPr>
          <w:rFonts w:ascii="arial" w:eastAsia="arial" w:hAnsi="arial" w:cs="arial"/>
          <w:i/>
          <w:color w:val="000000"/>
          <w:sz w:val="20"/>
          <w:lang w:val="en-US" w:eastAsia="en-US" w:bidi="ar-SA"/>
        </w:rPr>
        <w:t>Rules</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The plaintiff claims costs associated with the defendant's failure to abide by the terms of the contract, which was to build a pit that met design requirements and industry standards within a particular period. Particularly, the plaintiff alleges:</w:t>
      </w:r>
      <w:r>
        <w:rPr>
          <w:rFonts w:ascii="arial" w:eastAsia="arial" w:hAnsi="arial" w:cs="arial"/>
          <w:sz w:val="20"/>
          <w:lang w:val="en-US" w:eastAsia="en-US" w:bidi="ar-SA"/>
        </w:rPr>
        <w:cr/>
      </w:r>
    </w:p>
    <w:p>
      <w:pPr>
        <w:numPr>
          <w:numId w:val="10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plaintiff hired the defendant to provide drilling and blasting services on its mining exploration property. (para. 6);</w:t>
      </w:r>
    </w:p>
    <w:p>
      <w:pPr>
        <w:numPr>
          <w:numId w:val="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purpose of the blasting was to create an access pit so that a bulk kimberlite sample could be recovered from the underlying kimberlite that would be exposed at the bottom of the pit. (para. 7);</w:t>
      </w:r>
    </w:p>
    <w:p>
      <w:pPr>
        <w:numPr>
          <w:numId w:val="3"/>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 drilling and blasting was done improperly such that the pit that remained when the blasted rock was removed was not usable for the intended purpose. (paras. 17, 21, and 22); and</w:t>
      </w:r>
    </w:p>
    <w:p>
      <w:pPr>
        <w:numPr>
          <w:numId w:val="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drilling and blasting services were provided in a manner that was negligent or in breach of contract. (paras. 25-27).</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The plaintiff has provided a particularization of its damages, including costs thrown away in the amount of $3,412,245; incremental rock and service remediation expenses in the amount of $1,732,500; and loss of opportunity in the amount of $1 million. The plaintiff abandoned its claim for alleged damage to the diamonds.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Limitation Act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xml:space="preserve">  The </w:t>
      </w:r>
      <w:r>
        <w:rPr>
          <w:rFonts w:ascii="arial" w:eastAsia="arial" w:hAnsi="arial" w:cs="arial"/>
          <w:i/>
          <w:color w:val="000000"/>
          <w:sz w:val="20"/>
          <w:lang w:val="en-US" w:eastAsia="en-US" w:bidi="ar-SA"/>
        </w:rPr>
        <w:t>Limitation Act</w:t>
      </w:r>
      <w:r>
        <w:rPr>
          <w:rFonts w:ascii="arial" w:eastAsia="arial" w:hAnsi="arial" w:cs="arial"/>
          <w:color w:val="000000"/>
          <w:sz w:val="20"/>
          <w:lang w:val="en-US" w:eastAsia="en-US" w:bidi="ar-SA"/>
        </w:rPr>
        <w:t xml:space="preserve"> states: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Limitation periods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1342"/>
        <w:gridCol w:w="1135"/>
        <w:gridCol w:w="238"/>
        <w:gridCol w:w="6709"/>
        <w:gridCol w:w="103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1331"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1126"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18"/>
                <w:lang w:val="en-US" w:eastAsia="en-US" w:bidi="ar-SA"/>
              </w:rPr>
              <w:t>3</w:t>
            </w:r>
          </w:p>
        </w:tc>
        <w:tc>
          <w:tcPr>
            <w:tcW w:w="102"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6656"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(2) After the expiration of 2 years after the date on which the right to do so arose a person may not bring any of the following actions:</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numPr>
          <w:numId w:val="5"/>
        </w:numPr>
        <w:tabs>
          <w:tab w:val="clear" w:pos="1840"/>
          <w:tab w:val="num" w:pos="2560"/>
        </w:tabs>
        <w:spacing w:before="120" w:line="260" w:lineRule="atLeast"/>
        <w:ind w:left="2560"/>
        <w:jc w:val="both"/>
        <w:rPr>
          <w:rFonts w:ascii="arial" w:eastAsia="arial" w:hAnsi="arial" w:cs="arial"/>
          <w:sz w:val="20"/>
          <w:lang w:val="en-US" w:eastAsia="en-US" w:bidi="ar-SA"/>
        </w:rPr>
      </w:pPr>
      <w:r>
        <w:rPr>
          <w:rFonts w:ascii="arial" w:eastAsia="arial" w:hAnsi="arial" w:cs="arial"/>
          <w:color w:val="000000"/>
          <w:sz w:val="20"/>
          <w:lang w:val="en-US" w:eastAsia="en-US" w:bidi="ar-SA"/>
        </w:rPr>
        <w:t>subject to subsection (4) (k), for damages in respect of injury to person or property, including economic loss arising from the injury, whether based on contract, tort or statutory duty;</w:t>
      </w:r>
    </w:p>
    <w:p>
      <w:pPr>
        <w:spacing w:before="120" w:line="260" w:lineRule="atLeast"/>
        <w:ind w:left="216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numPr>
          <w:numId w:val="6"/>
        </w:numPr>
        <w:tabs>
          <w:tab w:val="clear" w:pos="1480"/>
          <w:tab w:val="num" w:pos="2200"/>
        </w:tabs>
        <w:spacing w:before="120" w:line="260" w:lineRule="atLeast"/>
        <w:ind w:left="2200"/>
        <w:jc w:val="both"/>
        <w:rPr>
          <w:rFonts w:ascii="arial" w:eastAsia="arial" w:hAnsi="arial" w:cs="arial"/>
          <w:sz w:val="20"/>
          <w:lang w:val="en-US" w:eastAsia="en-US" w:bidi="ar-SA"/>
        </w:rPr>
      </w:pPr>
      <w:r>
        <w:rPr>
          <w:rFonts w:ascii="arial" w:eastAsia="arial" w:hAnsi="arial" w:cs="arial"/>
          <w:color w:val="000000"/>
          <w:sz w:val="20"/>
          <w:lang w:val="en-US" w:eastAsia="en-US" w:bidi="ar-SA"/>
        </w:rPr>
        <w:t>Any other action not specifically provided for in this Act or any other Act may not be brought after the expiration of 6 years after the date on which the right to do so arose.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Position of the Parties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The defendant argues that the substance of the plaintiff's claim is that the defendant improperly performed the blasting and damaged the pit. The pit was part of the land occupied by the plaintiff and was the plaintiff's property. The plaintiff's allegations are simply that the defendant's improper blasting caused the physical injury and damage to the plaintiff's pit. The blasting was an extrinsic event which was identifiable which allegedly injured the plaintiff's property. Therefore, the plaintiff argues, the 2 year limitation period applies. The defendant performed the last of the work in the summer of 2007, and the action was not commenced until June 2010.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The plaintiff says that it makes no claim for damages to injury to property. The claims it sought relating to damage or injury to property have been abandoned. The plaintiff's claims are for a breach of contract and/or the negligent performance of the terms of the drilling and blasting contract. The plaintiff's claims do not rely on a finding that there was injury to property.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Discussion and Analysis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The determination of the limitation period depends on the characterization of the claim: is it an action which involves damages in respect of "injury to property" or a claim for a breach of contract or negligent performance of a contract.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W.C.B. (B.C.) v. Genstar Corp.</w:t>
      </w:r>
      <w:r>
        <w:rPr>
          <w:rFonts w:ascii="arial" w:eastAsia="arial" w:hAnsi="arial" w:cs="arial"/>
          <w:color w:val="000000"/>
          <w:sz w:val="20"/>
          <w:lang w:val="en-US" w:eastAsia="en-US" w:bidi="ar-SA"/>
        </w:rPr>
        <w:t xml:space="preserve"> </w:t>
      </w:r>
      <w:hyperlink r:id="rId659" w:history="1">
        <w:r>
          <w:rPr>
            <w:rFonts w:ascii="arial" w:eastAsia="arial" w:hAnsi="arial" w:cs="arial"/>
            <w:i/>
            <w:color w:val="0077CC"/>
            <w:sz w:val="20"/>
            <w:u w:val="single"/>
            <w:shd w:val="clear" w:color="auto" w:fill="FFFFFF"/>
            <w:lang w:val="en-US" w:eastAsia="en-US" w:bidi="ar-SA"/>
          </w:rPr>
          <w:t>(1986), 24 B.C.L.R. (2d) 157</w:t>
        </w:r>
      </w:hyperlink>
      <w:r>
        <w:rPr>
          <w:rFonts w:ascii="arial" w:eastAsia="arial" w:hAnsi="arial" w:cs="arial"/>
          <w:color w:val="000000"/>
          <w:sz w:val="20"/>
          <w:lang w:val="en-US" w:eastAsia="en-US" w:bidi="ar-SA"/>
        </w:rPr>
        <w:t xml:space="preserve"> (C.A.), the court considered the meaning of the clause "injury to property". The litigation involved a claim by the W.C.B. against the defendants relating to the building of a parkade. The parkade had structural problems which were repaired by some of the defendants in November 1979, and September 1981. W.C.B. brought its actions against the defendants in February 1984. The court addressed which limitation period is applicable.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At pp. 161-162, the court stated: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It is evident that s. 3(1)(</w:t>
      </w:r>
      <w:r>
        <w:rPr>
          <w:rFonts w:ascii="arial" w:eastAsia="arial" w:hAnsi="arial" w:cs="arial"/>
          <w:i/>
          <w:color w:val="000000"/>
          <w:sz w:val="20"/>
          <w:lang w:val="en-US" w:eastAsia="en-US" w:bidi="ar-SA"/>
        </w:rPr>
        <w:t>a</w:t>
      </w:r>
      <w:r>
        <w:rPr>
          <w:rFonts w:ascii="arial" w:eastAsia="arial" w:hAnsi="arial" w:cs="arial"/>
          <w:color w:val="000000"/>
          <w:sz w:val="20"/>
          <w:lang w:val="en-US" w:eastAsia="en-US" w:bidi="ar-SA"/>
        </w:rPr>
        <w:t>) applies only if the action is for damages in respect of "injury to property" ...</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 am persuaded by the authorities that "injury to property" refers to the situation where property is damaged by an extrinsic act, and not to the situation where a claim is made for damage occasioned by defects in the property itself. ... Whether the action is brought in contract or tort, damage is an essential element of it. The question in each case is whether that damage comes within the phrase "injury to property" ...</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Policy considerations support the conclusion that "injury to property" refers to damage caused by an identifiable external event. A short limitation period of two years is appropriate where the claim is based on an event which causes direct injury to property. Such a short limitation period may not be appropriate for a claim based on defects in the property which may not manifest themselves clearly for some time, even though with the benefit of hindsight one may be able to say that their onset was revealed at an earlier date.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The court concluded that W.C.B.'s claim was based on an allegation that the beams Genstar supplied for use in building the parkade were defective. The defects did not fall within the phrase "injury to property" and thus the limitation of 6 years applied.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A.G. (Ont.) v. Fatehi</w:t>
      </w:r>
      <w:r>
        <w:rPr>
          <w:rFonts w:ascii="arial" w:eastAsia="arial" w:hAnsi="arial" w:cs="arial"/>
          <w:color w:val="000000"/>
          <w:sz w:val="20"/>
          <w:lang w:val="en-US" w:eastAsia="en-US" w:bidi="ar-SA"/>
        </w:rPr>
        <w:t xml:space="preserve">, </w:t>
      </w:r>
      <w:hyperlink r:id="rId660" w:history="1">
        <w:r>
          <w:rPr>
            <w:rFonts w:ascii="arial" w:eastAsia="arial" w:hAnsi="arial" w:cs="arial"/>
            <w:i/>
            <w:color w:val="0077CC"/>
            <w:sz w:val="20"/>
            <w:u w:val="single"/>
            <w:shd w:val="clear" w:color="auto" w:fill="FFFFFF"/>
            <w:lang w:val="en-US" w:eastAsia="en-US" w:bidi="ar-SA"/>
          </w:rPr>
          <w:t>[1984] 2 S.C.R. 536</w:t>
        </w:r>
      </w:hyperlink>
      <w:r>
        <w:rPr>
          <w:rFonts w:ascii="arial" w:eastAsia="arial" w:hAnsi="arial" w:cs="arial"/>
          <w:color w:val="000000"/>
          <w:sz w:val="20"/>
          <w:lang w:val="en-US" w:eastAsia="en-US" w:bidi="ar-SA"/>
        </w:rPr>
        <w:t>, the Court addressed circumstances where the defendant caused a collision on the highway, the result of which was that gasoline and debris were strewn on the surface of the highway. The highway was closed while the surface was cleaned. The closure prevented one lane of the highway from being used by other vehicles. A.G. (Ont.), claimed damages from the defendant for the cost of repairing the highway. The Court considered whether it was for damage to property. At p. 541, the Court stated: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appellant as the owner of the road has thereby suffered damage to its property. The appellant suffered this direct damage in the same manner as any other property owner, and unless there is some disqualifying law operating in these circumstances (which will be discussed later), the appellant would be entitled to recover for these direct damages so suffered. The appellant restored the road to its prior existence and condition. The cost of so doing was the measure of its loss. Two considerations must be examined. The appellant did not 'repair' the road in the sense of making good, ordinary wear and tear to the roadway. Rather, the appellant was required to expend its resources in order to make whole its property which had been significantly degraded by the actions of the respondent ...</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Lau Bat Logging Co. Ltd. v. B.C.</w:t>
      </w:r>
      <w:r>
        <w:rPr>
          <w:rFonts w:ascii="arial" w:eastAsia="arial" w:hAnsi="arial" w:cs="arial"/>
          <w:color w:val="000000"/>
          <w:sz w:val="20"/>
          <w:lang w:val="en-US" w:eastAsia="en-US" w:bidi="ar-SA"/>
        </w:rPr>
        <w:t xml:space="preserve"> </w:t>
      </w:r>
      <w:hyperlink r:id="rId661" w:history="1">
        <w:r>
          <w:rPr>
            <w:rFonts w:ascii="arial" w:eastAsia="arial" w:hAnsi="arial" w:cs="arial"/>
            <w:i/>
            <w:color w:val="0077CC"/>
            <w:sz w:val="20"/>
            <w:u w:val="single"/>
            <w:shd w:val="clear" w:color="auto" w:fill="FFFFFF"/>
            <w:lang w:val="en-US" w:eastAsia="en-US" w:bidi="ar-SA"/>
          </w:rPr>
          <w:t>(1986), 1 B.C.L.R. (2d) 390</w:t>
        </w:r>
      </w:hyperlink>
      <w:r>
        <w:rPr>
          <w:rFonts w:ascii="arial" w:eastAsia="arial" w:hAnsi="arial" w:cs="arial"/>
          <w:color w:val="000000"/>
          <w:sz w:val="20"/>
          <w:lang w:val="en-US" w:eastAsia="en-US" w:bidi="ar-SA"/>
        </w:rPr>
        <w:t xml:space="preserve">, the Court of Appeal addressed a claim by the plaintiff that in 1981 it contracted with B.C. Hydro to clear a right of way and sell any timber logged from the area. The defendant, Triple H, was clearing another portion of the right of way. There was a fire and parts of the right of way upon which the plaintiff was working, were burned. The plaintiff commenced its proceedings in 1984, alleging the defendant's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in starting and failing to contain the fire. The plaintiff alleged a loss of profits on the sale of the merchantable timber located on the part of the right of way that it was logging. The defendant argued that the claim was statute barred as it alleged an injury to land.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w:t>
      </w:r>
      <w:r>
        <w:rPr>
          <w:rFonts w:ascii="arial" w:eastAsia="arial" w:hAnsi="arial" w:cs="arial"/>
          <w:color w:val="000000"/>
          <w:sz w:val="20"/>
          <w:lang w:val="en-US" w:eastAsia="en-US" w:bidi="ar-SA"/>
        </w:rPr>
        <w:t>  The court agreed with the defendant's position. It concluded that the action was for "damages in respect of injury to ... property", that is the timber. It was not for "economic loss arising from the injury." (at para. 17)</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Low v. Petro-Canada Inc.</w:t>
      </w:r>
      <w:r>
        <w:rPr>
          <w:rFonts w:ascii="arial" w:eastAsia="arial" w:hAnsi="arial" w:cs="arial"/>
          <w:color w:val="000000"/>
          <w:sz w:val="20"/>
          <w:lang w:val="en-US" w:eastAsia="en-US" w:bidi="ar-SA"/>
        </w:rPr>
        <w:t xml:space="preserve">, </w:t>
      </w:r>
      <w:hyperlink r:id="rId662" w:history="1">
        <w:r>
          <w:rPr>
            <w:rFonts w:ascii="arial" w:eastAsia="arial" w:hAnsi="arial" w:cs="arial"/>
            <w:i/>
            <w:color w:val="0077CC"/>
            <w:sz w:val="20"/>
            <w:u w:val="single"/>
            <w:shd w:val="clear" w:color="auto" w:fill="FFFFFF"/>
            <w:lang w:val="en-US" w:eastAsia="en-US" w:bidi="ar-SA"/>
          </w:rPr>
          <w:t>2001 BCSC 251</w:t>
        </w:r>
      </w:hyperlink>
      <w:r>
        <w:rPr>
          <w:rFonts w:ascii="arial" w:eastAsia="arial" w:hAnsi="arial" w:cs="arial"/>
          <w:color w:val="000000"/>
          <w:sz w:val="20"/>
          <w:lang w:val="en-US" w:eastAsia="en-US" w:bidi="ar-SA"/>
        </w:rPr>
        <w:t xml:space="preserve">, Mr. Justice Macaulay considered the plaintiff's claim for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and breach of contract relating to the contamination of land, which the plaintiff claimed Petro Canada caused or contributed to. At paras. 50-51, Macaulay J. stated: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[50] The characterization of direct damage was considered by the Supreme Court of Canada in </w:t>
      </w:r>
      <w:r>
        <w:rPr>
          <w:rFonts w:ascii="arial" w:eastAsia="arial" w:hAnsi="arial" w:cs="arial"/>
          <w:i/>
          <w:color w:val="000000"/>
          <w:sz w:val="20"/>
          <w:lang w:val="en-US" w:eastAsia="en-US" w:bidi="ar-SA"/>
        </w:rPr>
        <w:t>Ontario (Attorney-General) v. Fatehi,</w:t>
      </w:r>
      <w:r>
        <w:rPr>
          <w:rFonts w:ascii="arial" w:eastAsia="arial" w:hAnsi="arial" w:cs="arial"/>
          <w:color w:val="000000"/>
          <w:sz w:val="20"/>
          <w:lang w:val="en-US" w:eastAsia="en-US" w:bidi="ar-SA"/>
        </w:rPr>
        <w:t xml:space="preserve"> </w:t>
      </w:r>
      <w:hyperlink r:id="rId660" w:history="1">
        <w:r>
          <w:rPr>
            <w:rFonts w:ascii="arial" w:eastAsia="arial" w:hAnsi="arial" w:cs="arial"/>
            <w:i/>
            <w:color w:val="0077CC"/>
            <w:sz w:val="20"/>
            <w:u w:val="single"/>
            <w:shd w:val="clear" w:color="auto" w:fill="FFFFFF"/>
            <w:lang w:val="en-US" w:eastAsia="en-US" w:bidi="ar-SA"/>
          </w:rPr>
          <w:t>[1984] 2 S.C.R. 536</w:t>
        </w:r>
      </w:hyperlink>
      <w:r>
        <w:rPr>
          <w:rFonts w:ascii="arial" w:eastAsia="arial" w:hAnsi="arial" w:cs="arial"/>
          <w:color w:val="000000"/>
          <w:sz w:val="20"/>
          <w:lang w:val="en-US" w:eastAsia="en-US" w:bidi="ar-SA"/>
        </w:rPr>
        <w:t>. Damage in the form of an oil spill was found to have resulted from the negligent actions of the respondent driver who was involved in an accident on a highway. A unanimous Court held that the spillage of gasoline onto property constituted "direct damage" to the property where "the appellant was required to expend its resources in order to make whole its property which had been significantly degraded by the actions of the respondent" (at 541).</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[51 As in </w:t>
      </w:r>
      <w:r>
        <w:rPr>
          <w:rFonts w:ascii="arial" w:eastAsia="arial" w:hAnsi="arial" w:cs="arial"/>
          <w:i/>
          <w:color w:val="000000"/>
          <w:sz w:val="20"/>
          <w:lang w:val="en-US" w:eastAsia="en-US" w:bidi="ar-SA"/>
        </w:rPr>
        <w:t>Fatehi</w:t>
      </w:r>
      <w:r>
        <w:rPr>
          <w:rFonts w:ascii="arial" w:eastAsia="arial" w:hAnsi="arial" w:cs="arial"/>
          <w:color w:val="000000"/>
          <w:sz w:val="20"/>
          <w:lang w:val="en-US" w:eastAsia="en-US" w:bidi="ar-SA"/>
        </w:rPr>
        <w:t xml:space="preserve">, I find that the damage to Low's property is direct in that she must expend her resources to make the property whole because of the actions of Petro-Canada. In each of </w:t>
      </w:r>
      <w:r>
        <w:rPr>
          <w:rFonts w:ascii="arial" w:eastAsia="arial" w:hAnsi="arial" w:cs="arial"/>
          <w:i/>
          <w:color w:val="000000"/>
          <w:sz w:val="20"/>
          <w:lang w:val="en-US" w:eastAsia="en-US" w:bidi="ar-SA"/>
        </w:rPr>
        <w:t>Fatehi</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Lau Bat</w:t>
      </w:r>
      <w:r>
        <w:rPr>
          <w:rFonts w:ascii="arial" w:eastAsia="arial" w:hAnsi="arial" w:cs="arial"/>
          <w:color w:val="000000"/>
          <w:sz w:val="20"/>
          <w:lang w:val="en-US" w:eastAsia="en-US" w:bidi="ar-SA"/>
        </w:rPr>
        <w:t xml:space="preserve"> and </w:t>
      </w:r>
      <w:r>
        <w:rPr>
          <w:rFonts w:ascii="arial" w:eastAsia="arial" w:hAnsi="arial" w:cs="arial"/>
          <w:i/>
          <w:color w:val="000000"/>
          <w:sz w:val="20"/>
          <w:lang w:val="en-US" w:eastAsia="en-US" w:bidi="ar-SA"/>
        </w:rPr>
        <w:t>Low</w:t>
      </w:r>
      <w:r>
        <w:rPr>
          <w:rFonts w:ascii="arial" w:eastAsia="arial" w:hAnsi="arial" w:cs="arial"/>
          <w:color w:val="000000"/>
          <w:sz w:val="20"/>
          <w:lang w:val="en-US" w:eastAsia="en-US" w:bidi="ar-SA"/>
        </w:rPr>
        <w:t xml:space="preserve">, the court addressed a third party's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which caused an injury to the plaintiff's property and rendered it unusable for a period of time. The damages were for the injury to property and addressed an external identifiable act.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w:t>
      </w:r>
      <w:r>
        <w:rPr>
          <w:rFonts w:ascii="arial" w:eastAsia="arial" w:hAnsi="arial" w:cs="arial"/>
          <w:color w:val="000000"/>
          <w:sz w:val="20"/>
          <w:lang w:val="en-US" w:eastAsia="en-US" w:bidi="ar-SA"/>
        </w:rPr>
        <w:t>  In this case, the plaintiff's claim is for loss resulting from a breach of contract. The plaintiff says that if the defendant had performed the contract properly, the first pit which was blasted, drilled and excavated by the defendant would have met the plaintiff's requirements and no additional or incremental work would have been required.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w:t>
      </w:r>
      <w:r>
        <w:rPr>
          <w:rFonts w:ascii="arial" w:eastAsia="arial" w:hAnsi="arial" w:cs="arial"/>
          <w:color w:val="000000"/>
          <w:sz w:val="20"/>
          <w:lang w:val="en-US" w:eastAsia="en-US" w:bidi="ar-SA"/>
        </w:rPr>
        <w:t xml:space="preserve">  With respect, the defendant's position is too narrow. It ignores the contract that it was hired to perform. In </w:t>
      </w:r>
      <w:r>
        <w:rPr>
          <w:rFonts w:ascii="arial" w:eastAsia="arial" w:hAnsi="arial" w:cs="arial"/>
          <w:i/>
          <w:color w:val="000000"/>
          <w:sz w:val="20"/>
          <w:lang w:val="en-US" w:eastAsia="en-US" w:bidi="ar-SA"/>
        </w:rPr>
        <w:t>Fatehi</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Lau Bat</w:t>
      </w:r>
      <w:r>
        <w:rPr>
          <w:rFonts w:ascii="arial" w:eastAsia="arial" w:hAnsi="arial" w:cs="arial"/>
          <w:color w:val="000000"/>
          <w:sz w:val="20"/>
          <w:lang w:val="en-US" w:eastAsia="en-US" w:bidi="ar-SA"/>
        </w:rPr>
        <w:t xml:space="preserve">, and </w:t>
      </w:r>
      <w:r>
        <w:rPr>
          <w:rFonts w:ascii="arial" w:eastAsia="arial" w:hAnsi="arial" w:cs="arial"/>
          <w:i/>
          <w:color w:val="000000"/>
          <w:sz w:val="20"/>
          <w:lang w:val="en-US" w:eastAsia="en-US" w:bidi="ar-SA"/>
        </w:rPr>
        <w:t>Low</w:t>
      </w:r>
      <w:r>
        <w:rPr>
          <w:rFonts w:ascii="arial" w:eastAsia="arial" w:hAnsi="arial" w:cs="arial"/>
          <w:color w:val="000000"/>
          <w:sz w:val="20"/>
          <w:lang w:val="en-US" w:eastAsia="en-US" w:bidi="ar-SA"/>
        </w:rPr>
        <w:t xml:space="preserve">, a third party injured the property and the claim was for loss related to that property. In </w:t>
      </w:r>
      <w:r>
        <w:rPr>
          <w:rFonts w:ascii="arial" w:eastAsia="arial" w:hAnsi="arial" w:cs="arial"/>
          <w:i/>
          <w:color w:val="000000"/>
          <w:sz w:val="20"/>
          <w:lang w:val="en-US" w:eastAsia="en-US" w:bidi="ar-SA"/>
        </w:rPr>
        <w:t>Fatehi</w:t>
      </w:r>
      <w:r>
        <w:rPr>
          <w:rFonts w:ascii="arial" w:eastAsia="arial" w:hAnsi="arial" w:cs="arial"/>
          <w:color w:val="000000"/>
          <w:sz w:val="20"/>
          <w:lang w:val="en-US" w:eastAsia="en-US" w:bidi="ar-SA"/>
        </w:rPr>
        <w:t xml:space="preserve">, the defendant caused an accident which left debris on the highway and caused it to be closed; in </w:t>
      </w:r>
      <w:r>
        <w:rPr>
          <w:rFonts w:ascii="arial" w:eastAsia="arial" w:hAnsi="arial" w:cs="arial"/>
          <w:i/>
          <w:color w:val="000000"/>
          <w:sz w:val="20"/>
          <w:lang w:val="en-US" w:eastAsia="en-US" w:bidi="ar-SA"/>
        </w:rPr>
        <w:t>Low</w:t>
      </w:r>
      <w:r>
        <w:rPr>
          <w:rFonts w:ascii="arial" w:eastAsia="arial" w:hAnsi="arial" w:cs="arial"/>
          <w:color w:val="000000"/>
          <w:sz w:val="20"/>
          <w:lang w:val="en-US" w:eastAsia="en-US" w:bidi="ar-SA"/>
        </w:rPr>
        <w:t xml:space="preserve">, the loss was merchantable timber. In </w:t>
      </w:r>
      <w:r>
        <w:rPr>
          <w:rFonts w:ascii="arial" w:eastAsia="arial" w:hAnsi="arial" w:cs="arial"/>
          <w:i/>
          <w:color w:val="000000"/>
          <w:sz w:val="20"/>
          <w:lang w:val="en-US" w:eastAsia="en-US" w:bidi="ar-SA"/>
        </w:rPr>
        <w:t>Lau Bat</w:t>
      </w:r>
      <w:r>
        <w:rPr>
          <w:rFonts w:ascii="arial" w:eastAsia="arial" w:hAnsi="arial" w:cs="arial"/>
          <w:color w:val="000000"/>
          <w:sz w:val="20"/>
          <w:lang w:val="en-US" w:eastAsia="en-US" w:bidi="ar-SA"/>
        </w:rPr>
        <w:t>, the claim was in respect of environmental damage to the property.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w:t>
      </w:r>
      <w:r>
        <w:rPr>
          <w:rFonts w:ascii="arial" w:eastAsia="arial" w:hAnsi="arial" w:cs="arial"/>
          <w:color w:val="000000"/>
          <w:sz w:val="20"/>
          <w:lang w:val="en-US" w:eastAsia="en-US" w:bidi="ar-SA"/>
        </w:rPr>
        <w:t>  Here, the defendant was contracted to perform work which the plaintiff says, was performed in breach of the contractual provisions, or performed negligently. The claim is not concerning an injury to land; rather the injury to land was the nature of the contract. The defendants were contracted to injure the land in order to "build" a pit. The pit was not built correctly. The plaintiff is not seeking damages to make the land "whole". It is seeking damages related to the inadequacy of the first pit which was blasted, drilled and excavated by the defendant.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Conclusion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w:t>
      </w:r>
      <w:r>
        <w:rPr>
          <w:rFonts w:ascii="arial" w:eastAsia="arial" w:hAnsi="arial" w:cs="arial"/>
          <w:color w:val="000000"/>
          <w:sz w:val="20"/>
          <w:lang w:val="en-US" w:eastAsia="en-US" w:bidi="ar-SA"/>
        </w:rPr>
        <w:t>  The plaintiff's claim for damages is not in respect of the injury to land, but rather breach of contract or negligent performance of a contract. As that is the case, the 6 year limitation applies.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w:t>
      </w:r>
      <w:r>
        <w:rPr>
          <w:rFonts w:ascii="arial" w:eastAsia="arial" w:hAnsi="arial" w:cs="arial"/>
          <w:color w:val="000000"/>
          <w:sz w:val="20"/>
          <w:lang w:val="en-US" w:eastAsia="en-US" w:bidi="ar-SA"/>
        </w:rPr>
        <w:t>  The defendant's application is dismissed. The plaintiff is entitled to costs.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J.M. GROPPER J.</w:t>
      </w:r>
      <w:r>
        <w:rPr>
          <w:rFonts w:ascii="arial" w:eastAsia="arial" w:hAnsi="arial" w:cs="arial"/>
          <w:sz w:val="20"/>
          <w:lang w:val="en-US" w:eastAsia="en-US" w:bidi="ar-SA"/>
        </w:rPr>
        <w:cr/>
      </w:r>
    </w:p>
    <w:p>
      <w:pPr>
        <w:rPr>
          <w:rFonts w:ascii="arial" w:eastAsia="arial" w:hAnsi="arial" w:cs="arial"/>
          <w:sz w:val="20"/>
          <w:lang w:val="en-US" w:eastAsia="en-US" w:bidi="ar-SA"/>
        </w:rPr>
      </w:pPr>
    </w:p>
    <w:p>
      <w:pPr>
        <w:ind w:left="200"/>
        <w:rPr>
          <w:rFonts w:ascii="arial" w:eastAsia="arial" w:hAnsi="arial" w:cs="arial"/>
          <w:sz w:val="20"/>
          <w:lang w:val="en-US" w:eastAsia="en-US" w:bidi="ar-SA"/>
        </w:rPr>
        <w:sectPr>
          <w:type w:val="continuous"/>
          <w:pgMar w:top="840" w:right="1000" w:bottom="840" w:left="1000" w:header="400" w:footer="400"/>
          <w:pgNumType w:fmt="decimal"/>
          <w:cols w:space="720"/>
        </w:sectPr>
      </w:pPr>
      <w:r>
        <w:rPr>
          <w:rFonts w:ascii="arial" w:eastAsia="arial" w:hAnsi="arial" w:cs="arial"/>
          <w:sz w:val="20"/>
          <w:lang w:val="en-US" w:eastAsia="en-US" w:bidi="ar-SA"/>
        </w:rPr>
        <w:br/>
      </w:r>
      <w:r>
        <w:pict>
          <v:line id="_x0000_s1197" style="position:absolute;z-index:251886592" from="0,10pt" to="512pt,10pt" strokecolor="black" strokeweight="1pt">
            <v:stroke linestyle="single"/>
          </v:line>
        </w:pict>
      </w:r>
      <w:r>
        <w:rPr>
          <w:b/>
          <w:color w:val="767676"/>
          <w:sz w:val="16"/>
          <w:lang w:val="en-US" w:eastAsia="en-US" w:bidi="ar-SA"/>
        </w:rPr>
        <w:t>End of Document</w:t>
      </w:r>
    </w:p>
    <w:p>
      <w:pPr>
        <w:rPr>
          <w:rFonts w:ascii="arial" w:eastAsia="arial" w:hAnsi="arial" w:cs="arial"/>
          <w:sz w:val="20"/>
          <w:lang w:val="en-US" w:eastAsia="en-US" w:bidi="ar-SA"/>
        </w:rPr>
        <w:sectPr>
          <w:headerReference w:type="even" r:id="rId663"/>
          <w:headerReference w:type="default" r:id="rId664"/>
          <w:footerReference w:type="even" r:id="rId665"/>
          <w:footerReference w:type="default" r:id="rId666"/>
          <w:headerReference w:type="first" r:id="rId667"/>
          <w:footerReference w:type="first" r:id="rId668"/>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eastAsia="arial" w:hAnsi="Arial" w:cs="Arial"/>
          <w:b/>
          <w:bCs/>
          <w:kern w:val="32"/>
          <w:sz w:val="32"/>
          <w:szCs w:val="32"/>
          <w:lang w:val="en-US" w:eastAsia="en-US" w:bidi="ar-SA"/>
        </w:rPr>
      </w:pPr>
      <w:hyperlink r:id="rId669" w:history="1">
        <w:r>
          <w:rPr>
            <w:rFonts w:ascii="arial" w:eastAsia="arial" w:hAnsi="arial" w:cs="arial"/>
            <w:b/>
            <w:bCs/>
            <w:i/>
            <w:color w:val="0077CC"/>
            <w:kern w:val="32"/>
            <w:sz w:val="28"/>
            <w:szCs w:val="32"/>
            <w:u w:val="single"/>
            <w:shd w:val="clear" w:color="auto" w:fill="FFFFFF"/>
            <w:lang w:val="en-US" w:eastAsia="en-US" w:bidi="ar-SA"/>
          </w:rPr>
          <w:t>Strata Plan KAS 3267 v. Happy Valley Resort Ltd., [2015] B.C.J. No. 2320</w:t>
        </w:r>
      </w:hyperlink>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Judgments</w:t>
      </w:r>
    </w:p>
    <w:p>
      <w:pPr>
        <w:rPr>
          <w:rFonts w:ascii="arial" w:eastAsia="arial" w:hAnsi="arial" w:cs="arial"/>
          <w:sz w:val="20"/>
          <w:lang w:val="en-US" w:eastAsia="en-US" w:bidi="ar-SA"/>
        </w:rPr>
      </w:pP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Vancouver, British Columbia</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T.A. Schultes J.</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Heard: September 17, 2015.</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Judgment: October 26, 2015.</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Docket: S144231</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Registry: Vancouver</w:t>
      </w:r>
    </w:p>
    <w:p>
      <w:pPr>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r>
        <w:rPr>
          <w:rFonts w:ascii="arial" w:eastAsia="arial" w:hAnsi="arial" w:cs="arial"/>
          <w:b/>
          <w:color w:val="000000"/>
          <w:sz w:val="20"/>
          <w:lang w:val="en-US" w:eastAsia="en-US" w:bidi="ar-SA"/>
        </w:rPr>
        <w:t>[2015] B.C.J. No. 2320</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2015 BCSC 1955</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2015 CarswellBC 3096</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259 A.C.W.S. (3d) 750</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57 C.L.R. (4th) 141</w:t>
      </w:r>
    </w:p>
    <w:p>
      <w:pPr>
        <w:spacing w:before="120" w:line="260" w:lineRule="atLeast"/>
        <w:rPr>
          <w:rFonts w:ascii="arial" w:eastAsia="arial" w:hAnsi="arial" w:cs="arial"/>
          <w:sz w:val="20"/>
          <w:lang w:val="en-US" w:eastAsia="en-US" w:bidi="ar-SA"/>
        </w:rPr>
      </w:pPr>
      <w:r>
        <w:rPr>
          <w:rFonts w:ascii="arial" w:eastAsia="arial" w:hAnsi="arial" w:cs="arial"/>
          <w:color w:val="000000"/>
          <w:sz w:val="20"/>
          <w:lang w:val="en-US" w:eastAsia="en-US" w:bidi="ar-SA"/>
        </w:rPr>
        <w:t>Between The Owners, Strata Plan KAS 3267, Plaintiff, and Happy Valley Resort Ltd., 0718698 B.C. Ltd., 0724455 B.C. Ltd., Ogopogo Beach Resort Ltd., Belco Holdings Inc., Coast Architectural Group Inc., Gabe Lebihan doing business as Affiliated Engineering Group, Interior Testing Services Ltd., Trak Energy Corporation, Jeffrey H. Maxwell, JMS Engineering Ltd., Aqua-Coast Engineering Ltd., Cobalt Engineering &amp; Consulting Inc., Rockingham Pool Consulting Inc., Garry Tomporowski Architect Ltd., D.E. Pilling &amp; Associates Ltd., JCM Mechanical Inc., Barry Dean Clarke doing business as B. Clarke Engineering, Royal &amp; Sun Alliance Insurance Company of Canada, Aviva Insurance Company of Canada, Aviva, Compagnie D'Assurance du Canada, The District of West Kelowna, Defendants, and Happy Valley Resort Ltd., 0718698 B.C. Ltd., 0724455 B.C. Ltd., Ogopogo Beach Resort Ltd., Belco Holdings Inc., Coast Architectural Group Inc., Gabe Lebihan doing business as Affiliated Engineering Group, Interior Testing Services Ltd., Trak Energy Engineering Inc., JMS Engineering Ltd., Aqua-Coast Engineering Ltd., Cobalt Engineering &amp; Consulting Inc., Rockingham Pool Consulting Inc., Garry Tomporowksi Architect Ltd., D.E. Pilling &amp; Associates Ltd., JCM Mechanical Inc., Barry Dean Clarke doing business as B. Clarke Engineering, The District of West Kelowna, integral Group Consulting (BC) LLP, Jeffrey (Jeff) Howard Maxwell, Strathcona Mechanical Limited, Tomnor HVAC Refrigeration &amp; Controls Ltd., Trak Energy Corporation, Stewart Smith, Desert Crete and Desert Crete Ltd., Third Parties</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(47 paras.)</w:t>
      </w:r>
    </w:p>
    <w:p>
      <w:pPr>
        <w:keepNext/>
        <w:spacing w:before="12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Case Summary</w:t>
      </w:r>
    </w:p>
    <w:p>
      <w:pPr>
        <w:spacing w:line="60" w:lineRule="exact"/>
        <w:rPr>
          <w:rFonts w:ascii="arial" w:eastAsia="arial" w:hAnsi="arial" w:cs="arial"/>
          <w:sz w:val="20"/>
          <w:lang w:val="en-US" w:eastAsia="en-US" w:bidi="ar-SA"/>
        </w:rPr>
      </w:pPr>
      <w:r>
        <w:pict>
          <v:line id="_x0000_s1198" style="position:absolute;z-index:251695104"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bookmarkStart w:id="227" w:name="Keywords_34"/>
      <w:bookmarkEnd w:id="227"/>
      <w:r>
        <w:rPr>
          <w:rFonts w:ascii="arial" w:eastAsia="arial" w:hAnsi="arial" w:cs="arial"/>
          <w:b/>
          <w:color w:val="000000"/>
          <w:sz w:val="20"/>
          <w:lang w:val="en-US" w:eastAsia="en-US" w:bidi="ar-SA"/>
        </w:rPr>
        <w:t>Civil litigation — Civil procedure — Injunctions — Circumstances when not granted — Considerations affecting grant — Balance of convenience — Preservation of property — Mareva injunctions — Application by Strata Corporation for Mareva injunction dismissed — Litigation arose due to alleged defects in 159-lot, 13-building development's geothermal heating, ventilation and air conditioning system — Plaintiff sought injunction restraining developer defendants from dealing in unsold lots — Although plaintiff established arguable case, balance of convenience favoured defendants — Defendants were engaged in routine ongoing sale process in course of ordinary business that could not be characterized as dissipation of assets.</w:t>
      </w:r>
    </w:p>
    <w:p>
      <w:pPr>
        <w:rPr>
          <w:rFonts w:ascii="arial" w:eastAsia="arial" w:hAnsi="arial" w:cs="arial"/>
          <w:sz w:val="20"/>
          <w:lang w:val="en-US" w:eastAsia="en-US" w:bidi="ar-SA"/>
        </w:rPr>
      </w:pPr>
    </w:p>
    <w:tbl>
      <w:tblPr>
        <w:tblStyle w:val="TableNormal"/>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
      <w:tblGrid>
        <w:gridCol w:w="10225"/>
      </w:tblGrid>
      <w:tr>
        <w:tblPrEx>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Ex>
        <w:tc>
          <w:tcPr/>
          <w:p>
            <w:pPr>
              <w:rPr>
                <w:rFonts w:ascii="arial" w:eastAsia="arial" w:hAnsi="arial" w:cs="arial"/>
                <w:sz w:val="20"/>
                <w:lang w:val="en-US" w:eastAsia="en-US" w:bidi="ar-SA"/>
              </w:rPr>
            </w:pPr>
            <w:bookmarkStart w:id="228" w:name="Case Summary_32"/>
            <w:bookmarkEnd w:id="228"/>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Application by the plaintiff Strata Corporation for a Mareva injunction preventing the defendant developers from disposing of unsold strata units and other property. A 159-lot, 13-building strata development was completed in 2008 as a joint venture. Litigation arose due to alleged defects in the development's geothermal heating, ventilation and air conditioning system. The plaintiff alleged that the system was under-designed and was installed defectively. It alleged breach of warranties of fitness of the strata lots by the developer, and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by the developer and general contractor. The plaintiff submitted that the cost of repair was $2.5 million. Several unsold lots were held by the joint venture defendants. The plaintiff sought an injunction preluding the sale of the lots by the defendants to ensure dissipation of existing assets would not affect their capability to recover any judgment. </w:t>
            </w:r>
            <w:r>
              <w:rPr>
                <w:rFonts w:ascii="arial" w:eastAsia="arial" w:hAnsi="arial" w:cs="arial"/>
                <w:sz w:val="20"/>
                <w:lang w:val="en-US" w:eastAsia="en-US" w:bidi="ar-SA"/>
              </w:rPr>
              <w:cr/>
            </w:r>
          </w:p>
          <w:p>
            <w:pPr>
              <w:spacing w:before="120" w:line="260" w:lineRule="atLeast"/>
              <w:ind w:left="240"/>
              <w:jc w:val="both"/>
              <w:rPr>
                <w:rFonts w:ascii="arial" w:eastAsia="arial" w:hAnsi="arial" w:cs="arial"/>
                <w:sz w:val="20"/>
                <w:lang w:val="en-US" w:eastAsia="en-US" w:bidi="ar-SA"/>
              </w:rPr>
            </w:pPr>
            <w:bookmarkStart w:id="229" w:name="Holdings of Court_26"/>
            <w:bookmarkEnd w:id="229"/>
            <w:r>
              <w:rPr>
                <w:rFonts w:ascii="arial" w:eastAsia="arial" w:hAnsi="arial" w:cs="arial"/>
                <w:color w:val="000000"/>
                <w:sz w:val="20"/>
                <w:lang w:val="en-US" w:eastAsia="en-US" w:bidi="ar-SA"/>
              </w:rPr>
              <w:t>HELD: Application dismissed.</w:t>
            </w:r>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The plaintiff established an arguable case, although the potential liability of the named defendants was a step removed from the actual designers and builders of the allegedly defective system. The balance of convenience was determinative of the application and did not favour restraining the sale of the lots. The defendants were engaged in a routine ongoing sale process in the course of their ordinary business that could not be characterized as a dissipation of the assets. Instead, the defendants were engaged in the execution of the joint venture's purpose. </w:t>
            </w:r>
            <w:r>
              <w:rPr>
                <w:rFonts w:ascii="arial" w:eastAsia="arial" w:hAnsi="arial" w:cs="arial"/>
                <w:sz w:val="20"/>
                <w:lang w:val="en-US" w:eastAsia="en-US" w:bidi="ar-SA"/>
              </w:rPr>
              <w:cr/>
            </w:r>
          </w:p>
          <w:p>
            <w:pPr>
              <w:rPr>
                <w:rFonts w:ascii="arial" w:eastAsia="arial" w:hAnsi="arial" w:cs="arial"/>
                <w:sz w:val="20"/>
                <w:lang w:val="en-US" w:eastAsia="en-US" w:bidi="ar-SA"/>
              </w:rPr>
            </w:pPr>
          </w:p>
        </w:tc>
      </w:tr>
    </w:tbl>
    <w:p>
      <w:pPr>
        <w:jc w:val="both"/>
        <w:rPr>
          <w:rFonts w:ascii="arial" w:eastAsia="arial" w:hAnsi="arial" w:cs="arial"/>
          <w:sz w:val="20"/>
          <w:lang w:val="en-US" w:eastAsia="en-US" w:bidi="ar-SA"/>
        </w:rPr>
      </w:pPr>
      <w:bookmarkStart w:id="230" w:name="Counsel_34"/>
      <w:bookmarkEnd w:id="230"/>
      <w:r>
        <w:rPr>
          <w:rFonts w:ascii="arial" w:eastAsia="arial" w:hAnsi="arial" w:cs="arial"/>
          <w:sz w:val="20"/>
          <w:lang w:val="en-US" w:eastAsia="en-US" w:bidi="ar-SA"/>
        </w:rPr>
        <w:br/>
      </w:r>
    </w:p>
    <w:p>
      <w:pPr>
        <w:keepNext/>
        <w:spacing w:before="24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Counsel</w:t>
      </w:r>
    </w:p>
    <w:p>
      <w:pPr>
        <w:spacing w:line="60" w:lineRule="exact"/>
        <w:rPr>
          <w:rFonts w:ascii="arial" w:eastAsia="arial" w:hAnsi="arial" w:cs="arial"/>
          <w:sz w:val="20"/>
          <w:lang w:val="en-US" w:eastAsia="en-US" w:bidi="ar-SA"/>
        </w:rPr>
      </w:pPr>
      <w:r>
        <w:pict>
          <v:line id="_x0000_s1199" style="position:absolute;z-index:251746304"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Counsel for the Plaintiff: G.S. Hamilton.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Counsel for the Defendant Happy Valley Resort Ltd.: D.A. Crerar.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Counsel for the Defendants 0718698 B.C. Ltd. and 0724455 B.C. Ltd.: C.L. Stewart.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Counsel for the Defendant Belco Holdings Inc.: P.M. Johnson.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Counsel for the Defendants Royal &amp; Sun Alliance Company of Canada and Aviva Insurance Company of Canada: L.D. Williams.</w:t>
      </w:r>
      <w:r>
        <w:rPr>
          <w:rFonts w:ascii="arial" w:eastAsia="arial" w:hAnsi="arial" w:cs="arial"/>
          <w:sz w:val="20"/>
          <w:lang w:val="en-US" w:eastAsia="en-US" w:bidi="ar-SA"/>
        </w:rPr>
        <w:cr/>
      </w:r>
    </w:p>
    <w:p>
      <w:pPr>
        <w:spacing w:after="240"/>
        <w:rPr>
          <w:rFonts w:ascii="arial" w:eastAsia="arial" w:hAnsi="arial" w:cs="arial"/>
          <w:sz w:val="20"/>
          <w:lang w:val="en-US" w:eastAsia="en-US" w:bidi="ar-SA"/>
        </w:rPr>
      </w:pPr>
      <w:bookmarkStart w:id="231" w:name="Judgment_35"/>
      <w:bookmarkEnd w:id="231"/>
      <w:r>
        <w:pict>
          <v:line id="_x0000_s1200" style="position:absolute;z-index:251797504" from="0,12pt" to="512pt,12pt" strokecolor="#009ddb" strokeweight="1.5pt">
            <v:stroke linestyle="single"/>
          </v:line>
        </w:pict>
      </w:r>
    </w:p>
    <w:p>
      <w:pPr>
        <w:spacing w:before="120" w:line="260" w:lineRule="atLeast"/>
        <w:jc w:val="center"/>
        <w:rPr>
          <w:rFonts w:ascii="arial" w:eastAsia="arial" w:hAnsi="arial" w:cs="arial"/>
          <w:sz w:val="20"/>
          <w:lang w:val="en-US" w:eastAsia="en-US" w:bidi="ar-SA"/>
        </w:rPr>
      </w:pPr>
      <w:r>
        <w:rPr>
          <w:rFonts w:ascii="arial" w:eastAsia="arial" w:hAnsi="arial" w:cs="arial"/>
          <w:b/>
          <w:color w:val="000000"/>
          <w:sz w:val="20"/>
          <w:lang w:val="en-US" w:eastAsia="en-US" w:bidi="ar-SA"/>
        </w:rPr>
        <w:t>Reasons for Judgment</w:t>
      </w:r>
      <w:r>
        <w:rPr>
          <w:rFonts w:ascii="arial" w:eastAsia="arial" w:hAnsi="arial" w:cs="arial"/>
          <w:sz w:val="20"/>
          <w:lang w:val="en-US" w:eastAsia="en-US" w:bidi="ar-SA"/>
        </w:rPr>
        <w:cr/>
      </w:r>
    </w:p>
    <w:p>
      <w:pPr>
        <w:rPr>
          <w:rFonts w:ascii="arial" w:eastAsia="arial" w:hAnsi="arial" w:cs="arial"/>
          <w:sz w:val="20"/>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2870"/>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rFonts w:ascii="arial" w:eastAsia="arial" w:hAnsi="arial" w:cs="arial"/>
                <w:sz w:val="20"/>
                <w:lang w:val="en-US" w:eastAsia="en-US" w:bidi="ar-SA"/>
              </w:rPr>
            </w:pPr>
            <w:bookmarkStart w:id="232" w:name="T.A. SCHULTES J."/>
            <w:bookmarkEnd w:id="232"/>
            <w:r>
              <w:rPr>
                <w:rFonts w:ascii="arial" w:eastAsia="arial" w:hAnsi="arial" w:cs="arial"/>
                <w:b/>
                <w:color w:val="000000"/>
                <w:sz w:val="30"/>
                <w:lang w:val="en-US" w:eastAsia="en-US" w:bidi="ar-SA"/>
              </w:rPr>
              <w:t>T.A. SCHULTES J.</w:t>
            </w:r>
          </w:p>
        </w:tc>
      </w:tr>
    </w:tbl>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 xml:space="preserve">I. </w:t>
      </w:r>
      <w:r>
        <w:rPr>
          <w:rFonts w:ascii="arial" w:eastAsia="arial" w:hAnsi="arial" w:cs="arial"/>
          <w:b/>
          <w:color w:val="000000"/>
          <w:sz w:val="20"/>
          <w:u w:val="single"/>
          <w:lang w:val="en-US" w:eastAsia="en-US" w:bidi="ar-SA"/>
        </w:rPr>
        <w:t>INTRODUCTION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xml:space="preserve">  This is an application by the plaintiffs, a strata corporation (the "Owners"), for a </w:t>
      </w:r>
      <w:r>
        <w:rPr>
          <w:rFonts w:ascii="arial" w:eastAsia="arial" w:hAnsi="arial" w:cs="arial"/>
          <w:i/>
          <w:color w:val="000000"/>
          <w:sz w:val="20"/>
          <w:lang w:val="en-US" w:eastAsia="en-US" w:bidi="ar-SA"/>
        </w:rPr>
        <w:t>Mareva</w:t>
      </w:r>
      <w:r>
        <w:rPr>
          <w:rFonts w:ascii="arial" w:eastAsia="arial" w:hAnsi="arial" w:cs="arial"/>
          <w:color w:val="000000"/>
          <w:sz w:val="20"/>
          <w:lang w:val="en-US" w:eastAsia="en-US" w:bidi="ar-SA"/>
        </w:rPr>
        <w:t xml:space="preserve"> injunction to prevent some of the defendants in this action, corporations that were involved in the development of the property to which the strata relates, from disposing of unsold strata units or of other property that they own.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 xml:space="preserve">II. </w:t>
      </w:r>
      <w:r>
        <w:rPr>
          <w:rFonts w:ascii="arial" w:eastAsia="arial" w:hAnsi="arial" w:cs="arial"/>
          <w:b/>
          <w:color w:val="000000"/>
          <w:sz w:val="20"/>
          <w:u w:val="single"/>
          <w:lang w:val="en-US" w:eastAsia="en-US" w:bidi="ar-SA"/>
        </w:rPr>
        <w:t>OVERVIEW OF THE CIRCUMSTANCES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The development in question is called Barona Beach. It is located in West Kelowna and consists of 159 strata lots in 13 buildings, which range in size from one to four stories. It was completed in 2008.</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The development was carried out by a joint venture. Happy Valley Resort Ltd. ("Happy Valley") was the bare trustee holding legal title to the land. The companies that participated in the joint venture were 0718698 B.C. Ltd. ("071"), 0724455 B.C. Ltd. ("072"), Ogopogo Beach Resort Ltd. ("Ogopogo") and Belco Holdings Inc. ("Belco"). Ogopogo is now bankrupt and no injunction is sought against it.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Elaine Barone, president of 072, has deposed that 072 and Ogopogo, which were owned by her now deceased ex-husband, each held 25% of the joint venture. The remaining 50% was held by 071. The owner of 071, Stewart Smith, also owns Belco.</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Ms. Barone says that Mr. Smith had previous construction experience while she and her ex-husband did not, so the day-to-day work on the development was overseen by 071 and Belco. There is some independent support for this assertion in the form of a memo in 2005 from the original heating, ventilation and air conditioning (HVAC) sub-contractor to Mr. Smith, at Belco, providing operating cost estimates for the system.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The litigation giving rise to the injunction application alleges defects in the development's HVAC system. It is a geothermal system, which the Owners say was under-designed and installed defectively. The company originally involved in designing and building it got into a dispute with the developers and had to be replaced.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xml:space="preserve">  The Owners began this action in May of 2014. They have brought it both in their own right as a strata corporation and on behalf of the individual owners. In relation to Happy Valley it alleges breach of warranties of fitness of the strata lots, in its capacity as the developer, and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both as the developer and as the general contractor. There are numerous other defendants, such as the engineers involved in the HVAC system, against whom no injunction is being sought.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The total cost to repair the system is expected to be in the range of $2.5 million. The Owners have raised close to that amount themselves through a special levy and the repairs are 75% complete. A multi-week trial will take place in 2017.</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Happy Valley holds title to some unsold strata lots in the development. Each lot is notionally assigned to one of the numbered companies, who will receive funds when they are sold. 071 has four lots, which are listed for sale at a total value of $1.586 million. 072 has one lot with an assessed value of $400,000. The proceeds of a recent sale of another lot -- $225,475 -- are being held in trust.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A lot was sold in June, before the Owners began this application.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Happy Valley is also entitled to receive a $75,000 landscaping bond being held by the District of West Kelowna in relation to the development.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Belco does not hold any of the unsold lots in the development. However it is the sole owner of eight other unrelated properties. They range in assessed value from $90,000 to $290,000. All but one of them have mortgages against them and two of the mortgages charge multiple properties. The Owners characterize these assets as being heavily encumbered. None are listed for sale at the moment.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 xml:space="preserve">III. </w:t>
      </w:r>
      <w:r>
        <w:rPr>
          <w:rFonts w:ascii="arial" w:eastAsia="arial" w:hAnsi="arial" w:cs="arial"/>
          <w:b/>
          <w:color w:val="000000"/>
          <w:sz w:val="20"/>
          <w:u w:val="single"/>
          <w:lang w:val="en-US" w:eastAsia="en-US" w:bidi="ar-SA"/>
        </w:rPr>
        <w:t>ARGUMENTS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On behalf of the Owners Mr. Hamilton submits that this is a situation in which it would be just and equitable for the defendants to be restrained from disposing of the property that I have described. He says that the Owners have a good arguable case and the balance of convenience favours an injunction, as the authorities require.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The Owners have expert evidence showing serious design and construction defects in the HVAC system. Mr. Hamilton submits that the battleground at trial will not be over liability but rather about the amount to be awarded, based on a determination of how much of the repair work that has been undertaken by the Owners was actually required.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w:t>
      </w:r>
      <w:r>
        <w:rPr>
          <w:rFonts w:ascii="arial" w:eastAsia="arial" w:hAnsi="arial" w:cs="arial"/>
          <w:color w:val="000000"/>
          <w:sz w:val="20"/>
          <w:lang w:val="en-US" w:eastAsia="en-US" w:bidi="ar-SA"/>
        </w:rPr>
        <w:t>  Happy Valley exists solely to carry out the development. 071 and 072 were incorporated on the eve of the commencement of the development and Mr. Hamilton submits that there is only "the thinnest of evidence" that they do anything except nominally hold the property that is in the legal name of Happy Valley. There is certainly no evidence that they have any other assets or business concerns.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w:t>
      </w:r>
      <w:r>
        <w:rPr>
          <w:rFonts w:ascii="arial" w:eastAsia="arial" w:hAnsi="arial" w:cs="arial"/>
          <w:color w:val="000000"/>
          <w:sz w:val="20"/>
          <w:lang w:val="en-US" w:eastAsia="en-US" w:bidi="ar-SA"/>
        </w:rPr>
        <w:t>  Thus the argument is that the dissipation of the existing assets through the ongoing attempts at sale could render these defendants incapable of satisfying any judgment in the Owners' favour.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w:t>
      </w:r>
      <w:r>
        <w:rPr>
          <w:rFonts w:ascii="arial" w:eastAsia="arial" w:hAnsi="arial" w:cs="arial"/>
          <w:color w:val="000000"/>
          <w:sz w:val="20"/>
          <w:lang w:val="en-US" w:eastAsia="en-US" w:bidi="ar-SA"/>
        </w:rPr>
        <w:t>  In that regard, Mr. Hamilton advises that while there is New Home Warranty coverage in place, its providers have denied this claim. Similarly, while there is also liability insurance available, it is intended to cover resulting damage, whereas the major problem here is improper design and construction. Therefore the theoretical availability of other sources of compensation should not in fact alter the balance in favour of an injunction to preserve the defendants' assets.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w:t>
      </w:r>
      <w:r>
        <w:rPr>
          <w:rFonts w:ascii="arial" w:eastAsia="arial" w:hAnsi="arial" w:cs="arial"/>
          <w:color w:val="000000"/>
          <w:sz w:val="20"/>
          <w:lang w:val="en-US" w:eastAsia="en-US" w:bidi="ar-SA"/>
        </w:rPr>
        <w:t xml:space="preserve">  While emphasizing that every application for a </w:t>
      </w:r>
      <w:r>
        <w:rPr>
          <w:rFonts w:ascii="arial" w:eastAsia="arial" w:hAnsi="arial" w:cs="arial"/>
          <w:i/>
          <w:color w:val="000000"/>
          <w:sz w:val="20"/>
          <w:lang w:val="en-US" w:eastAsia="en-US" w:bidi="ar-SA"/>
        </w:rPr>
        <w:t>Mareva</w:t>
      </w:r>
      <w:r>
        <w:rPr>
          <w:rFonts w:ascii="arial" w:eastAsia="arial" w:hAnsi="arial" w:cs="arial"/>
          <w:color w:val="000000"/>
          <w:sz w:val="20"/>
          <w:lang w:val="en-US" w:eastAsia="en-US" w:bidi="ar-SA"/>
        </w:rPr>
        <w:t xml:space="preserve"> injunction must be decided in its own particular context, and there is no rigid requirement to show untoward conduct by the defendants, he submits that there is actually some evidence here of a lack of straightforwardness by Happy Valley. It is the subject of a claim for $750,000 for unpaid services by the original HVAC developer, and it was chronically late in paying strata fees and special levies to the strata corporation in relation to the lots it owned, often delaying payment until formal demands were sent or legal proceedings begun.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w:t>
      </w:r>
      <w:r>
        <w:rPr>
          <w:rFonts w:ascii="arial" w:eastAsia="arial" w:hAnsi="arial" w:cs="arial"/>
          <w:color w:val="000000"/>
          <w:sz w:val="20"/>
          <w:lang w:val="en-US" w:eastAsia="en-US" w:bidi="ar-SA"/>
        </w:rPr>
        <w:t xml:space="preserve">  Adding to these concerns, one of the decisions submitted by the Owners reveals that Mr. Smith was also found personally liable for the non-payment of strata fees for this development, and his conduct was described by the judge in that case as "cynical and manipulative" (see: </w:t>
      </w:r>
      <w:r>
        <w:rPr>
          <w:rFonts w:ascii="arial" w:eastAsia="arial" w:hAnsi="arial" w:cs="arial"/>
          <w:i/>
          <w:color w:val="000000"/>
          <w:sz w:val="20"/>
          <w:lang w:val="en-US" w:eastAsia="en-US" w:bidi="ar-SA"/>
        </w:rPr>
        <w:t>Owners, Strata Plan KAS 3267 v. Smith</w:t>
      </w:r>
      <w:r>
        <w:rPr>
          <w:rFonts w:ascii="arial" w:eastAsia="arial" w:hAnsi="arial" w:cs="arial"/>
          <w:color w:val="000000"/>
          <w:sz w:val="20"/>
          <w:lang w:val="en-US" w:eastAsia="en-US" w:bidi="ar-SA"/>
        </w:rPr>
        <w:t xml:space="preserve">, </w:t>
      </w:r>
      <w:hyperlink r:id="rId670" w:history="1">
        <w:r>
          <w:rPr>
            <w:rFonts w:ascii="arial" w:eastAsia="arial" w:hAnsi="arial" w:cs="arial"/>
            <w:i/>
            <w:color w:val="0077CC"/>
            <w:sz w:val="20"/>
            <w:u w:val="single"/>
            <w:shd w:val="clear" w:color="auto" w:fill="FFFFFF"/>
            <w:lang w:val="en-US" w:eastAsia="en-US" w:bidi="ar-SA"/>
          </w:rPr>
          <w:t>2011 BCSC 387</w:t>
        </w:r>
      </w:hyperlink>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w:t>
      </w:r>
      <w:r>
        <w:rPr>
          <w:rFonts w:ascii="arial" w:eastAsia="arial" w:hAnsi="arial" w:cs="arial"/>
          <w:color w:val="000000"/>
          <w:sz w:val="20"/>
          <w:lang w:val="en-US" w:eastAsia="en-US" w:bidi="ar-SA"/>
        </w:rPr>
        <w:t>  Mr. Crerar on behalf Happy Valley took the lead in resisting this application.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w:t>
      </w:r>
      <w:r>
        <w:rPr>
          <w:rFonts w:ascii="arial" w:eastAsia="arial" w:hAnsi="arial" w:cs="arial"/>
          <w:color w:val="000000"/>
          <w:sz w:val="20"/>
          <w:lang w:val="en-US" w:eastAsia="en-US" w:bidi="ar-SA"/>
        </w:rPr>
        <w:t>  As an overview, he submitted that this application seeks what the cases have described as an extraordinary remedy, for what is in reality an ordinary case of its kind. It is not a coincidence that no condominium litigation cases have been cited as examples of injunctions being granted to preserve assets, he says, because disputes of this kind are unlikely to involve dissipation of assets of an exceptional kind to justify the exercise of the Court's significant restraint power.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w:t>
      </w:r>
      <w:r>
        <w:rPr>
          <w:rFonts w:ascii="arial" w:eastAsia="arial" w:hAnsi="arial" w:cs="arial"/>
          <w:color w:val="000000"/>
          <w:sz w:val="20"/>
          <w:lang w:val="en-US" w:eastAsia="en-US" w:bidi="ar-SA"/>
        </w:rPr>
        <w:t>  He points out that the injunction sought in this case cannot operate other than by prohibiting Happy Valley from carrying out its only function. The standard provision in the Draft Model Order for Preservation of Assets in Practice Direction 47 (which permits a defendant to continue to deal with its assets as a legitimate part of its business operations) has had to be omitted by the Owners from the order being sought in this case, because the sole purpose of Happy Valley's business is to market and sell condo units. Mr. Crerar also asks that I consider the equities of this application being brought against only four of the 24 defendants, when it is those four whose business depends on being able to deal with these properties.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w:t>
      </w:r>
      <w:r>
        <w:rPr>
          <w:rFonts w:ascii="arial" w:eastAsia="arial" w:hAnsi="arial" w:cs="arial"/>
          <w:color w:val="000000"/>
          <w:sz w:val="20"/>
          <w:lang w:val="en-US" w:eastAsia="en-US" w:bidi="ar-SA"/>
        </w:rPr>
        <w:t>  It is also significant, he says, that units were sold between the assertion of the HVAC defects by the Owners in 2010 and the start of the litigation in 2014 and that some have been sold since the litigation began. The Owners have been well aware of this sale process, which has not been at all furtive. For example, a previous dispute between the Owners and the defendants over a unit was resolved by the Owners agreeing to purchase it.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w:t>
      </w:r>
      <w:r>
        <w:rPr>
          <w:rFonts w:ascii="arial" w:eastAsia="arial" w:hAnsi="arial" w:cs="arial"/>
          <w:color w:val="000000"/>
          <w:sz w:val="20"/>
          <w:lang w:val="en-US" w:eastAsia="en-US" w:bidi="ar-SA"/>
        </w:rPr>
        <w:t>  In addition to the assets held by these defendants as described in the Owners' material, Mr. Crerar adds to the amounts available to satisfy any judgment the $750,000 that is being held in trust on behalf of Happy Valley pending the claim to it by the first HVAC subcontractor, which Happy Valley has refused to pay yet because of their dispute. If the Owners are correct and the subcontractor was negligent, that money will also be available to these defendants to satisfy a judgment in favour of the Owners. It is also appropriate, he argues, to look at the total amount available from all defendants to satisfy the claim. This should include the significant insurance available to the many professionals who have also been named.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w:t>
      </w:r>
      <w:r>
        <w:rPr>
          <w:rFonts w:ascii="arial" w:eastAsia="arial" w:hAnsi="arial" w:cs="arial"/>
          <w:color w:val="000000"/>
          <w:sz w:val="20"/>
          <w:lang w:val="en-US" w:eastAsia="en-US" w:bidi="ar-SA"/>
        </w:rPr>
        <w:t>  Ms. Stewart for 071 and 072 and Mr. Johnson for Belco adopted Happy Valley's submissions and added a few focused points that are specifically relevant to those other companies.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w:t>
      </w:r>
      <w:r>
        <w:rPr>
          <w:rFonts w:ascii="arial" w:eastAsia="arial" w:hAnsi="arial" w:cs="arial"/>
          <w:color w:val="000000"/>
          <w:sz w:val="20"/>
          <w:lang w:val="en-US" w:eastAsia="en-US" w:bidi="ar-SA"/>
        </w:rPr>
        <w:t>  With respect to the strength of the Owners' case, Ms. Stewart noted that to the extent that it rests on a concept of vicarious liability on the part of the defendants as developers for the actions of the HVAC subcontractors, that basis has not been pleaded. In addition, to the extent that the claim arises from a breach of warranty by the developers, she notes that the New Home Warranty is guaranteed by the developers for the benefit of the strata lot owners, to protect them from deficiencies. It is not a warranty to the Owners by the developers concerning deficiencies.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w:t>
      </w:r>
      <w:r>
        <w:rPr>
          <w:rFonts w:ascii="arial" w:eastAsia="arial" w:hAnsi="arial" w:cs="arial"/>
          <w:color w:val="000000"/>
          <w:sz w:val="20"/>
          <w:lang w:val="en-US" w:eastAsia="en-US" w:bidi="ar-SA"/>
        </w:rPr>
        <w:t>  With respect to the balance of convenience, she argues that there will be significant prejudice to the numbered companies from an injunction. The strata lot that 071 owns was purchased on the market in the usual way for Ms. Barone's personal use, rather than being assigned by Happy Valley as part of the business. It is not listed for sale. The unsold lots have stayed in Happy Valley's name because of the drop in sale prices due to a decline in the local market. Finally, Mr. Smith deposes that although 071 was incorporated for the purposes of this development, he continues to use it as a lending vehicle for other businesses, so an injunction would interfere both with 071's original purpose and his other ongoing matters.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w:t>
      </w:r>
      <w:r>
        <w:rPr>
          <w:rFonts w:ascii="arial" w:eastAsia="arial" w:hAnsi="arial" w:cs="arial"/>
          <w:color w:val="000000"/>
          <w:sz w:val="20"/>
          <w:lang w:val="en-US" w:eastAsia="en-US" w:bidi="ar-SA"/>
        </w:rPr>
        <w:t>  Mr. Johnson emphasizes that Belco has about $10 million in assets, all in British Columbia, none of which are for sale. There has been no effort to sell or decrease these assets. In addition to restricting its ability to carry out its business, an injunction would attach a negative stigma to Belco's operations in relation to its future dealings with lenders.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w:t>
      </w:r>
      <w:r>
        <w:rPr>
          <w:rFonts w:ascii="arial" w:eastAsia="arial" w:hAnsi="arial" w:cs="arial"/>
          <w:color w:val="000000"/>
          <w:sz w:val="20"/>
          <w:lang w:val="en-US" w:eastAsia="en-US" w:bidi="ar-SA"/>
        </w:rPr>
        <w:t>  He stresses that Belco was never a developer of Barona Beach -- it was not a party to the disclosure statement or the joint venture agreement, and was not a guarantor of the New Home Warranty. Significantly it is also not a party to the lawsuit brought by the original HVAC subcontractor, which tends to undermine any assertions that it played an active role.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w:t>
      </w:r>
      <w:r>
        <w:rPr>
          <w:rFonts w:ascii="arial" w:eastAsia="arial" w:hAnsi="arial" w:cs="arial"/>
          <w:color w:val="000000"/>
          <w:sz w:val="20"/>
          <w:lang w:val="en-US" w:eastAsia="en-US" w:bidi="ar-SA"/>
        </w:rPr>
        <w:t>  Ms. Williams for the New Home Warranty providers took no position on the appropriateness of the injunction, but raised certain concerns about their ability to enforce their guarantees against the defendants in the event that deficiencies are established, and asked that certain conditions be included in any injunction in order to safeguard that ability.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 xml:space="preserve">IV. </w:t>
      </w:r>
      <w:r>
        <w:rPr>
          <w:rFonts w:ascii="arial" w:eastAsia="arial" w:hAnsi="arial" w:cs="arial"/>
          <w:b/>
          <w:color w:val="000000"/>
          <w:sz w:val="20"/>
          <w:u w:val="single"/>
          <w:lang w:val="en-US" w:eastAsia="en-US" w:bidi="ar-SA"/>
        </w:rPr>
        <w:t>DISCUSSION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w:t>
      </w:r>
      <w:r>
        <w:rPr>
          <w:rFonts w:ascii="arial" w:eastAsia="arial" w:hAnsi="arial" w:cs="arial"/>
          <w:color w:val="000000"/>
          <w:sz w:val="20"/>
          <w:lang w:val="en-US" w:eastAsia="en-US" w:bidi="ar-SA"/>
        </w:rPr>
        <w:t>  Of the principles established by the authorities that have been provided, the following are particularly relevant to this application:</w:t>
      </w:r>
      <w:r>
        <w:rPr>
          <w:rFonts w:ascii="arial" w:eastAsia="arial" w:hAnsi="arial" w:cs="arial"/>
          <w:sz w:val="20"/>
          <w:lang w:val="en-US" w:eastAsia="en-US" w:bidi="ar-SA"/>
        </w:rPr>
        <w:cr/>
      </w:r>
    </w:p>
    <w:p>
      <w:pPr>
        <w:numPr>
          <w:numId w:val="10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A </w:t>
      </w:r>
      <w:r>
        <w:rPr>
          <w:rFonts w:ascii="arial" w:eastAsia="arial" w:hAnsi="arial" w:cs="arial"/>
          <w:i/>
          <w:color w:val="000000"/>
          <w:sz w:val="20"/>
          <w:lang w:val="en-US" w:eastAsia="en-US" w:bidi="ar-SA"/>
        </w:rPr>
        <w:t>Mareva</w:t>
      </w:r>
      <w:r>
        <w:rPr>
          <w:rFonts w:ascii="arial" w:eastAsia="arial" w:hAnsi="arial" w:cs="arial"/>
          <w:color w:val="000000"/>
          <w:sz w:val="20"/>
          <w:lang w:val="en-US" w:eastAsia="en-US" w:bidi="ar-SA"/>
        </w:rPr>
        <w:t xml:space="preserve"> inunction will be granted when (1) the application shows a strong </w:t>
      </w:r>
      <w:r>
        <w:rPr>
          <w:rFonts w:ascii="arial" w:eastAsia="arial" w:hAnsi="arial" w:cs="arial"/>
          <w:i/>
          <w:color w:val="000000"/>
          <w:sz w:val="20"/>
          <w:lang w:val="en-US" w:eastAsia="en-US" w:bidi="ar-SA"/>
        </w:rPr>
        <w:t>prima facie</w:t>
      </w:r>
      <w:r>
        <w:rPr>
          <w:rFonts w:ascii="arial" w:eastAsia="arial" w:hAnsi="arial" w:cs="arial"/>
          <w:color w:val="000000"/>
          <w:sz w:val="20"/>
          <w:lang w:val="en-US" w:eastAsia="en-US" w:bidi="ar-SA"/>
        </w:rPr>
        <w:t xml:space="preserve"> case or a good arguable case, and (2) having regard to all of the circumstances the granting of an injunction is just and equitable: </w:t>
      </w:r>
      <w:r>
        <w:rPr>
          <w:rFonts w:ascii="arial" w:eastAsia="arial" w:hAnsi="arial" w:cs="arial"/>
          <w:i/>
          <w:color w:val="000000"/>
          <w:sz w:val="20"/>
          <w:lang w:val="en-US" w:eastAsia="en-US" w:bidi="ar-SA"/>
        </w:rPr>
        <w:t>Blue Horizon Energy Inc. v. Ko Yo Development Co. Ltd.</w:t>
      </w:r>
      <w:r>
        <w:rPr>
          <w:rFonts w:ascii="arial" w:eastAsia="arial" w:hAnsi="arial" w:cs="arial"/>
          <w:color w:val="000000"/>
          <w:sz w:val="20"/>
          <w:lang w:val="en-US" w:eastAsia="en-US" w:bidi="ar-SA"/>
        </w:rPr>
        <w:t xml:space="preserve">, </w:t>
      </w:r>
      <w:hyperlink r:id="rId671" w:history="1">
        <w:r>
          <w:rPr>
            <w:rFonts w:ascii="arial" w:eastAsia="arial" w:hAnsi="arial" w:cs="arial"/>
            <w:i/>
            <w:color w:val="0077CC"/>
            <w:sz w:val="20"/>
            <w:u w:val="single"/>
            <w:shd w:val="clear" w:color="auto" w:fill="FFFFFF"/>
            <w:lang w:val="en-US" w:eastAsia="en-US" w:bidi="ar-SA"/>
          </w:rPr>
          <w:t>2012 BCSC 58</w:t>
        </w:r>
      </w:hyperlink>
      <w:r>
        <w:rPr>
          <w:rFonts w:ascii="arial" w:eastAsia="arial" w:hAnsi="arial" w:cs="arial"/>
          <w:color w:val="000000"/>
          <w:sz w:val="20"/>
          <w:lang w:val="en-US" w:eastAsia="en-US" w:bidi="ar-SA"/>
        </w:rPr>
        <w:t xml:space="preserve"> at para. 14. This second part of the test is also referred to as the "balance of convenience".</w:t>
      </w:r>
    </w:p>
    <w:p>
      <w:pPr>
        <w:numPr>
          <w:numId w:val="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Such an injunction is an extraordinary remedy. A plaintiff is generally not entitled to a remedy before establishing liability: </w:t>
      </w:r>
      <w:r>
        <w:rPr>
          <w:rFonts w:ascii="arial" w:eastAsia="arial" w:hAnsi="arial" w:cs="arial"/>
          <w:i/>
          <w:color w:val="000000"/>
          <w:sz w:val="20"/>
          <w:lang w:val="en-US" w:eastAsia="en-US" w:bidi="ar-SA"/>
        </w:rPr>
        <w:t>Aetna Financial Services v. Feigelman</w:t>
      </w:r>
      <w:r>
        <w:rPr>
          <w:rFonts w:ascii="arial" w:eastAsia="arial" w:hAnsi="arial" w:cs="arial"/>
          <w:color w:val="000000"/>
          <w:sz w:val="20"/>
          <w:lang w:val="en-US" w:eastAsia="en-US" w:bidi="ar-SA"/>
        </w:rPr>
        <w:t xml:space="preserve">, </w:t>
      </w:r>
      <w:hyperlink r:id="rId672" w:history="1">
        <w:r>
          <w:rPr>
            <w:rFonts w:ascii="arial" w:eastAsia="arial" w:hAnsi="arial" w:cs="arial"/>
            <w:i/>
            <w:color w:val="0077CC"/>
            <w:sz w:val="20"/>
            <w:u w:val="single"/>
            <w:shd w:val="clear" w:color="auto" w:fill="FFFFFF"/>
            <w:lang w:val="en-US" w:eastAsia="en-US" w:bidi="ar-SA"/>
          </w:rPr>
          <w:t>[1985] 1 S.C.R. 2</w:t>
        </w:r>
      </w:hyperlink>
      <w:r>
        <w:rPr>
          <w:rFonts w:ascii="arial" w:eastAsia="arial" w:hAnsi="arial" w:cs="arial"/>
          <w:color w:val="000000"/>
          <w:sz w:val="20"/>
          <w:lang w:val="en-US" w:eastAsia="en-US" w:bidi="ar-SA"/>
        </w:rPr>
        <w:t xml:space="preserve">. And, it will not be just and equitable in most cases to grant an injunction to tie up a defendant's assets "simply to give the plaintiff security for a judgment that he may never obtain": </w:t>
      </w:r>
      <w:r>
        <w:rPr>
          <w:rFonts w:ascii="arial" w:eastAsia="arial" w:hAnsi="arial" w:cs="arial"/>
          <w:i/>
          <w:color w:val="000000"/>
          <w:sz w:val="20"/>
          <w:lang w:val="en-US" w:eastAsia="en-US" w:bidi="ar-SA"/>
        </w:rPr>
        <w:t>Silver Standard Resources Inc. v. Joint Stock Company Geolog</w:t>
      </w:r>
      <w:r>
        <w:rPr>
          <w:rFonts w:ascii="arial" w:eastAsia="arial" w:hAnsi="arial" w:cs="arial"/>
          <w:color w:val="000000"/>
          <w:sz w:val="20"/>
          <w:lang w:val="en-US" w:eastAsia="en-US" w:bidi="ar-SA"/>
        </w:rPr>
        <w:t xml:space="preserve"> </w:t>
      </w:r>
      <w:hyperlink r:id="rId673" w:history="1">
        <w:r>
          <w:rPr>
            <w:rFonts w:ascii="arial" w:eastAsia="arial" w:hAnsi="arial" w:cs="arial"/>
            <w:i/>
            <w:color w:val="0077CC"/>
            <w:sz w:val="20"/>
            <w:u w:val="single"/>
            <w:shd w:val="clear" w:color="auto" w:fill="FFFFFF"/>
            <w:lang w:val="en-US" w:eastAsia="en-US" w:bidi="ar-SA"/>
          </w:rPr>
          <w:t>(1999), 59 B.C.L.R. (3d) 196</w:t>
        </w:r>
      </w:hyperlink>
      <w:r>
        <w:rPr>
          <w:rFonts w:ascii="arial" w:eastAsia="arial" w:hAnsi="arial" w:cs="arial"/>
          <w:color w:val="000000"/>
          <w:sz w:val="20"/>
          <w:lang w:val="en-US" w:eastAsia="en-US" w:bidi="ar-SA"/>
        </w:rPr>
        <w:t xml:space="preserve"> (C.A.) at para. 21.</w:t>
      </w:r>
    </w:p>
    <w:p>
      <w:pPr>
        <w:numPr>
          <w:numId w:val="3"/>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flexible approach to </w:t>
      </w:r>
      <w:r>
        <w:rPr>
          <w:rFonts w:ascii="arial" w:eastAsia="arial" w:hAnsi="arial" w:cs="arial"/>
          <w:i/>
          <w:color w:val="000000"/>
          <w:sz w:val="20"/>
          <w:lang w:val="en-US" w:eastAsia="en-US" w:bidi="ar-SA"/>
        </w:rPr>
        <w:t>Mareva</w:t>
      </w:r>
      <w:r>
        <w:rPr>
          <w:rFonts w:ascii="arial" w:eastAsia="arial" w:hAnsi="arial" w:cs="arial"/>
          <w:color w:val="000000"/>
          <w:sz w:val="20"/>
          <w:lang w:val="en-US" w:eastAsia="en-US" w:bidi="ar-SA"/>
        </w:rPr>
        <w:t xml:space="preserve"> injunctions in British Columbia eschews any hard and fast rules, such as requiring untoward conduct by the defendants in disposing of assets before an injunction can be granted, or denying relief solely on the basis that the dissipation of assets is in the ordinary course of business. Rather, the focus in assessing the balance of convenience is on what is necessary to do justice between the parties: </w:t>
      </w:r>
      <w:r>
        <w:rPr>
          <w:rFonts w:ascii="arial" w:eastAsia="arial" w:hAnsi="arial" w:cs="arial"/>
          <w:i/>
          <w:color w:val="000000"/>
          <w:sz w:val="20"/>
          <w:lang w:val="en-US" w:eastAsia="en-US" w:bidi="ar-SA"/>
        </w:rPr>
        <w:t>Silver Standard</w:t>
      </w:r>
      <w:r>
        <w:rPr>
          <w:rFonts w:ascii="arial" w:eastAsia="arial" w:hAnsi="arial" w:cs="arial"/>
          <w:color w:val="000000"/>
          <w:sz w:val="20"/>
          <w:lang w:val="en-US" w:eastAsia="en-US" w:bidi="ar-SA"/>
        </w:rPr>
        <w:t xml:space="preserve"> at paras. 20-21; </w:t>
      </w:r>
      <w:r>
        <w:rPr>
          <w:rFonts w:ascii="arial" w:eastAsia="arial" w:hAnsi="arial" w:cs="arial"/>
          <w:i/>
          <w:color w:val="000000"/>
          <w:sz w:val="20"/>
          <w:lang w:val="en-US" w:eastAsia="en-US" w:bidi="ar-SA"/>
        </w:rPr>
        <w:t>Leaton Leather &amp; Trading Co. Ltd. v. Ngai</w:t>
      </w:r>
      <w:r>
        <w:rPr>
          <w:rFonts w:ascii="arial" w:eastAsia="arial" w:hAnsi="arial" w:cs="arial"/>
          <w:color w:val="000000"/>
          <w:sz w:val="20"/>
          <w:lang w:val="en-US" w:eastAsia="en-US" w:bidi="ar-SA"/>
        </w:rPr>
        <w:t xml:space="preserve"> </w:t>
      </w:r>
      <w:hyperlink r:id="rId674" w:history="1">
        <w:r>
          <w:rPr>
            <w:rFonts w:ascii="arial" w:eastAsia="arial" w:hAnsi="arial" w:cs="arial"/>
            <w:i/>
            <w:color w:val="0077CC"/>
            <w:sz w:val="20"/>
            <w:u w:val="single"/>
            <w:shd w:val="clear" w:color="auto" w:fill="FFFFFF"/>
            <w:lang w:val="en-US" w:eastAsia="en-US" w:bidi="ar-SA"/>
          </w:rPr>
          <w:t>(1997), 32 B.C.L.R. (3d) 14</w:t>
        </w:r>
      </w:hyperlink>
      <w:r>
        <w:rPr>
          <w:rFonts w:ascii="arial" w:eastAsia="arial" w:hAnsi="arial" w:cs="arial"/>
          <w:color w:val="000000"/>
          <w:sz w:val="20"/>
          <w:lang w:val="en-US" w:eastAsia="en-US" w:bidi="ar-SA"/>
        </w:rPr>
        <w:t xml:space="preserve"> (S.C.) at para. 10.</w:t>
      </w:r>
    </w:p>
    <w:p>
      <w:pPr>
        <w:numPr>
          <w:numId w:val="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Nevertheless, a relevant factor in determining the balance of convenience is evidence showing a real risk of the disposal or dissipation of the defendant's assets, so as to render any eventual judgment ineffective: </w:t>
      </w:r>
      <w:r>
        <w:rPr>
          <w:rFonts w:ascii="arial" w:eastAsia="arial" w:hAnsi="arial" w:cs="arial"/>
          <w:i/>
          <w:color w:val="000000"/>
          <w:sz w:val="20"/>
          <w:lang w:val="en-US" w:eastAsia="en-US" w:bidi="ar-SA"/>
        </w:rPr>
        <w:t>ICBC v. Patko</w:t>
      </w:r>
      <w:r>
        <w:rPr>
          <w:rFonts w:ascii="arial" w:eastAsia="arial" w:hAnsi="arial" w:cs="arial"/>
          <w:color w:val="000000"/>
          <w:sz w:val="20"/>
          <w:lang w:val="en-US" w:eastAsia="en-US" w:bidi="ar-SA"/>
        </w:rPr>
        <w:t xml:space="preserve">, </w:t>
      </w:r>
      <w:hyperlink r:id="rId675" w:history="1">
        <w:r>
          <w:rPr>
            <w:rFonts w:ascii="arial" w:eastAsia="arial" w:hAnsi="arial" w:cs="arial"/>
            <w:i/>
            <w:color w:val="0077CC"/>
            <w:sz w:val="20"/>
            <w:u w:val="single"/>
            <w:shd w:val="clear" w:color="auto" w:fill="FFFFFF"/>
            <w:lang w:val="en-US" w:eastAsia="en-US" w:bidi="ar-SA"/>
          </w:rPr>
          <w:t>2008 BCCA 65</w:t>
        </w:r>
      </w:hyperlink>
      <w:r>
        <w:rPr>
          <w:rFonts w:ascii="arial" w:eastAsia="arial" w:hAnsi="arial" w:cs="arial"/>
          <w:color w:val="000000"/>
          <w:sz w:val="20"/>
          <w:lang w:val="en-US" w:eastAsia="en-US" w:bidi="ar-SA"/>
        </w:rPr>
        <w:t xml:space="preserve"> at para. 25.</w:t>
      </w:r>
    </w:p>
    <w:p>
      <w:pPr>
        <w:numPr>
          <w:numId w:val="5"/>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Further, </w:t>
      </w:r>
      <w:r>
        <w:rPr>
          <w:rFonts w:ascii="arial" w:eastAsia="arial" w:hAnsi="arial" w:cs="arial"/>
          <w:i/>
          <w:color w:val="000000"/>
          <w:sz w:val="20"/>
          <w:lang w:val="en-US" w:eastAsia="en-US" w:bidi="ar-SA"/>
        </w:rPr>
        <w:t>Mareva</w:t>
      </w:r>
      <w:r>
        <w:rPr>
          <w:rFonts w:ascii="arial" w:eastAsia="arial" w:hAnsi="arial" w:cs="arial"/>
          <w:color w:val="000000"/>
          <w:sz w:val="20"/>
          <w:lang w:val="en-US" w:eastAsia="en-US" w:bidi="ar-SA"/>
        </w:rPr>
        <w:t xml:space="preserve"> injunctions are not intended to prevent the defendant from carrying on their ordinary course of business: </w:t>
      </w:r>
      <w:r>
        <w:rPr>
          <w:rFonts w:ascii="arial" w:eastAsia="arial" w:hAnsi="arial" w:cs="arial"/>
          <w:i/>
          <w:color w:val="000000"/>
          <w:sz w:val="20"/>
          <w:lang w:val="en-US" w:eastAsia="en-US" w:bidi="ar-SA"/>
        </w:rPr>
        <w:t>Grenzservice Speditions Ges.m.b.H. v. Jans</w:t>
      </w:r>
      <w:r>
        <w:rPr>
          <w:rFonts w:ascii="arial" w:eastAsia="arial" w:hAnsi="arial" w:cs="arial"/>
          <w:color w:val="000000"/>
          <w:sz w:val="20"/>
          <w:lang w:val="en-US" w:eastAsia="en-US" w:bidi="ar-SA"/>
        </w:rPr>
        <w:t xml:space="preserve"> </w:t>
      </w:r>
      <w:hyperlink r:id="rId676" w:history="1">
        <w:r>
          <w:rPr>
            <w:rFonts w:ascii="arial" w:eastAsia="arial" w:hAnsi="arial" w:cs="arial"/>
            <w:i/>
            <w:color w:val="0077CC"/>
            <w:sz w:val="20"/>
            <w:u w:val="single"/>
            <w:shd w:val="clear" w:color="auto" w:fill="FFFFFF"/>
            <w:lang w:val="en-US" w:eastAsia="en-US" w:bidi="ar-SA"/>
          </w:rPr>
          <w:t>(1995), 15 B.C.L.R. (3d) 370</w:t>
        </w:r>
      </w:hyperlink>
      <w:r>
        <w:rPr>
          <w:rFonts w:ascii="arial" w:eastAsia="arial" w:hAnsi="arial" w:cs="arial"/>
          <w:color w:val="000000"/>
          <w:sz w:val="20"/>
          <w:lang w:val="en-US" w:eastAsia="en-US" w:bidi="ar-SA"/>
        </w:rPr>
        <w:t xml:space="preserve"> (S.C.) at para. 28.</w:t>
      </w:r>
    </w:p>
    <w:p>
      <w:pPr>
        <w:numPr>
          <w:numId w:val="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It must be kept in mind that a plaintiff can never be assured that a defendant will stay in business until judgment may be granted: </w:t>
      </w:r>
      <w:r>
        <w:rPr>
          <w:rFonts w:ascii="arial" w:eastAsia="arial" w:hAnsi="arial" w:cs="arial"/>
          <w:i/>
          <w:color w:val="000000"/>
          <w:sz w:val="20"/>
          <w:lang w:val="en-US" w:eastAsia="en-US" w:bidi="ar-SA"/>
        </w:rPr>
        <w:t>Hans v. Volvo Trucks North America Inc.</w:t>
      </w:r>
      <w:r>
        <w:rPr>
          <w:rFonts w:ascii="arial" w:eastAsia="arial" w:hAnsi="arial" w:cs="arial"/>
          <w:color w:val="000000"/>
          <w:sz w:val="20"/>
          <w:lang w:val="en-US" w:eastAsia="en-US" w:bidi="ar-SA"/>
        </w:rPr>
        <w:t xml:space="preserve">, </w:t>
      </w:r>
      <w:hyperlink r:id="rId677" w:history="1">
        <w:r>
          <w:rPr>
            <w:rFonts w:ascii="arial" w:eastAsia="arial" w:hAnsi="arial" w:cs="arial"/>
            <w:i/>
            <w:color w:val="0077CC"/>
            <w:sz w:val="20"/>
            <w:u w:val="single"/>
            <w:shd w:val="clear" w:color="auto" w:fill="FFFFFF"/>
            <w:lang w:val="en-US" w:eastAsia="en-US" w:bidi="ar-SA"/>
          </w:rPr>
          <w:t>2014 BCSC 1123</w:t>
        </w:r>
      </w:hyperlink>
      <w:r>
        <w:rPr>
          <w:rFonts w:ascii="arial" w:eastAsia="arial" w:hAnsi="arial" w:cs="arial"/>
          <w:color w:val="000000"/>
          <w:sz w:val="20"/>
          <w:lang w:val="en-US" w:eastAsia="en-US" w:bidi="ar-SA"/>
        </w:rPr>
        <w:t xml:space="preserve">, at para. 47. This has been described as "an everyday risk of civil litigation": </w:t>
      </w:r>
      <w:r>
        <w:rPr>
          <w:rFonts w:ascii="arial" w:eastAsia="arial" w:hAnsi="arial" w:cs="arial"/>
          <w:i/>
          <w:color w:val="000000"/>
          <w:sz w:val="20"/>
          <w:lang w:val="en-US" w:eastAsia="en-US" w:bidi="ar-SA"/>
        </w:rPr>
        <w:t>2384125 Ontario v. The Diamond at the Don Mills Developments</w:t>
      </w:r>
      <w:r>
        <w:rPr>
          <w:rFonts w:ascii="arial" w:eastAsia="arial" w:hAnsi="arial" w:cs="arial"/>
          <w:color w:val="000000"/>
          <w:sz w:val="20"/>
          <w:lang w:val="en-US" w:eastAsia="en-US" w:bidi="ar-SA"/>
        </w:rPr>
        <w:t xml:space="preserve">, </w:t>
      </w:r>
      <w:hyperlink r:id="rId678" w:history="1">
        <w:r>
          <w:rPr>
            <w:rFonts w:ascii="arial" w:eastAsia="arial" w:hAnsi="arial" w:cs="arial"/>
            <w:i/>
            <w:color w:val="0077CC"/>
            <w:sz w:val="20"/>
            <w:u w:val="single"/>
            <w:shd w:val="clear" w:color="auto" w:fill="FFFFFF"/>
            <w:lang w:val="en-US" w:eastAsia="en-US" w:bidi="ar-SA"/>
          </w:rPr>
          <w:t>2015 ONSC 5581</w:t>
        </w:r>
      </w:hyperlink>
      <w:r>
        <w:rPr>
          <w:rFonts w:ascii="arial" w:eastAsia="arial" w:hAnsi="arial" w:cs="arial"/>
          <w:color w:val="000000"/>
          <w:sz w:val="20"/>
          <w:lang w:val="en-US" w:eastAsia="en-US" w:bidi="ar-SA"/>
        </w:rPr>
        <w:t xml:space="preserve"> at para. 1. As an example, it was not sufficient to justify a </w:t>
      </w:r>
      <w:r>
        <w:rPr>
          <w:rFonts w:ascii="arial" w:eastAsia="arial" w:hAnsi="arial" w:cs="arial"/>
          <w:i/>
          <w:color w:val="000000"/>
          <w:sz w:val="20"/>
          <w:lang w:val="en-US" w:eastAsia="en-US" w:bidi="ar-SA"/>
        </w:rPr>
        <w:t>Mareva</w:t>
      </w:r>
      <w:r>
        <w:rPr>
          <w:rFonts w:ascii="arial" w:eastAsia="arial" w:hAnsi="arial" w:cs="arial"/>
          <w:color w:val="000000"/>
          <w:sz w:val="20"/>
          <w:lang w:val="en-US" w:eastAsia="en-US" w:bidi="ar-SA"/>
        </w:rPr>
        <w:t xml:space="preserve"> injunction that the defendant was in the course of winding up its business in Canada and had arranged to sell its main assets, even though it was likely that the plaintiffs would be deprived of a remedy as a result: </w:t>
      </w:r>
      <w:r>
        <w:rPr>
          <w:rFonts w:ascii="arial" w:eastAsia="arial" w:hAnsi="arial" w:cs="arial"/>
          <w:i/>
          <w:color w:val="000000"/>
          <w:sz w:val="20"/>
          <w:lang w:val="en-US" w:eastAsia="en-US" w:bidi="ar-SA"/>
        </w:rPr>
        <w:t>Hans</w:t>
      </w:r>
      <w:r>
        <w:rPr>
          <w:rFonts w:ascii="arial" w:eastAsia="arial" w:hAnsi="arial" w:cs="arial"/>
          <w:color w:val="000000"/>
          <w:sz w:val="20"/>
          <w:lang w:val="en-US" w:eastAsia="en-US" w:bidi="ar-SA"/>
        </w:rPr>
        <w:t xml:space="preserve"> at para. 122.</w:t>
      </w:r>
    </w:p>
    <w:p>
      <w:pPr>
        <w:numPr>
          <w:numId w:val="7"/>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Crucially, a corporate defendant must itself hold exigible assets beneficially before an injunction can be justified against it: </w:t>
      </w:r>
      <w:r>
        <w:rPr>
          <w:rFonts w:ascii="arial" w:eastAsia="arial" w:hAnsi="arial" w:cs="arial"/>
          <w:i/>
          <w:color w:val="000000"/>
          <w:sz w:val="20"/>
          <w:lang w:val="en-US" w:eastAsia="en-US" w:bidi="ar-SA"/>
        </w:rPr>
        <w:t>The Owners, Strata Plan No. VIS3578 v. Canan Investments Group Ltd.</w:t>
      </w:r>
      <w:r>
        <w:rPr>
          <w:rFonts w:ascii="arial" w:eastAsia="arial" w:hAnsi="arial" w:cs="arial"/>
          <w:color w:val="000000"/>
          <w:sz w:val="20"/>
          <w:lang w:val="en-US" w:eastAsia="en-US" w:bidi="ar-SA"/>
        </w:rPr>
        <w:t xml:space="preserve">, </w:t>
      </w:r>
      <w:hyperlink r:id="rId679" w:history="1">
        <w:r>
          <w:rPr>
            <w:rFonts w:ascii="arial" w:eastAsia="arial" w:hAnsi="arial" w:cs="arial"/>
            <w:i/>
            <w:color w:val="0077CC"/>
            <w:sz w:val="20"/>
            <w:u w:val="single"/>
            <w:shd w:val="clear" w:color="auto" w:fill="FFFFFF"/>
            <w:lang w:val="en-US" w:eastAsia="en-US" w:bidi="ar-SA"/>
          </w:rPr>
          <w:t>2012 BCSC 339</w:t>
        </w:r>
      </w:hyperlink>
      <w:r>
        <w:rPr>
          <w:rFonts w:ascii="arial" w:eastAsia="arial" w:hAnsi="arial" w:cs="arial"/>
          <w:color w:val="000000"/>
          <w:sz w:val="20"/>
          <w:lang w:val="en-US" w:eastAsia="en-US" w:bidi="ar-SA"/>
        </w:rPr>
        <w:t xml:space="preserve"> at para. 45 [</w:t>
      </w:r>
      <w:r>
        <w:rPr>
          <w:rFonts w:ascii="arial" w:eastAsia="arial" w:hAnsi="arial" w:cs="arial"/>
          <w:i/>
          <w:color w:val="000000"/>
          <w:sz w:val="20"/>
          <w:lang w:val="en-US" w:eastAsia="en-US" w:bidi="ar-SA"/>
        </w:rPr>
        <w:t>Strata Plan VIS3578</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w:t>
      </w:r>
      <w:r>
        <w:rPr>
          <w:rFonts w:ascii="arial" w:eastAsia="arial" w:hAnsi="arial" w:cs="arial"/>
          <w:color w:val="000000"/>
          <w:sz w:val="20"/>
          <w:lang w:val="en-US" w:eastAsia="en-US" w:bidi="ar-SA"/>
        </w:rPr>
        <w:t>  On the first requirement, I think that the Owners have established a good arguable case here. In assessing its strength, I am considering only the evidence available against the defendants who are the subject of this application, and I will also be identifying where that evidence may differ among them. It would not be just and equitable to restrain the assets of a defendant against whom the case is weak by reference to other evidence against co-defendants.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w:t>
      </w:r>
      <w:r>
        <w:rPr>
          <w:rFonts w:ascii="arial" w:eastAsia="arial" w:hAnsi="arial" w:cs="arial"/>
          <w:color w:val="000000"/>
          <w:sz w:val="20"/>
          <w:lang w:val="en-US" w:eastAsia="en-US" w:bidi="ar-SA"/>
        </w:rPr>
        <w:t xml:space="preserve">  The potential liability of Happy Valley and the numbered companies is certainly one step removed from that of the actual designers and builders of the allegedly defective HVAC system, and leaves open to them the defence that what occurred was beyond their reasonable ability to control, but there was still a supervisory role carried out by them on which claims of breach of warranty of fitness and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against could be based.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34</w:t>
      </w:r>
      <w:r>
        <w:rPr>
          <w:rFonts w:ascii="arial" w:eastAsia="arial" w:hAnsi="arial" w:cs="arial"/>
          <w:color w:val="000000"/>
          <w:sz w:val="20"/>
          <w:lang w:val="en-US" w:eastAsia="en-US" w:bidi="ar-SA"/>
        </w:rPr>
        <w:t>  The case against Belco is weaker, in light of its apparent lack of a formal role as a developer, but the evidence that I have referred to of communications suggesting a supervisory relationship with the original HVAC subcontractor, and Mr. Smith's clear involvement in the development through another corporate entity provide at least an arguable basis to impose some degree of liability on it for the deficient work.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35</w:t>
      </w:r>
      <w:r>
        <w:rPr>
          <w:rFonts w:ascii="arial" w:eastAsia="arial" w:hAnsi="arial" w:cs="arial"/>
          <w:color w:val="000000"/>
          <w:sz w:val="20"/>
          <w:lang w:val="en-US" w:eastAsia="en-US" w:bidi="ar-SA"/>
        </w:rPr>
        <w:t>  Instead, I think this case turns on where the balance of convenience lies. When assessing it I should note that the Owners are not seeking to prevent further sales from taking place, only to ensure that any proceeds are held in trust until the outcome of the litigation.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36</w:t>
      </w:r>
      <w:r>
        <w:rPr>
          <w:rFonts w:ascii="arial" w:eastAsia="arial" w:hAnsi="arial" w:cs="arial"/>
          <w:color w:val="000000"/>
          <w:sz w:val="20"/>
          <w:lang w:val="en-US" w:eastAsia="en-US" w:bidi="ar-SA"/>
        </w:rPr>
        <w:t xml:space="preserve">  First, on the technical defence raised by Happy Valley, based on the decision in </w:t>
      </w:r>
      <w:r>
        <w:rPr>
          <w:rFonts w:ascii="arial" w:eastAsia="arial" w:hAnsi="arial" w:cs="arial"/>
          <w:i/>
          <w:color w:val="000000"/>
          <w:sz w:val="20"/>
          <w:lang w:val="en-US" w:eastAsia="en-US" w:bidi="ar-SA"/>
        </w:rPr>
        <w:t>Strata Plan VIS3578</w:t>
      </w:r>
      <w:r>
        <w:rPr>
          <w:rFonts w:ascii="arial" w:eastAsia="arial" w:hAnsi="arial" w:cs="arial"/>
          <w:color w:val="000000"/>
          <w:sz w:val="20"/>
          <w:lang w:val="en-US" w:eastAsia="en-US" w:bidi="ar-SA"/>
        </w:rPr>
        <w:t xml:space="preserve"> that I referred to previously, it was clearly appropriate in that case for the Court to decline to restrain other assets of the corporate defendant that it held only as a bare trustee and that were not the subject matter of the litigation. However, in this case the strata lots that are beneficially held by the numbered companies cannot be effectively restrained, assuming that doing so is justified, without including the legal title holder within the injunction. In </w:t>
      </w:r>
      <w:r>
        <w:rPr>
          <w:rFonts w:ascii="arial" w:eastAsia="arial" w:hAnsi="arial" w:cs="arial"/>
          <w:i/>
          <w:color w:val="000000"/>
          <w:sz w:val="20"/>
          <w:lang w:val="en-US" w:eastAsia="en-US" w:bidi="ar-SA"/>
        </w:rPr>
        <w:t>Strata Plan VIS3578</w:t>
      </w:r>
      <w:r>
        <w:rPr>
          <w:rFonts w:ascii="arial" w:eastAsia="arial" w:hAnsi="arial" w:cs="arial"/>
          <w:color w:val="000000"/>
          <w:sz w:val="20"/>
          <w:lang w:val="en-US" w:eastAsia="en-US" w:bidi="ar-SA"/>
        </w:rPr>
        <w:t xml:space="preserve"> the beneficial owners of the property to be enjoined had nothing to do with the litigation. In this case, the legal owner needs to be enjoined as a mechanical means of controlling the actions of the beneficial owners, who are also defendants.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37</w:t>
      </w:r>
      <w:r>
        <w:rPr>
          <w:rFonts w:ascii="arial" w:eastAsia="arial" w:hAnsi="arial" w:cs="arial"/>
          <w:color w:val="000000"/>
          <w:sz w:val="20"/>
          <w:lang w:val="en-US" w:eastAsia="en-US" w:bidi="ar-SA"/>
        </w:rPr>
        <w:t>  The Owners frame this as a situation in which the defendants, having contributed to a very expensive deficiency for which the Owners are now responsible, are progressively extricating themselves from the situation by selling all of the remaining lots, thereby potentially eliminating their reason for those companies' continued existence. Mr. Hamilton has not put it this bluntly, but the spectre arises of all of the sales completing, and all of the proceeds being funnelled out of these corporate entities, by the time of judgment.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38</w:t>
      </w:r>
      <w:r>
        <w:rPr>
          <w:rFonts w:ascii="arial" w:eastAsia="arial" w:hAnsi="arial" w:cs="arial"/>
          <w:color w:val="000000"/>
          <w:sz w:val="20"/>
          <w:lang w:val="en-US" w:eastAsia="en-US" w:bidi="ar-SA"/>
        </w:rPr>
        <w:t>  Besides Mr. Smith's contention that he also uses 071 as a lending vehicle, which I agree with Mr. Hamilton is not supported by any objective evidence, Happy Valley and the numbered companies do not dispute that they came into existence to carry out the development. But they rely on that same fact to show that restraining the sale of any further strata lots in effect restricts them from carrying out their ordinary business.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39</w:t>
      </w:r>
      <w:r>
        <w:rPr>
          <w:rFonts w:ascii="arial" w:eastAsia="arial" w:hAnsi="arial" w:cs="arial"/>
          <w:color w:val="000000"/>
          <w:sz w:val="20"/>
          <w:lang w:val="en-US" w:eastAsia="en-US" w:bidi="ar-SA"/>
        </w:rPr>
        <w:t>  Even under the flexible approach endorsed by the authorities, I am unable to conclude that the balance of convenience favours restraining the sale of these lots.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All of the evidence points to a routine ongoing sale process, with no suggestion of fire-sale prices or attempts to move the assets off the books. They are just selling them. This is in contrast to the fairly outrageous conduct of the defendants in </w:t>
      </w:r>
      <w:r>
        <w:rPr>
          <w:rFonts w:ascii="arial" w:eastAsia="arial" w:hAnsi="arial" w:cs="arial"/>
          <w:i/>
          <w:color w:val="000000"/>
          <w:sz w:val="20"/>
          <w:lang w:val="en-US" w:eastAsia="en-US" w:bidi="ar-SA"/>
        </w:rPr>
        <w:t>Blue Horizon</w:t>
      </w:r>
      <w:r>
        <w:rPr>
          <w:rFonts w:ascii="arial" w:eastAsia="arial" w:hAnsi="arial" w:cs="arial"/>
          <w:color w:val="000000"/>
          <w:sz w:val="20"/>
          <w:lang w:val="en-US" w:eastAsia="en-US" w:bidi="ar-SA"/>
        </w:rPr>
        <w:t xml:space="preserve"> in attempting to ship the very assets that had given rise to the litigation beyond the reach of the Court.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40</w:t>
      </w:r>
      <w:r>
        <w:rPr>
          <w:rFonts w:ascii="arial" w:eastAsia="arial" w:hAnsi="arial" w:cs="arial"/>
          <w:color w:val="000000"/>
          <w:sz w:val="20"/>
          <w:lang w:val="en-US" w:eastAsia="en-US" w:bidi="ar-SA"/>
        </w:rPr>
        <w:t>  Further, Ms. Barone deposes that she has no current intention to sell the unit she lives in, which is owned by her company, she just wants the flexibility to do so in the future.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41</w:t>
      </w:r>
      <w:r>
        <w:rPr>
          <w:rFonts w:ascii="arial" w:eastAsia="arial" w:hAnsi="arial" w:cs="arial"/>
          <w:color w:val="000000"/>
          <w:sz w:val="20"/>
          <w:lang w:val="en-US" w:eastAsia="en-US" w:bidi="ar-SA"/>
        </w:rPr>
        <w:t>  Clearly, neither Happy Valley nor 071's principal have not distinguished themselves in their past dealings with the owners, but none of that conduct is logically indicative of their current intentions in dealing with the unsold lots. It appears that these companies are in the course of doing what they were set up to do, in the ordinary way.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42</w:t>
      </w:r>
      <w:r>
        <w:rPr>
          <w:rFonts w:ascii="arial" w:eastAsia="arial" w:hAnsi="arial" w:cs="arial"/>
          <w:color w:val="000000"/>
          <w:sz w:val="20"/>
          <w:lang w:val="en-US" w:eastAsia="en-US" w:bidi="ar-SA"/>
        </w:rPr>
        <w:t>  I realize that untoward conduct is not required to support an injunction, and that proceeding in the ordinary course of business is not an absolute bar to it, but the point is that it is a stretch to call this fairly orderly progress "dissipation" of the assets, a term that connotes, according to the Concise Oxford Dictionary (11th edition, revised), dispelling, dispersing or wasting them. It seems instead to be the execution of the joint venture's purpose.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43</w:t>
      </w:r>
      <w:r>
        <w:rPr>
          <w:rFonts w:ascii="arial" w:eastAsia="arial" w:hAnsi="arial" w:cs="arial"/>
          <w:color w:val="000000"/>
          <w:sz w:val="20"/>
          <w:lang w:val="en-US" w:eastAsia="en-US" w:bidi="ar-SA"/>
        </w:rPr>
        <w:t>  The Owners have emphasized that a consequence of the ongoing sales is that the companies may have no assets by the time they receive judgment. First of all, it is not certain on the current, quite unhurried sales timetable that this will be the result. While I do not know the circumstances underlying the timing of this application, the concerns that it reflects about ongoing sales arise rather late in the day relative to the commencement of the litigation.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44</w:t>
      </w:r>
      <w:r>
        <w:rPr>
          <w:rFonts w:ascii="arial" w:eastAsia="arial" w:hAnsi="arial" w:cs="arial"/>
          <w:color w:val="000000"/>
          <w:sz w:val="20"/>
          <w:lang w:val="en-US" w:eastAsia="en-US" w:bidi="ar-SA"/>
        </w:rPr>
        <w:t>  More importantly, I am required in the balancing process to weigh the possibility of all of the units selling prior to judgment against the certainty that an injunction would inhibit the defendants to the extent of preventing them from accessing any proceeds of sales until this litigation has completed, although the sales can continue to take place. All other factors being equal, I think a corporate defendant that exists for the single purpose of selling its property should be able to continue such a process, if it is done in good faith, and should be considered to be proceeding in the ordinary course of business for the purposes of resisting injunctive relief, even if the effect of it is progressively reducing the assets available to satisfy any eventual judgment.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45</w:t>
      </w:r>
      <w:r>
        <w:rPr>
          <w:rFonts w:ascii="arial" w:eastAsia="arial" w:hAnsi="arial" w:cs="arial"/>
          <w:color w:val="000000"/>
          <w:sz w:val="20"/>
          <w:lang w:val="en-US" w:eastAsia="en-US" w:bidi="ar-SA"/>
        </w:rPr>
        <w:t>  Belco is in an even more favourable situation in terms of the equities. However its involvement in the development may play out at trial, particularly in light of Mr. Smith's common operation of it and 071, there is no evidence that it is selling any of its assets, is positioning itself to sell them or needs to do so, or that it lacks the resources to satisfy a judgment.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46</w:t>
      </w:r>
      <w:r>
        <w:rPr>
          <w:rFonts w:ascii="arial" w:eastAsia="arial" w:hAnsi="arial" w:cs="arial"/>
          <w:color w:val="000000"/>
          <w:sz w:val="20"/>
          <w:lang w:val="en-US" w:eastAsia="en-US" w:bidi="ar-SA"/>
        </w:rPr>
        <w:t>  I should say that in reaching this conclusion, I have not acceded to the argument that there remain very significant assets for the Owners to pursue from the other defendants who are not part of this application. The overall pool of assets among multiple defendants should not restrict the ability of a plaintiff to restrain the assets of particular defendants to ensure the proper contribution of those defendants if liability is proven.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47</w:t>
      </w:r>
      <w:r>
        <w:rPr>
          <w:rFonts w:ascii="arial" w:eastAsia="arial" w:hAnsi="arial" w:cs="arial"/>
          <w:color w:val="000000"/>
          <w:sz w:val="20"/>
          <w:lang w:val="en-US" w:eastAsia="en-US" w:bidi="ar-SA"/>
        </w:rPr>
        <w:t>  As a result of my conclusions, this application must be dismissed. If these defendants are successful at trial, they are entitled to receive the costs of the application.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T.A. SCHULTES J.</w:t>
      </w:r>
      <w:r>
        <w:rPr>
          <w:rFonts w:ascii="arial" w:eastAsia="arial" w:hAnsi="arial" w:cs="arial"/>
          <w:sz w:val="20"/>
          <w:lang w:val="en-US" w:eastAsia="en-US" w:bidi="ar-SA"/>
        </w:rPr>
        <w:cr/>
      </w:r>
    </w:p>
    <w:p>
      <w:pPr>
        <w:rPr>
          <w:rFonts w:ascii="arial" w:eastAsia="arial" w:hAnsi="arial" w:cs="arial"/>
          <w:sz w:val="20"/>
          <w:lang w:val="en-US" w:eastAsia="en-US" w:bidi="ar-SA"/>
        </w:rPr>
      </w:pPr>
    </w:p>
    <w:p>
      <w:pPr>
        <w:ind w:left="200"/>
        <w:rPr>
          <w:rFonts w:ascii="arial" w:eastAsia="arial" w:hAnsi="arial" w:cs="arial"/>
          <w:sz w:val="20"/>
          <w:lang w:val="en-US" w:eastAsia="en-US" w:bidi="ar-SA"/>
        </w:rPr>
        <w:sectPr>
          <w:type w:val="continuous"/>
          <w:pgMar w:top="840" w:right="1000" w:bottom="840" w:left="1000" w:header="400" w:footer="400"/>
          <w:pgNumType w:fmt="decimal"/>
          <w:cols w:space="720"/>
        </w:sectPr>
      </w:pPr>
      <w:r>
        <w:rPr>
          <w:rFonts w:ascii="arial" w:eastAsia="arial" w:hAnsi="arial" w:cs="arial"/>
          <w:sz w:val="20"/>
          <w:lang w:val="en-US" w:eastAsia="en-US" w:bidi="ar-SA"/>
        </w:rPr>
        <w:br/>
      </w:r>
      <w:r>
        <w:pict>
          <v:line id="_x0000_s1201" style="position:absolute;z-index:251846656"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680"/>
          <w:headerReference w:type="default" r:id="rId681"/>
          <w:footerReference w:type="even" r:id="rId682"/>
          <w:footerReference w:type="default" r:id="rId683"/>
          <w:headerReference w:type="first" r:id="rId684"/>
          <w:footerReference w:type="first" r:id="rId685"/>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hAnsi="Arial" w:cs="Arial"/>
          <w:b/>
          <w:bCs/>
          <w:kern w:val="32"/>
          <w:sz w:val="32"/>
          <w:szCs w:val="32"/>
          <w:lang w:val="en-US" w:eastAsia="en-US" w:bidi="ar-SA"/>
        </w:rPr>
      </w:pPr>
      <w:hyperlink r:id="rId686" w:history="1">
        <w:r>
          <w:rPr>
            <w:rFonts w:ascii="arial" w:eastAsia="arial" w:hAnsi="arial" w:cs="arial"/>
            <w:b/>
            <w:bCs/>
            <w:i/>
            <w:color w:val="0077CC"/>
            <w:kern w:val="32"/>
            <w:sz w:val="28"/>
            <w:szCs w:val="32"/>
            <w:u w:val="single"/>
            <w:shd w:val="clear" w:color="auto" w:fill="FFFFFF"/>
            <w:lang w:val="en-US" w:eastAsia="en-US" w:bidi="ar-SA"/>
          </w:rPr>
          <w:t>Superior Filter Recycling Inc. v. L.E.J. International Ltd., [2003] B.C.J. No. 1392</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British Columbia Judgments</w:t>
      </w:r>
    </w:p>
    <w:p>
      <w:pPr>
        <w:rPr>
          <w:lang w:val="en-US" w:eastAsia="en-US" w:bidi="ar-SA"/>
        </w:rPr>
      </w:pPr>
    </w:p>
    <w:p>
      <w:pPr>
        <w:spacing w:before="120" w:line="260" w:lineRule="atLeast"/>
        <w:jc w:val="center"/>
        <w:rPr>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lang w:val="en-US" w:eastAsia="en-US" w:bidi="ar-SA"/>
        </w:rPr>
      </w:pPr>
      <w:r>
        <w:rPr>
          <w:rFonts w:ascii="arial" w:eastAsia="arial" w:hAnsi="arial" w:cs="arial"/>
          <w:color w:val="000000"/>
          <w:sz w:val="20"/>
          <w:lang w:val="en-US" w:eastAsia="en-US" w:bidi="ar-SA"/>
        </w:rPr>
        <w:t xml:space="preserve"> Prince George, British Columbia</w:t>
      </w:r>
    </w:p>
    <w:p>
      <w:pPr>
        <w:spacing w:before="120" w:line="260" w:lineRule="atLeast"/>
        <w:jc w:val="center"/>
        <w:rPr>
          <w:lang w:val="en-US" w:eastAsia="en-US" w:bidi="ar-SA"/>
        </w:rPr>
      </w:pPr>
      <w:r>
        <w:rPr>
          <w:rFonts w:ascii="arial" w:eastAsia="arial" w:hAnsi="arial" w:cs="arial"/>
          <w:color w:val="000000"/>
          <w:sz w:val="20"/>
          <w:lang w:val="en-US" w:eastAsia="en-US" w:bidi="ar-SA"/>
        </w:rPr>
        <w:t>Parrett J.</w:t>
      </w:r>
    </w:p>
    <w:p>
      <w:pPr>
        <w:spacing w:before="120" w:line="260" w:lineRule="atLeast"/>
        <w:jc w:val="center"/>
        <w:rPr>
          <w:lang w:val="en-US" w:eastAsia="en-US" w:bidi="ar-SA"/>
        </w:rPr>
      </w:pPr>
      <w:r>
        <w:rPr>
          <w:rFonts w:ascii="arial" w:eastAsia="arial" w:hAnsi="arial" w:cs="arial"/>
          <w:color w:val="000000"/>
          <w:sz w:val="20"/>
          <w:lang w:val="en-US" w:eastAsia="en-US" w:bidi="ar-SA"/>
        </w:rPr>
        <w:t>Oral judgment: April 23, 2003.</w:t>
      </w:r>
    </w:p>
    <w:p>
      <w:pPr>
        <w:spacing w:before="120" w:line="260" w:lineRule="atLeast"/>
        <w:jc w:val="center"/>
        <w:rPr>
          <w:lang w:val="en-US" w:eastAsia="en-US" w:bidi="ar-SA"/>
        </w:rPr>
      </w:pPr>
      <w:r>
        <w:rPr>
          <w:rFonts w:ascii="arial" w:eastAsia="arial" w:hAnsi="arial" w:cs="arial"/>
          <w:color w:val="000000"/>
          <w:sz w:val="20"/>
          <w:lang w:val="en-US" w:eastAsia="en-US" w:bidi="ar-SA"/>
        </w:rPr>
        <w:t>Released: June 10, 2003.</w:t>
      </w:r>
    </w:p>
    <w:p>
      <w:pPr>
        <w:spacing w:before="120" w:line="260" w:lineRule="atLeast"/>
        <w:jc w:val="center"/>
        <w:rPr>
          <w:lang w:val="en-US" w:eastAsia="en-US" w:bidi="ar-SA"/>
        </w:rPr>
      </w:pPr>
      <w:r>
        <w:rPr>
          <w:rFonts w:ascii="arial" w:eastAsia="arial" w:hAnsi="arial" w:cs="arial"/>
          <w:color w:val="000000"/>
          <w:sz w:val="20"/>
          <w:lang w:val="en-US" w:eastAsia="en-US" w:bidi="ar-SA"/>
        </w:rPr>
        <w:t>Prince George Registry No. SM14422</w:t>
      </w:r>
    </w:p>
    <w:p>
      <w:pPr>
        <w:rPr>
          <w:lang w:val="en-US" w:eastAsia="en-US" w:bidi="ar-SA"/>
        </w:rPr>
      </w:pPr>
    </w:p>
    <w:p>
      <w:pPr>
        <w:spacing w:before="120" w:line="260" w:lineRule="atLeast"/>
        <w:rPr>
          <w:lang w:val="en-US" w:eastAsia="en-US" w:bidi="ar-SA"/>
        </w:rPr>
      </w:pPr>
      <w:r>
        <w:rPr>
          <w:rFonts w:ascii="arial" w:eastAsia="arial" w:hAnsi="arial" w:cs="arial"/>
          <w:b/>
          <w:color w:val="000000"/>
          <w:sz w:val="20"/>
          <w:lang w:val="en-US" w:eastAsia="en-US" w:bidi="ar-SA"/>
        </w:rPr>
        <w:t>[2003] B.C.J. No. 1392</w:t>
      </w:r>
      <w:r>
        <w:rPr>
          <w:lang w:val="en-US" w:eastAsia="en-US" w:bidi="ar-SA"/>
        </w:rPr>
        <w:t xml:space="preserve"> </w:t>
      </w:r>
      <w:r>
        <w:rPr>
          <w:lang w:val="en-US" w:eastAsia="en-US" w:bidi="ar-SA"/>
        </w:rPr>
        <w:t xml:space="preserve"> </w:t>
      </w:r>
      <w:r>
        <w:rPr>
          <w:lang w:val="en-US" w:eastAsia="en-US" w:bidi="ar-SA"/>
        </w:rPr>
        <w:t xml:space="preserve"> </w:t>
      </w:r>
      <w:r>
        <w:rPr>
          <w:rFonts w:ascii="arial" w:eastAsia="arial" w:hAnsi="arial" w:cs="arial"/>
          <w:color w:val="BCBEC0"/>
          <w:sz w:val="20"/>
          <w:lang w:val="en-US" w:eastAsia="en-US" w:bidi="ar-SA"/>
        </w:rPr>
        <w:t>|</w:t>
      </w:r>
      <w:r>
        <w:rPr>
          <w:lang w:val="en-US" w:eastAsia="en-US" w:bidi="ar-SA"/>
        </w:rPr>
        <w:t xml:space="preserve"> </w:t>
      </w:r>
      <w:r>
        <w:rPr>
          <w:lang w:val="en-US" w:eastAsia="en-US" w:bidi="ar-SA"/>
        </w:rPr>
        <w:t xml:space="preserve"> </w:t>
      </w:r>
      <w:r>
        <w:rPr>
          <w:lang w:val="en-US" w:eastAsia="en-US" w:bidi="ar-SA"/>
        </w:rPr>
        <w:t xml:space="preserve"> </w:t>
      </w:r>
      <w:r>
        <w:rPr>
          <w:rFonts w:ascii="arial" w:eastAsia="arial" w:hAnsi="arial" w:cs="arial"/>
          <w:color w:val="000000"/>
          <w:sz w:val="20"/>
          <w:lang w:val="en-US" w:eastAsia="en-US" w:bidi="ar-SA"/>
        </w:rPr>
        <w:t>2003 BCSC 912</w:t>
      </w:r>
      <w:r>
        <w:rPr>
          <w:lang w:val="en-US" w:eastAsia="en-US" w:bidi="ar-SA"/>
        </w:rPr>
        <w:t xml:space="preserve"> </w:t>
      </w:r>
      <w:r>
        <w:rPr>
          <w:lang w:val="en-US" w:eastAsia="en-US" w:bidi="ar-SA"/>
        </w:rPr>
        <w:t xml:space="preserve"> </w:t>
      </w:r>
      <w:r>
        <w:rPr>
          <w:lang w:val="en-US" w:eastAsia="en-US" w:bidi="ar-SA"/>
        </w:rPr>
        <w:t xml:space="preserve"> </w:t>
      </w:r>
      <w:r>
        <w:rPr>
          <w:rFonts w:ascii="arial" w:eastAsia="arial" w:hAnsi="arial" w:cs="arial"/>
          <w:color w:val="BCBEC0"/>
          <w:sz w:val="20"/>
          <w:lang w:val="en-US" w:eastAsia="en-US" w:bidi="ar-SA"/>
        </w:rPr>
        <w:t>|</w:t>
      </w:r>
      <w:r>
        <w:rPr>
          <w:lang w:val="en-US" w:eastAsia="en-US" w:bidi="ar-SA"/>
        </w:rPr>
        <w:t xml:space="preserve"> </w:t>
      </w:r>
      <w:r>
        <w:rPr>
          <w:lang w:val="en-US" w:eastAsia="en-US" w:bidi="ar-SA"/>
        </w:rPr>
        <w:t xml:space="preserve"> </w:t>
      </w:r>
      <w:r>
        <w:rPr>
          <w:lang w:val="en-US" w:eastAsia="en-US" w:bidi="ar-SA"/>
        </w:rPr>
        <w:t xml:space="preserve"> </w:t>
      </w:r>
      <w:r>
        <w:rPr>
          <w:rFonts w:ascii="arial" w:eastAsia="arial" w:hAnsi="arial" w:cs="arial"/>
          <w:color w:val="000000"/>
          <w:sz w:val="20"/>
          <w:lang w:val="en-US" w:eastAsia="en-US" w:bidi="ar-SA"/>
        </w:rPr>
        <w:t>124 A.C.W.S. (3d) 1022</w:t>
      </w:r>
    </w:p>
    <w:p>
      <w:pPr>
        <w:spacing w:before="120" w:line="260" w:lineRule="atLeast"/>
        <w:rPr>
          <w:lang w:val="en-US" w:eastAsia="en-US" w:bidi="ar-SA"/>
        </w:rPr>
      </w:pPr>
      <w:r>
        <w:rPr>
          <w:rFonts w:ascii="arial" w:eastAsia="arial" w:hAnsi="arial" w:cs="arial"/>
          <w:color w:val="000000"/>
          <w:sz w:val="20"/>
          <w:lang w:val="en-US" w:eastAsia="en-US" w:bidi="ar-SA"/>
        </w:rPr>
        <w:t>Between Superior Filter Recycling Inc., claimant/appellant, and L.E.J. International Ltd., defendant/respondent</w:t>
      </w:r>
    </w:p>
    <w:p>
      <w:pPr>
        <w:spacing w:before="120" w:line="260" w:lineRule="atLeast"/>
        <w:rPr>
          <w:lang w:val="en-US" w:eastAsia="en-US" w:bidi="ar-SA"/>
        </w:rPr>
      </w:pPr>
      <w:r>
        <w:rPr>
          <w:lang w:val="en-US" w:eastAsia="en-US" w:bidi="ar-SA"/>
        </w:rPr>
        <w:br/>
      </w:r>
      <w:r>
        <w:rPr>
          <w:rFonts w:ascii="arial" w:eastAsia="arial" w:hAnsi="arial" w:cs="arial"/>
          <w:color w:val="000000"/>
          <w:sz w:val="20"/>
          <w:lang w:val="en-US" w:eastAsia="en-US" w:bidi="ar-SA"/>
        </w:rPr>
        <w:t>(13 paras.)</w:t>
      </w:r>
    </w:p>
    <w:p>
      <w:pPr>
        <w:keepNext/>
        <w:spacing w:before="120" w:line="340" w:lineRule="atLeast"/>
        <w:rPr>
          <w:lang w:val="en-US" w:eastAsia="en-US" w:bidi="ar-SA"/>
        </w:rPr>
      </w:pPr>
      <w:r>
        <w:rPr>
          <w:rFonts w:ascii="arial" w:eastAsia="arial" w:hAnsi="arial" w:cs="arial"/>
          <w:b/>
          <w:color w:val="000000"/>
          <w:sz w:val="28"/>
          <w:lang w:val="en-US" w:eastAsia="en-US" w:bidi="ar-SA"/>
        </w:rPr>
        <w:t>Case Summary</w:t>
      </w:r>
    </w:p>
    <w:p>
      <w:pPr>
        <w:spacing w:line="60" w:lineRule="exact"/>
        <w:rPr>
          <w:lang w:val="en-US" w:eastAsia="en-US" w:bidi="ar-SA"/>
        </w:rPr>
      </w:pPr>
      <w:r>
        <w:pict>
          <v:line id="_x0000_s1202" style="position:absolute;z-index:251696128" from="0,2pt" to="512pt,2pt" strokecolor="#009ddb" strokeweight="2pt">
            <v:stroke linestyle="single"/>
          </v:line>
        </w:pict>
      </w:r>
    </w:p>
    <w:p>
      <w:pPr>
        <w:spacing w:line="240" w:lineRule="exact"/>
        <w:rPr>
          <w:lang w:val="en-US" w:eastAsia="en-US" w:bidi="ar-SA"/>
        </w:rPr>
      </w:pPr>
    </w:p>
    <w:p>
      <w:pPr>
        <w:spacing w:before="120" w:line="260" w:lineRule="atLeast"/>
        <w:rPr>
          <w:lang w:val="en-US" w:eastAsia="en-US" w:bidi="ar-SA"/>
        </w:rPr>
      </w:pPr>
      <w:bookmarkStart w:id="233" w:name="Keywords_35"/>
      <w:bookmarkEnd w:id="233"/>
      <w:r>
        <w:rPr>
          <w:rFonts w:ascii="arial" w:eastAsia="arial" w:hAnsi="arial" w:cs="arial"/>
          <w:b/>
          <w:color w:val="000000"/>
          <w:sz w:val="20"/>
          <w:lang w:val="en-US" w:eastAsia="en-US" w:bidi="ar-SA"/>
        </w:rPr>
        <w:t>Torts — Standard of care, particular persons and relationships — Service station operators, garages, mechanics, etc. — Causation — Causal connection — Practice — Small claims — Appeals, scope of review.</w:t>
      </w:r>
    </w:p>
    <w:p>
      <w:pPr>
        <w:rPr>
          <w:lang w:val="en-US" w:eastAsia="en-US" w:bidi="ar-SA"/>
        </w:rPr>
      </w:pPr>
    </w:p>
    <w:tbl>
      <w:tblPr>
        <w:tblStyle w:val="TableNormal"/>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
      <w:tblGrid>
        <w:gridCol w:w="10225"/>
      </w:tblGrid>
      <w:tr>
        <w:tblPrEx>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Ex>
        <w:tc>
          <w:tcPr/>
          <w:p>
            <w:pPr>
              <w:rPr>
                <w:lang w:val="en-US" w:eastAsia="en-US" w:bidi="ar-SA"/>
              </w:rPr>
            </w:pPr>
            <w:bookmarkStart w:id="234" w:name="Case Summary_33"/>
            <w:bookmarkEnd w:id="234"/>
          </w:p>
          <w:p>
            <w:pPr>
              <w:spacing w:before="120" w:line="260" w:lineRule="atLeast"/>
              <w:ind w:left="240"/>
              <w:jc w:val="both"/>
              <w:rPr>
                <w:lang w:val="en-US" w:eastAsia="en-US" w:bidi="ar-SA"/>
              </w:rPr>
            </w:pPr>
            <w:r>
              <w:rPr>
                <w:rFonts w:ascii="arial" w:eastAsia="arial" w:hAnsi="arial" w:cs="arial"/>
                <w:color w:val="000000"/>
                <w:sz w:val="20"/>
                <w:lang w:val="en-US" w:eastAsia="en-US" w:bidi="ar-SA"/>
              </w:rPr>
              <w:t xml:space="preserve">Appeal by Superior from dismissal of its claim for damages for negligent repair of a motor vehicle. Superior claimed that it was entitled to $5,000 for repairs to its truck after L.E.J. had performed work on it. The trial judge dismissed the claim, finding that Superior had failed to establish that L.E.J. had failed to follow any required procedures in the repair and that the damage was the result of any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or faulty workmanship. Superior appealed, arguing that the warranty should have covered the damage, and that the trial judge erred in his handling of a failure to produce documents at trial and in failing to take judicial notice of the contents of a technical manual. </w:t>
            </w:r>
            <w:r>
              <w:rPr>
                <w:lang w:val="en-US" w:eastAsia="en-US" w:bidi="ar-SA"/>
              </w:rPr>
              <w:cr/>
            </w:r>
          </w:p>
          <w:p>
            <w:pPr>
              <w:spacing w:before="120" w:line="260" w:lineRule="atLeast"/>
              <w:ind w:left="240"/>
              <w:jc w:val="both"/>
              <w:rPr>
                <w:lang w:val="en-US" w:eastAsia="en-US" w:bidi="ar-SA"/>
              </w:rPr>
            </w:pPr>
            <w:bookmarkStart w:id="235" w:name="Holdings of Court_27"/>
            <w:bookmarkEnd w:id="235"/>
            <w:r>
              <w:rPr>
                <w:rFonts w:ascii="arial" w:eastAsia="arial" w:hAnsi="arial" w:cs="arial"/>
                <w:color w:val="000000"/>
                <w:sz w:val="20"/>
                <w:lang w:val="en-US" w:eastAsia="en-US" w:bidi="ar-SA"/>
              </w:rPr>
              <w:t>HELD: Appeal dismissed.</w:t>
            </w:r>
          </w:p>
          <w:p>
            <w:pPr>
              <w:spacing w:before="120" w:line="260" w:lineRule="atLeast"/>
              <w:ind w:left="240"/>
              <w:jc w:val="both"/>
              <w:rPr>
                <w:lang w:val="en-US" w:eastAsia="en-US" w:bidi="ar-SA"/>
              </w:rPr>
            </w:pPr>
            <w:r>
              <w:rPr>
                <w:rFonts w:ascii="arial" w:eastAsia="arial" w:hAnsi="arial" w:cs="arial"/>
                <w:color w:val="000000"/>
                <w:sz w:val="20"/>
                <w:lang w:val="en-US" w:eastAsia="en-US" w:bidi="ar-SA"/>
              </w:rPr>
              <w:t xml:space="preserve"> The trial judge's findings of fact were supported by the evidence. Superior did not demonstrate that the failure to produce documents had any influence on any issue before the court. The judge found that there was no bearing failure, such that there was no requirement to follow the procedures in the technical manual. </w:t>
            </w:r>
            <w:r>
              <w:rPr>
                <w:lang w:val="en-US" w:eastAsia="en-US" w:bidi="ar-SA"/>
              </w:rPr>
              <w:cr/>
            </w:r>
          </w:p>
          <w:p>
            <w:pPr>
              <w:rPr>
                <w:lang w:val="en-US" w:eastAsia="en-US" w:bidi="ar-SA"/>
              </w:rPr>
            </w:pPr>
          </w:p>
        </w:tc>
      </w:tr>
    </w:tbl>
    <w:p>
      <w:pPr>
        <w:jc w:val="both"/>
        <w:rPr>
          <w:lang w:val="en-US" w:eastAsia="en-US" w:bidi="ar-SA"/>
        </w:rPr>
      </w:pPr>
      <w:bookmarkStart w:id="236" w:name="Counsel_35"/>
      <w:bookmarkEnd w:id="236"/>
      <w:r>
        <w:rPr>
          <w:lang w:val="en-US" w:eastAsia="en-US" w:bidi="ar-SA"/>
        </w:rPr>
        <w:br/>
      </w:r>
    </w:p>
    <w:p>
      <w:pPr>
        <w:keepNext/>
        <w:spacing w:before="240" w:line="340" w:lineRule="atLeast"/>
        <w:rPr>
          <w:lang w:val="en-US" w:eastAsia="en-US" w:bidi="ar-SA"/>
        </w:rPr>
      </w:pPr>
      <w:r>
        <w:rPr>
          <w:rFonts w:ascii="arial" w:eastAsia="arial" w:hAnsi="arial" w:cs="arial"/>
          <w:b/>
          <w:color w:val="000000"/>
          <w:sz w:val="28"/>
          <w:lang w:val="en-US" w:eastAsia="en-US" w:bidi="ar-SA"/>
        </w:rPr>
        <w:t>Counsel</w:t>
      </w:r>
    </w:p>
    <w:p>
      <w:pPr>
        <w:spacing w:line="60" w:lineRule="exact"/>
        <w:rPr>
          <w:lang w:val="en-US" w:eastAsia="en-US" w:bidi="ar-SA"/>
        </w:rPr>
      </w:pPr>
      <w:r>
        <w:pict>
          <v:line id="_x0000_s1203" style="position:absolute;z-index:251747328" from="0,2pt" to="512pt,2pt" strokecolor="#009ddb" strokeweight="2pt">
            <v:stroke linestyle="single"/>
          </v:line>
        </w:pict>
      </w:r>
    </w:p>
    <w:p>
      <w:pPr>
        <w:spacing w:line="240" w:lineRule="exact"/>
        <w:rPr>
          <w:lang w:val="en-US" w:eastAsia="en-US" w:bidi="ar-SA"/>
        </w:rPr>
      </w:pPr>
    </w:p>
    <w:p>
      <w:pPr>
        <w:spacing w:line="260" w:lineRule="atLeast"/>
        <w:jc w:val="both"/>
        <w:rPr>
          <w:lang w:val="en-US" w:eastAsia="en-US" w:bidi="ar-SA"/>
        </w:rPr>
      </w:pPr>
      <w:r>
        <w:rPr>
          <w:rFonts w:ascii="arial" w:eastAsia="arial" w:hAnsi="arial" w:cs="arial"/>
          <w:color w:val="000000"/>
          <w:sz w:val="20"/>
          <w:lang w:val="en-US" w:eastAsia="en-US" w:bidi="ar-SA"/>
        </w:rPr>
        <w:t>D. Lindsay, for the appellant. G. Nicholson, for the respondent.</w:t>
      </w:r>
      <w:r>
        <w:rPr>
          <w:lang w:val="en-US" w:eastAsia="en-US" w:bidi="ar-SA"/>
        </w:rPr>
        <w:cr/>
      </w:r>
    </w:p>
    <w:p>
      <w:pPr>
        <w:spacing w:after="240"/>
        <w:rPr>
          <w:lang w:val="en-US" w:eastAsia="en-US" w:bidi="ar-SA"/>
        </w:rPr>
      </w:pPr>
      <w:bookmarkStart w:id="237" w:name="Judgment_36"/>
      <w:bookmarkEnd w:id="237"/>
      <w:r>
        <w:pict>
          <v:line id="_x0000_s1204" style="position:absolute;z-index:251798528" from="0,12pt" to="512pt,12pt" strokecolor="#009ddb" strokeweight="1.5pt">
            <v:stroke linestyle="single"/>
          </v:line>
        </w:pict>
      </w:r>
    </w:p>
    <w:p>
      <w:pPr>
        <w:rPr>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3104"/>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lang w:val="en-US" w:eastAsia="en-US" w:bidi="ar-SA"/>
              </w:rPr>
            </w:pPr>
            <w:bookmarkStart w:id="238" w:name="PARRETT J. (orally)"/>
            <w:bookmarkEnd w:id="238"/>
            <w:r>
              <w:rPr>
                <w:rFonts w:ascii="arial" w:eastAsia="arial" w:hAnsi="arial" w:cs="arial"/>
                <w:b/>
                <w:color w:val="000000"/>
                <w:sz w:val="30"/>
                <w:lang w:val="en-US" w:eastAsia="en-US" w:bidi="ar-SA"/>
              </w:rPr>
              <w:t>PARRETT J. (orally)</w:t>
            </w:r>
          </w:p>
        </w:tc>
      </w:tr>
    </w:tbl>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This is an appeal on the record to this court from a judgment of the Small Claims division of the Provincial Court. Contrary to some of the submissions that have been made, the jurisdiction of this court on such an appeal is limited. That jurisdiction is to be exercised on the same basis and using the same criteria as an appeal from a trial decision of this court to our Court of Appeal.</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The present action came on before a judge of the Provincial Court on May 16, 2002. The written decision of the learned Provincial Court judge was delivered on June 11, 2002. The initial issues in that case were not in dispute. There were offsetting claims with the claimant having supplied goods and services to the defendant in the amount of $2,225.60 for which it had not been paid. The claimant sued to recover that sum. The defendant counterclaimed in the amount of $5,439.44 for work performed on the claimant's truck for which it was not paid. Neither party disputed either of those claims. The only claim in dispute arose by the claimant, the appellant in this case, asserting by way of counter-counterclaim or some other assertion an entitlement to be compensated for $8,228.12 for repairs done to its truck after work was performed by the defendant. In effect claiming that the defendant owed them something over $5,000 effectively for negligent repair of their vehicle.</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The trial judge on page 3 of his reasons framed the issue before him in these words:</w:t>
      </w:r>
      <w:r>
        <w:rPr>
          <w:lang w:val="en-US" w:eastAsia="en-US" w:bidi="ar-SA"/>
        </w:rPr>
        <w:cr/>
      </w:r>
    </w:p>
    <w:p>
      <w:pPr>
        <w:spacing w:line="260" w:lineRule="atLeast"/>
        <w:ind w:left="720"/>
        <w:rPr>
          <w:lang w:val="en-US" w:eastAsia="en-US" w:bidi="ar-SA"/>
        </w:rPr>
      </w:pPr>
      <w:r>
        <w:rPr>
          <w:rFonts w:ascii="arial" w:eastAsia="arial" w:hAnsi="arial" w:cs="arial"/>
          <w:color w:val="000000"/>
          <w:sz w:val="20"/>
          <w:lang w:val="en-US" w:eastAsia="en-US" w:bidi="ar-SA"/>
        </w:rPr>
        <w:t>Has the claimant established that the defendant was negligent in effecting repairs to the claimant's truck, or that it failed to carry out the work in a good and workmanlike manner thus causing the engine failure at a cost of $8,228.12?</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xml:space="preserve">  On this appeal the appellant takes the position that there was a warranty provided with the work done initially by the defendant and that it should have covered the subsequent damage. At the heart of that position is the appellant's assertion on this appeal that the subsequent failure was directly related to the work done by the defendant on its truck and was caused by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and/or breach of contract in some form by the defendant in the performance of the earlier work.</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The appellant also takes the position that the failure to produce documents at the trial and the way in which it was handled was an error by the trial judge, who should have ordered an adjournment and delivery up of the additional documents. They also take the position that judicial notice should have been taken of the contents of the repair manual or technical manual, portions of which were submitted in evidence. In the end they suggest that the decision should be overturned and judgment should be entered in favour of the appellant.</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In my view, applying the standards which I must on an appeal of this kind, what is being challenged here is the findings of fact of the trial judge. In order for this court to interfere with the exercise of the jurisdiction of the trial court, I must be persuaded that the trial judge made a palpable and overriding error which was fundamental to the decision in the court below. At the heart of the judgment in the court below is the trial judge's finding of the onus or burden of proof, which he properly concluded was on the appellant in the court below.</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Central to the argument in this court, and the decision in the court below, is paragraph 45 of the written reasons of the trial judge, which reads:</w:t>
      </w:r>
      <w:r>
        <w:rPr>
          <w:lang w:val="en-US" w:eastAsia="en-US" w:bidi="ar-SA"/>
        </w:rPr>
        <w:cr/>
      </w:r>
    </w:p>
    <w:p>
      <w:pPr>
        <w:spacing w:line="260" w:lineRule="atLeast"/>
        <w:ind w:left="720"/>
        <w:rPr>
          <w:lang w:val="en-US" w:eastAsia="en-US" w:bidi="ar-SA"/>
        </w:rPr>
      </w:pPr>
      <w:r>
        <w:rPr>
          <w:rFonts w:ascii="arial" w:eastAsia="arial" w:hAnsi="arial" w:cs="arial"/>
          <w:color w:val="000000"/>
          <w:sz w:val="20"/>
          <w:lang w:val="en-US" w:eastAsia="en-US" w:bidi="ar-SA"/>
        </w:rPr>
        <w:t>Notwithstanding the defendant's failure to follow the recommendations, Mr. Lindsay in his submissions in this court repeatedly referred to the required procedures. That is not the terminology within those pages of the manual. They are recommended procedures. Notwithstanding the defendant's failure to follow the recommendations in the service manual, I accept the evidence of Jack Earl that there was no bearing failure, nor was any debris located in the oil cooler and oil filter and in the defendant's opinion it was not necessary to replace the oil cooler core assembly. [emphasis added]</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Paragraph 46:</w:t>
      </w:r>
      <w:r>
        <w:rPr>
          <w:lang w:val="en-US" w:eastAsia="en-US" w:bidi="ar-SA"/>
        </w:rPr>
        <w:cr/>
      </w:r>
    </w:p>
    <w:p>
      <w:pPr>
        <w:spacing w:line="260" w:lineRule="atLeast"/>
        <w:ind w:left="720"/>
        <w:rPr>
          <w:lang w:val="en-US" w:eastAsia="en-US" w:bidi="ar-SA"/>
        </w:rPr>
      </w:pPr>
      <w:r>
        <w:rPr>
          <w:rFonts w:ascii="arial" w:eastAsia="arial" w:hAnsi="arial" w:cs="arial"/>
          <w:color w:val="000000"/>
          <w:sz w:val="20"/>
          <w:lang w:val="en-US" w:eastAsia="en-US" w:bidi="ar-SA"/>
        </w:rPr>
        <w:t xml:space="preserve">The reason for the second engine failure is unexplained. The claimant has failed to establish that this failure was the result of the defendant's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or faulty workmanship.</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Those two paragraphs constitute essential findings of fact on the evidence before the trial judge that there was no bearing failure and as a result it was unnecessary in the circumstances for the defendant to follow the procedures recommended in the pages of the service manual relied upon by the appellant. More importantly, the trial judge on the evidence found that no reason for the second engine failure was established on the evidence. That is precisely the finding that the onus on the plaintiff had not been met. In other words, the causation issue in the issue framed by the trial judge had not been met.</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On the basis of the evidence before the trial judge, as summarized in his reasons and as referred to me on the hearing of this appeal, there was evidence which could have led the trial judge precisely to that conclusion. In all of the circumstances, I am completely unable to find that the trial judge was in error in his findings.</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There has been no demonstrated effect of the failure to produce documents as having any influence on that causation issue. The complaint with respect to that, as I understand it and as it has been articulated in this court, is that the documents, if they exist, a matter which in my view is in some considerable doubt, might have revealed observations by the mechanic which could have assisted the plaintiff with respect to their proving causation in this case. That argument wholly ignores the fact the plaintiff took their truck from the shop location of the defendant, had it independently examined and stripped down by another firm and other experts, and having done so failed to produce evidence related to the causation of the second failure.</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In my view this appeal cannot possibly succeed in those circumstances. The appeal is dismissed. The judgment below is affirmed. Costs of this appeal will follow the event.</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Thank you, gentlemen.</w:t>
      </w:r>
    </w:p>
    <w:p>
      <w:pPr>
        <w:spacing w:line="260" w:lineRule="atLeast"/>
        <w:jc w:val="both"/>
        <w:rPr>
          <w:lang w:val="en-US" w:eastAsia="en-US" w:bidi="ar-SA"/>
        </w:rPr>
      </w:pPr>
      <w:r>
        <w:rPr>
          <w:lang w:val="en-US" w:eastAsia="en-US" w:bidi="ar-SA"/>
        </w:rPr>
        <w:br/>
      </w:r>
      <w:r>
        <w:rPr>
          <w:rFonts w:ascii="arial" w:eastAsia="arial" w:hAnsi="arial" w:cs="arial"/>
          <w:color w:val="000000"/>
          <w:sz w:val="20"/>
          <w:lang w:val="en-US" w:eastAsia="en-US" w:bidi="ar-SA"/>
        </w:rPr>
        <w:t>PARRETT J.</w:t>
      </w:r>
      <w:r>
        <w:rPr>
          <w:lang w:val="en-US" w:eastAsia="en-US" w:bidi="ar-SA"/>
        </w:rPr>
        <w:cr/>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05" style="position:absolute;z-index:251847680" from="0,10pt" to="512pt,10pt" strokecolor="black" strokeweight="1pt">
            <v:stroke linestyle="single"/>
          </v:line>
        </w:pict>
      </w:r>
      <w:r>
        <w:rPr>
          <w:b/>
          <w:color w:val="767676"/>
          <w:sz w:val="16"/>
          <w:lang w:val="en-US" w:eastAsia="en-US" w:bidi="ar-SA"/>
        </w:rPr>
        <w:t>End of Document</w:t>
      </w:r>
    </w:p>
    <w:p>
      <w:pPr>
        <w:rPr>
          <w:rFonts w:ascii="arial" w:eastAsia="arial" w:hAnsi="arial" w:cs="arial"/>
          <w:sz w:val="20"/>
          <w:lang w:val="en-US" w:eastAsia="en-US" w:bidi="ar-SA"/>
        </w:rPr>
        <w:sectPr>
          <w:headerReference w:type="even" r:id="rId687"/>
          <w:headerReference w:type="default" r:id="rId688"/>
          <w:footerReference w:type="even" r:id="rId689"/>
          <w:footerReference w:type="default" r:id="rId690"/>
          <w:headerReference w:type="first" r:id="rId691"/>
          <w:footerReference w:type="first" r:id="rId692"/>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eastAsia="arial" w:hAnsi="Arial" w:cs="Arial"/>
          <w:b/>
          <w:bCs/>
          <w:kern w:val="32"/>
          <w:sz w:val="32"/>
          <w:szCs w:val="32"/>
          <w:lang w:val="en-US" w:eastAsia="en-US" w:bidi="ar-SA"/>
        </w:rPr>
      </w:pPr>
      <w:hyperlink r:id="rId693" w:history="1">
        <w:r>
          <w:rPr>
            <w:rFonts w:ascii="arial" w:eastAsia="arial" w:hAnsi="arial" w:cs="arial"/>
            <w:b/>
            <w:bCs/>
            <w:i/>
            <w:color w:val="0077CC"/>
            <w:kern w:val="32"/>
            <w:sz w:val="28"/>
            <w:szCs w:val="32"/>
            <w:u w:val="single"/>
            <w:shd w:val="clear" w:color="auto" w:fill="FFFFFF"/>
            <w:lang w:val="en-US" w:eastAsia="en-US" w:bidi="ar-SA"/>
          </w:rPr>
          <w:t>United Savings Credit Union v. Gill, [2002] B.C.J. No. 2791</w:t>
        </w:r>
      </w:hyperlink>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Judgments</w:t>
      </w:r>
    </w:p>
    <w:p>
      <w:pPr>
        <w:rPr>
          <w:rFonts w:ascii="arial" w:eastAsia="arial" w:hAnsi="arial" w:cs="arial"/>
          <w:sz w:val="20"/>
          <w:lang w:val="en-US" w:eastAsia="en-US" w:bidi="ar-SA"/>
        </w:rPr>
      </w:pP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Vancouver, British Columbia</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Wong J.</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Heard: September 18, 2002.</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Judgment: December 12, 2002.</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Vancouver Registry No. H990060</w:t>
      </w:r>
    </w:p>
    <w:p>
      <w:pPr>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r>
        <w:rPr>
          <w:rFonts w:ascii="arial" w:eastAsia="arial" w:hAnsi="arial" w:cs="arial"/>
          <w:b/>
          <w:color w:val="000000"/>
          <w:sz w:val="20"/>
          <w:lang w:val="en-US" w:eastAsia="en-US" w:bidi="ar-SA"/>
        </w:rPr>
        <w:t>[2002] B.C.J. No. 2791</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2002 BCSC 1725</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8 R.P.R. (4th) 226</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118 A.C.W.S. (3d) 582</w:t>
      </w:r>
    </w:p>
    <w:p>
      <w:pPr>
        <w:spacing w:before="120" w:line="260" w:lineRule="atLeast"/>
        <w:rPr>
          <w:rFonts w:ascii="arial" w:eastAsia="arial" w:hAnsi="arial" w:cs="arial"/>
          <w:sz w:val="20"/>
          <w:lang w:val="en-US" w:eastAsia="en-US" w:bidi="ar-SA"/>
        </w:rPr>
      </w:pPr>
      <w:r>
        <w:rPr>
          <w:rFonts w:ascii="arial" w:eastAsia="arial" w:hAnsi="arial" w:cs="arial"/>
          <w:color w:val="000000"/>
          <w:sz w:val="20"/>
          <w:lang w:val="en-US" w:eastAsia="en-US" w:bidi="ar-SA"/>
        </w:rPr>
        <w:t>Between United Savings Credit Union, petitioner, and Jagroop Singh Gill and Rajpal Kaur Gill, respondents</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(50 paras.)</w:t>
      </w:r>
    </w:p>
    <w:p>
      <w:pPr>
        <w:keepNext/>
        <w:spacing w:before="12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Case Summary</w:t>
      </w:r>
    </w:p>
    <w:p>
      <w:pPr>
        <w:spacing w:line="60" w:lineRule="exact"/>
        <w:rPr>
          <w:rFonts w:ascii="arial" w:eastAsia="arial" w:hAnsi="arial" w:cs="arial"/>
          <w:sz w:val="20"/>
          <w:lang w:val="en-US" w:eastAsia="en-US" w:bidi="ar-SA"/>
        </w:rPr>
      </w:pPr>
      <w:r>
        <w:pict>
          <v:line id="_x0000_s1206" style="position:absolute;z-index:251697152"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bookmarkStart w:id="239" w:name="Keywords_36"/>
      <w:bookmarkEnd w:id="239"/>
      <w:r>
        <w:rPr>
          <w:rFonts w:ascii="arial" w:eastAsia="arial" w:hAnsi="arial" w:cs="arial"/>
          <w:b/>
          <w:color w:val="000000"/>
          <w:sz w:val="20"/>
          <w:lang w:val="en-US" w:eastAsia="en-US" w:bidi="ar-SA"/>
        </w:rPr>
        <w:t>Mortgages — The mortgage — Transfer or assignment — Effect of, by mortgagee — Priorities — Between mortgagees — Effect of priority clause — Statutory and contractual rights — Sale proceeds and expenses — Allocation of — Guarantee and indemnity — Discharge and other defences of surety — Changes in the principal contract — Immaterial changes — Lack of independent legal advice for surety — Acts of debtor — Undue influence over surety.</w:t>
      </w:r>
    </w:p>
    <w:p>
      <w:pPr>
        <w:rPr>
          <w:rFonts w:ascii="arial" w:eastAsia="arial" w:hAnsi="arial" w:cs="arial"/>
          <w:sz w:val="20"/>
          <w:lang w:val="en-US" w:eastAsia="en-US" w:bidi="ar-SA"/>
        </w:rPr>
      </w:pPr>
    </w:p>
    <w:tbl>
      <w:tblPr>
        <w:tblStyle w:val="TableNormal"/>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
      <w:tblGrid>
        <w:gridCol w:w="10225"/>
      </w:tblGrid>
      <w:tr>
        <w:tblPrEx>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Ex>
        <w:tc>
          <w:tcPr/>
          <w:p>
            <w:pPr>
              <w:rPr>
                <w:rFonts w:ascii="arial" w:eastAsia="arial" w:hAnsi="arial" w:cs="arial"/>
                <w:sz w:val="20"/>
                <w:lang w:val="en-US" w:eastAsia="en-US" w:bidi="ar-SA"/>
              </w:rPr>
            </w:pPr>
            <w:bookmarkStart w:id="240" w:name="Case Summary_34"/>
            <w:bookmarkEnd w:id="240"/>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Application by United Savings Credit Union to list the matrimonial home of the husband Jagroop and the wife Rajpal Gill for sale. The husband was the registered owner of a vacant lot. The wife was the sole registered owner of the matrimonial home. The husband borrowed $240,000 from the Canadian Imperial Bank of Commerce and gave it a first mortgage on the lot. The wife provided a personal guarantee on this loan. This guarantee included a principal debtor clause. It made the wife a principal debtor against whom the loan could be recovered, as well as a guarantor. The guarantee was secured by a collateral mortgage against the home. The wife obtained independent legal advice from her husband's lawyer. The wife took a second mortgage on the lot as security for her guarantee. The husband subsequently obtained a second mortgage in the amount of $150,000 from the Credit Union on the lot. The wife did not guarantee this mortgage. She discharged her second mortgage to allow this transaction to occur. The Gills failed to comply with the terms of the first mortgage. The Bank commenced foreclosure proceedings. It filed a certificate of pending litigation against the lot and the home and obtained an order nisi of foreclosure together with judgment against the Gills. The Credit Union obtained an order that granted it conduct of sale on the lot. The Bank subsequently assigned to the Credit Union all of its interest to the first mortgage and any claims it had against the Gills. The Gills were notified about the assignment. The Credit Union registered a priority agreement that granted priority to its second mortgage. No notice of this variation was given to the Gills. The lot was sold. It did not generate sufficient funds to discharge both mortgages. The proceeds were only sufficient to pay the first mortgage. Due to the change in priority, the second mortgage was paid. The Credit Union wanted to force the sale of the home to pay off the first mortgage. At issue was whether the Credit Union was permitted to alter the priorities of the mortgages. If this was permitted, the wife claimed that her guarantee was void for lack of independent legal advice, undue influence and the variation of priorities without consent. </w:t>
            </w:r>
            <w:r>
              <w:rPr>
                <w:rFonts w:ascii="arial" w:eastAsia="arial" w:hAnsi="arial" w:cs="arial"/>
                <w:sz w:val="20"/>
                <w:lang w:val="en-US" w:eastAsia="en-US" w:bidi="ar-SA"/>
              </w:rPr>
              <w:cr/>
            </w:r>
          </w:p>
          <w:p>
            <w:pPr>
              <w:spacing w:before="120" w:line="260" w:lineRule="atLeast"/>
              <w:ind w:left="240"/>
              <w:jc w:val="both"/>
              <w:rPr>
                <w:rFonts w:ascii="arial" w:eastAsia="arial" w:hAnsi="arial" w:cs="arial"/>
                <w:sz w:val="20"/>
                <w:lang w:val="en-US" w:eastAsia="en-US" w:bidi="ar-SA"/>
              </w:rPr>
            </w:pPr>
            <w:bookmarkStart w:id="241" w:name="Holdings of Court_28"/>
            <w:bookmarkEnd w:id="241"/>
            <w:r>
              <w:rPr>
                <w:rFonts w:ascii="arial" w:eastAsia="arial" w:hAnsi="arial" w:cs="arial"/>
                <w:color w:val="000000"/>
                <w:sz w:val="20"/>
                <w:lang w:val="en-US" w:eastAsia="en-US" w:bidi="ar-SA"/>
              </w:rPr>
              <w:t>HELD: Application allowed.</w:t>
            </w:r>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The Credit Union was allowed to list the home for sale and to have conduct of the sale. The wife was independently liable in contract on the first mortgage because of the principal debtor clause. A mortgagor had to consent to a material change in the mortgage. Where there were two mortgages on the same property, the mortgagees could agree to alter the priority of the mortgages without the consent of the mortgagor. The mortgagor's debt total and repayment obligations were not affected by the order in which the debts were satisfied. It made no difference to the husband in which order the debts were paid as he had to satisfy all his secured debts before he could recover the mortgaged property. The wife had no greater rights than the husband. She could not insist that the Credit Union take possession of the lot rather than rely on her personal covenant for payment. The change in priorities was therefore not a material change that required the wife's consent. She also could not insist on the satisfaction of the debts in any particular order. The wife may have had some claim against the lawyer for conflict of interest or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This did not affect the validity of the guarantee. There was no automatic presumption of undue influence between a husband and wife. No such evidence of undue influence existed in this case. The wife understood the nature of the guarantee she signed. This was proven when she took the second mortgage on the lot. </w:t>
            </w:r>
            <w:r>
              <w:rPr>
                <w:rFonts w:ascii="arial" w:eastAsia="arial" w:hAnsi="arial" w:cs="arial"/>
                <w:sz w:val="20"/>
                <w:lang w:val="en-US" w:eastAsia="en-US" w:bidi="ar-SA"/>
              </w:rPr>
              <w:cr/>
            </w:r>
          </w:p>
          <w:p>
            <w:pPr>
              <w:rPr>
                <w:rFonts w:ascii="arial" w:eastAsia="arial" w:hAnsi="arial" w:cs="arial"/>
                <w:sz w:val="20"/>
                <w:lang w:val="en-US" w:eastAsia="en-US" w:bidi="ar-SA"/>
              </w:rPr>
            </w:pPr>
          </w:p>
        </w:tc>
      </w:tr>
    </w:tbl>
    <w:p>
      <w:pPr>
        <w:jc w:val="both"/>
        <w:rPr>
          <w:rFonts w:ascii="arial" w:eastAsia="arial" w:hAnsi="arial" w:cs="arial"/>
          <w:sz w:val="20"/>
          <w:lang w:val="en-US" w:eastAsia="en-US" w:bidi="ar-SA"/>
        </w:rPr>
      </w:pPr>
      <w:bookmarkStart w:id="242" w:name="Counsel_36"/>
      <w:bookmarkEnd w:id="242"/>
      <w:r>
        <w:rPr>
          <w:rFonts w:ascii="arial" w:eastAsia="arial" w:hAnsi="arial" w:cs="arial"/>
          <w:sz w:val="20"/>
          <w:lang w:val="en-US" w:eastAsia="en-US" w:bidi="ar-SA"/>
        </w:rPr>
        <w:br/>
      </w:r>
    </w:p>
    <w:p>
      <w:pPr>
        <w:keepNext/>
        <w:spacing w:before="24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Counsel</w:t>
      </w:r>
    </w:p>
    <w:p>
      <w:pPr>
        <w:spacing w:line="60" w:lineRule="exact"/>
        <w:rPr>
          <w:rFonts w:ascii="arial" w:eastAsia="arial" w:hAnsi="arial" w:cs="arial"/>
          <w:sz w:val="20"/>
          <w:lang w:val="en-US" w:eastAsia="en-US" w:bidi="ar-SA"/>
        </w:rPr>
      </w:pPr>
      <w:r>
        <w:pict>
          <v:line id="_x0000_s1207" style="position:absolute;z-index:251748352"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D. Moonje, for the petitioner. Brian C. Markus, for the respondents.</w:t>
      </w:r>
      <w:r>
        <w:rPr>
          <w:rFonts w:ascii="arial" w:eastAsia="arial" w:hAnsi="arial" w:cs="arial"/>
          <w:sz w:val="20"/>
          <w:lang w:val="en-US" w:eastAsia="en-US" w:bidi="ar-SA"/>
        </w:rPr>
        <w:cr/>
      </w:r>
    </w:p>
    <w:p>
      <w:pPr>
        <w:spacing w:after="240"/>
        <w:rPr>
          <w:rFonts w:ascii="arial" w:eastAsia="arial" w:hAnsi="arial" w:cs="arial"/>
          <w:sz w:val="20"/>
          <w:lang w:val="en-US" w:eastAsia="en-US" w:bidi="ar-SA"/>
        </w:rPr>
      </w:pPr>
      <w:bookmarkStart w:id="243" w:name="Judgment_37"/>
      <w:bookmarkEnd w:id="243"/>
      <w:r>
        <w:pict>
          <v:line id="_x0000_s1208" style="position:absolute;z-index:251799552" from="0,12pt" to="512pt,12pt" strokecolor="#009ddb" strokeweight="1.5pt">
            <v:stroke linestyle="single"/>
          </v:line>
        </w:pict>
      </w:r>
    </w:p>
    <w:p>
      <w:pPr>
        <w:rPr>
          <w:rFonts w:ascii="arial" w:eastAsia="arial" w:hAnsi="arial" w:cs="arial"/>
          <w:sz w:val="20"/>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1570"/>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rFonts w:ascii="arial" w:eastAsia="arial" w:hAnsi="arial" w:cs="arial"/>
                <w:sz w:val="20"/>
                <w:lang w:val="en-US" w:eastAsia="en-US" w:bidi="ar-SA"/>
              </w:rPr>
            </w:pPr>
            <w:bookmarkStart w:id="244" w:name="WONG J."/>
            <w:bookmarkEnd w:id="244"/>
            <w:r>
              <w:rPr>
                <w:rFonts w:ascii="arial" w:eastAsia="arial" w:hAnsi="arial" w:cs="arial"/>
                <w:b/>
                <w:color w:val="000000"/>
                <w:sz w:val="30"/>
                <w:lang w:val="en-US" w:eastAsia="en-US" w:bidi="ar-SA"/>
              </w:rPr>
              <w:t>WONG J.</w:t>
            </w:r>
          </w:p>
        </w:tc>
      </w:tr>
    </w:tbl>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"Every why hath a wherefore." -- Shakespeare, The Comedy of Errors, II, 2. 1592 - 1593</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INTRODUCTION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This is an application by the petitioner United Savings Credit Union (the Credit Union) to list for sale the matrimonial home of Mr. and Mrs. Jagroop and Rajpal Gill, and an order for conduct of sale in the usual terms.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BACKGROUND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The factual background of this case is somewhat complex. Mr. Gill was at one time the registered owner of a vacant lot in Maple Ridge (Lot 3). Mrs. Gill was, and is, the sole registered owner of the couple's matrimonial home located in Delta, B.C.</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Mr. Gill made arrangements with the Canadian Imperial Bank of Commerce (CIBC) to borrow funds (the first loan). The principal funds of $240,000 were secured by a collateral mortgage and assignment of rents registered on August 17, 1994 giving CIBC a first mortgage against Lot 3, (the first mortgage). The funds were also secured by a limited personal guarantee from Mrs. Gill (up to the amount of $240,000) of all present and future debts and liabilities of Mr. Gill to CIBC. The guarantee was executed on August 16, 1994. This personal guarantee was in turn secured by a collateral mortgage registered against the matrimonial home. Mrs. Gill in turn took a second mortgage against Lot 3 as security for her guarantee.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In 1998, Mr. Gill applied to the Credit Union for a loan in the amount of $150,000 (the second loan). The second loan was to be secured by a second mortgage against Lot 3 (the second mortgage). In order to ensure that her husband received the loan, Mrs. Gill had to agree to the discharge of her second mortgage, which she did. The Credit Union's second mortgage was registered on March 20, 1998. Mrs. Gill was not a party to the Credit Union loan and was not a registered owner of Lot 3. Moreover, Mrs. Gill refused to guarantee the second mortgage.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Mr. and Mrs. Gill failed to comply with the terms of the first loan. By virtue of such default, in January 1999, CIBC commenced foreclosure proceedings and filed a certificate of pending litigation (CPL) against both Lot 3 and the matrimonial home. On February 4, 1999, CIBC obtained an Order Nisi of Foreclosure together with Judgment against Mr. and Mrs. Gill in the amount of $136,418.45 plus costs in the foreclosure proceeding.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On June 22, 1999, the Credit Union obtained an Order granting it Conduct of Sale of Lot 3.</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By instrument dated November 17, 1999, CIBC assigned to the Credit Union: all CIBC's right, title and interest in and to the first mortgage against Lot 3; the assignment of rents; the limited guarantee of Mrs. Gill; the foreclosure proceeding; the Order Nisi; the Judgment and the CPL. Notice of this assignment was given to Mr. and Mrs. Gill by letter dated November 22, 1999.</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On November 26, 1999, the Court granted an Order substituting the Credit Union as Petitioner in the foreclosure proceeding.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On February 2, 2000, the Credit Union registered a priority agreement granting priority to the second mortgage over the first mortgage. No notice of this variation was given to Mr. or Mrs. Gill.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Lot 3 was sold by Court Order in May, 2002, for $210,000. The sale did not generate sufficient funds to clear title of both the first and second mortgages. The proceeds would have been sufficient to pay out in full the first mortgage. Due to the change in priority, however, the proceeds from the sale were used to pay out the second mortgage. The Credit Union now seeks to collect on the amount outstanding on the first loan.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Thus, the Credit Union seeks an order forcing the sale of the matrimonial home, and conduct of that sale. The Gills oppose such an order, and seek an order that the first mortgage has been satisfied by having been paid out in full.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ISSUES FOR DETERMINATION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The following issues require determination:</w:t>
      </w:r>
      <w:r>
        <w:rPr>
          <w:rFonts w:ascii="arial" w:eastAsia="arial" w:hAnsi="arial" w:cs="arial"/>
          <w:sz w:val="20"/>
          <w:lang w:val="en-US" w:eastAsia="en-US" w:bidi="ar-SA"/>
        </w:rPr>
        <w:cr/>
      </w:r>
    </w:p>
    <w:p>
      <w:pPr>
        <w:numPr>
          <w:numId w:val="10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Where a property is encumbered by two mortgages, can the mortgagees effectively agree to alter the priorities of the mortgages?</w:t>
      </w:r>
    </w:p>
    <w:p>
      <w:pPr>
        <w:numPr>
          <w:numId w:val="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If the variation of priorities is permitted, is Mrs. Gill's guarantee void for any reason?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POSITION OF THE PARTIES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Briefly, counsel for the respondent Gills submits that this case turns on the guarantee being void for lack of independent legal advice, undue influence, and the variation of priorities without consent.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Counsel for the petitioner, submits that the validity of the guarantee is a red herring, and that the Credit Union was able to switch the priorities of the mortgages without the mortgagor's, or for that matter, the guarantor's consent.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THE LAW</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Issue 1:</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w:t>
      </w:r>
      <w:r>
        <w:rPr>
          <w:rFonts w:ascii="arial" w:eastAsia="arial" w:hAnsi="arial" w:cs="arial"/>
          <w:color w:val="000000"/>
          <w:sz w:val="20"/>
          <w:lang w:val="en-US" w:eastAsia="en-US" w:bidi="ar-SA"/>
        </w:rPr>
        <w:t>  Mrs. Gill was a co-covenantor of the loan granted by CIBC to her husband, Mr. Gill, by virtue of the limited guarantee that she provided. As security for the guarantee, she provided CIBC a collateral mortgage over the matrimonial home.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w:t>
      </w:r>
      <w:r>
        <w:rPr>
          <w:rFonts w:ascii="arial" w:eastAsia="arial" w:hAnsi="arial" w:cs="arial"/>
          <w:color w:val="000000"/>
          <w:sz w:val="20"/>
          <w:lang w:val="en-US" w:eastAsia="en-US" w:bidi="ar-SA"/>
        </w:rPr>
        <w:t>  The guarantee signed by Mrs. Gill includes a "principal debtor" clause: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Clause (7) Principal Debtor</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All moneys and liabilities, whether matured or unmatured, present or future, direct or indirect, absolute or contingent, obtained from the bank shall be deemed to form part of the customer's liabilities.... I will pay to the Bank as principal debtor any amount that the Bank cannot recover from me as a guarantor, immediately following demand... .</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w:t>
      </w:r>
      <w:r>
        <w:rPr>
          <w:rFonts w:ascii="arial" w:eastAsia="arial" w:hAnsi="arial" w:cs="arial"/>
          <w:color w:val="000000"/>
          <w:sz w:val="20"/>
          <w:lang w:val="en-US" w:eastAsia="en-US" w:bidi="ar-SA"/>
        </w:rPr>
        <w:t xml:space="preserve">  The effect of such a clause was discussed in Manulife Bank of Canada v. Conlin, </w:t>
      </w:r>
      <w:hyperlink r:id="rId694" w:history="1">
        <w:r>
          <w:rPr>
            <w:rFonts w:ascii="arial" w:eastAsia="arial" w:hAnsi="arial" w:cs="arial"/>
            <w:i/>
            <w:color w:val="0077CC"/>
            <w:sz w:val="20"/>
            <w:u w:val="single"/>
            <w:shd w:val="clear" w:color="auto" w:fill="FFFFFF"/>
            <w:lang w:val="en-US" w:eastAsia="en-US" w:bidi="ar-SA"/>
          </w:rPr>
          <w:t>[1996] 3 S.C.R. 415</w:t>
        </w:r>
      </w:hyperlink>
      <w:r>
        <w:rPr>
          <w:rFonts w:ascii="arial" w:eastAsia="arial" w:hAnsi="arial" w:cs="arial"/>
          <w:color w:val="000000"/>
          <w:sz w:val="20"/>
          <w:lang w:val="en-US" w:eastAsia="en-US" w:bidi="ar-SA"/>
        </w:rPr>
        <w:t>, where Cory J., for the majority, confirmed that a principal debtor clause converts a guarantor into a full-fledged principal debtor. He said at para. 21:</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principal debtor clause converts the guarantor into a full-fledged principal debtor with all the duties and obligations which that term implies. If the guarantor is to be responsible to the lending institution as a "full-fledged principal debtor" then he or she is entitled to the same notice of a renewal agreement as the principal mortgagor.... Not just fairness and equity but the designation of the guarantor as a principal debtor leads to the conclusion that the guarantor must have notice of and agree to the renewal before he is bound by its terms.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w:t>
      </w:r>
      <w:r>
        <w:rPr>
          <w:rFonts w:ascii="arial" w:eastAsia="arial" w:hAnsi="arial" w:cs="arial"/>
          <w:color w:val="000000"/>
          <w:sz w:val="20"/>
          <w:lang w:val="en-US" w:eastAsia="en-US" w:bidi="ar-SA"/>
        </w:rPr>
        <w:t>  This view has also been discussed in Halsbury's Laws of England, 4th ed., vol. 32, para. 346:</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Third persons may be made parties to mortgages in order to guarantee the payment of principal and interest or interest alone, the performance of covenants, or the maintenance of the security. Although a surety only undertakes for the default of another, the practice in mortgage deeds is to make him contract and become bound as a principal so far as concerns the mortgagee, but to let him remain a surety so far as concerns the mortgagor.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w:t>
      </w:r>
      <w:r>
        <w:rPr>
          <w:rFonts w:ascii="arial" w:eastAsia="arial" w:hAnsi="arial" w:cs="arial"/>
          <w:color w:val="000000"/>
          <w:sz w:val="20"/>
          <w:lang w:val="en-US" w:eastAsia="en-US" w:bidi="ar-SA"/>
        </w:rPr>
        <w:t>  CIBC's actions in this present matter reflect this approach. Mrs. Gill's guarantee included a principal debtor clause, which had the effect of making her independently liable in contract to CIBC. In other words, Mrs. Gill was obligated as a principal debtor for the loan granted to her husband.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w:t>
      </w:r>
      <w:r>
        <w:rPr>
          <w:rFonts w:ascii="arial" w:eastAsia="arial" w:hAnsi="arial" w:cs="arial"/>
          <w:color w:val="000000"/>
          <w:sz w:val="20"/>
          <w:lang w:val="en-US" w:eastAsia="en-US" w:bidi="ar-SA"/>
        </w:rPr>
        <w:t>  A mortgagor must consent to a material change in the mortgage. In Manulife, Cory J. also outlined that if a lending institution wishes to have the guarantor obligated as a principal debtor, then the guarantor must be entitled to the same rights as the principal debtor. The consent of the guarantor is also therefore required to a material change.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w:t>
      </w:r>
      <w:r>
        <w:rPr>
          <w:rFonts w:ascii="arial" w:eastAsia="arial" w:hAnsi="arial" w:cs="arial"/>
          <w:color w:val="000000"/>
          <w:sz w:val="20"/>
          <w:lang w:val="en-US" w:eastAsia="en-US" w:bidi="ar-SA"/>
        </w:rPr>
        <w:t>  Counsel for the respondents in this case submits that Mrs. Gill's rights include notice of the change in priorities of the Lot 3 mortgages and consent to this allegedly material alteration, since it was not specifically agreed to in the first mortgage contract.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w:t>
      </w:r>
      <w:r>
        <w:rPr>
          <w:rFonts w:ascii="arial" w:eastAsia="arial" w:hAnsi="arial" w:cs="arial"/>
          <w:color w:val="000000"/>
          <w:sz w:val="20"/>
          <w:lang w:val="en-US" w:eastAsia="en-US" w:bidi="ar-SA"/>
        </w:rPr>
        <w:t>  The question thus is whether the change in priorities of the first and second mortgages over Lot 3 is a material change requiring the mortgagor's and thus the guarantor's consent.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w:t>
      </w:r>
      <w:r>
        <w:rPr>
          <w:rFonts w:ascii="arial" w:eastAsia="arial" w:hAnsi="arial" w:cs="arial"/>
          <w:color w:val="000000"/>
          <w:sz w:val="20"/>
          <w:lang w:val="en-US" w:eastAsia="en-US" w:bidi="ar-SA"/>
        </w:rPr>
        <w:t>  Counsel for the petitioner submitted that Cheah v. Equiticorp Finance Group Ltd. and another, [1991] 4 All E.R. 989, [1992] 1 A.C. 472, (P.C.) [hereinafter cited to All E.R.] is determinative of this issue.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w:t>
      </w:r>
      <w:r>
        <w:rPr>
          <w:rFonts w:ascii="arial" w:eastAsia="arial" w:hAnsi="arial" w:cs="arial"/>
          <w:color w:val="000000"/>
          <w:sz w:val="20"/>
          <w:lang w:val="en-US" w:eastAsia="en-US" w:bidi="ar-SA"/>
        </w:rPr>
        <w:t>  Unfortunately, there seems to be a lack of authorities in this area. There do not appear to be any cases that have considered Cheah, but the general ratio from the case is now reflected in Halsbury's 4th ed., vol. 32 at para. 488.</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w:t>
      </w:r>
      <w:r>
        <w:rPr>
          <w:rFonts w:ascii="arial" w:eastAsia="arial" w:hAnsi="arial" w:cs="arial"/>
          <w:color w:val="000000"/>
          <w:sz w:val="20"/>
          <w:lang w:val="en-US" w:eastAsia="en-US" w:bidi="ar-SA"/>
        </w:rPr>
        <w:t>  In Cheah, the Privy Council decided that where there were successive mortgages over the same property, mortgagees could alter the priority of the mortgages without the consent of the mortgagor. In my view, this result implies that the variation in priorities is not a material change to the mortgage.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w:t>
      </w:r>
      <w:r>
        <w:rPr>
          <w:rFonts w:ascii="arial" w:eastAsia="arial" w:hAnsi="arial" w:cs="arial"/>
          <w:color w:val="000000"/>
          <w:sz w:val="20"/>
          <w:lang w:val="en-US" w:eastAsia="en-US" w:bidi="ar-SA"/>
        </w:rPr>
        <w:t>  The facts in Cheah are very similar to the facts in the case at bar. By a mortgage deed, (mortgage 1), the appellant (the debtor) covenanted to pay certain sums of money to the company Equiticorp Securities Ltd. As security for such payment, the debtor charged 14 million shares in London Pacific Ltd "by way of fixed first charge". By a further mortgage deed (mortgage 2) the debtor covenanted to pay further sums of money to Capitalcorp Investments Ltd and as security for such payment charged, inter alia, the same 14 million shares in London Pacific Ltd "by way of second fixed charge". By a series of transactions, both of the mortgages became vested in the respondent Equiticorp Finance Group Ltd who ultimately obtained judgment against the debtor for the sum of $7,556,442.47, being moneys the payment of which was secured by mortgage 1.</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w:t>
      </w:r>
      <w:r>
        <w:rPr>
          <w:rFonts w:ascii="arial" w:eastAsia="arial" w:hAnsi="arial" w:cs="arial"/>
          <w:color w:val="000000"/>
          <w:sz w:val="20"/>
          <w:lang w:val="en-US" w:eastAsia="en-US" w:bidi="ar-SA"/>
        </w:rPr>
        <w:t>  The respondent then exercised its power of sale under mortgage 2 over, inter alia, the 14 million shares in London Pacific Ltd. Apparently it was overlooked that those shares were subject to a first charge under mortgage 1. The proceeds of sale of the shares were applied towards discharging the debts secured by mortgage 2, rather than first satisfying the moneys due under mortgage 1 (being the judgment debt).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w:t>
      </w:r>
      <w:r>
        <w:rPr>
          <w:rFonts w:ascii="arial" w:eastAsia="arial" w:hAnsi="arial" w:cs="arial"/>
          <w:color w:val="000000"/>
          <w:sz w:val="20"/>
          <w:lang w:val="en-US" w:eastAsia="en-US" w:bidi="ar-SA"/>
        </w:rPr>
        <w:t>  The debtor took the view that he was entitled to insist that the proceeds of sale should have been applied in accordance with the priorities of the mortgages, in which case the judgment against him would have been fully satisfied.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w:t>
      </w:r>
      <w:r>
        <w:rPr>
          <w:rFonts w:ascii="arial" w:eastAsia="arial" w:hAnsi="arial" w:cs="arial"/>
          <w:color w:val="000000"/>
          <w:sz w:val="20"/>
          <w:lang w:val="en-US" w:eastAsia="en-US" w:bidi="ar-SA"/>
        </w:rPr>
        <w:t>  At trial, the New Zealand High Court found in the debtor's favour. The Court of Appeal reversed that decision and held that the respondent mortgagee, as the holder of both mortgages, could unilaterally decide whether to apply the proceeds of sale of the London Pacific Ltd shares in satisfaction of mortgage 1 or mortgage 2.</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w:t>
      </w:r>
      <w:r>
        <w:rPr>
          <w:rFonts w:ascii="arial" w:eastAsia="arial" w:hAnsi="arial" w:cs="arial"/>
          <w:color w:val="000000"/>
          <w:sz w:val="20"/>
          <w:lang w:val="en-US" w:eastAsia="en-US" w:bidi="ar-SA"/>
        </w:rPr>
        <w:t>  The Court of Appeal determined that in no circumstances can the mortgagor recover the mortgaged property until all the debts secured by it have been satisfied; therefore, there is no need for a mortgagor to consent to any variation in the priorities.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w:t>
      </w:r>
      <w:r>
        <w:rPr>
          <w:rFonts w:ascii="arial" w:eastAsia="arial" w:hAnsi="arial" w:cs="arial"/>
          <w:color w:val="000000"/>
          <w:sz w:val="20"/>
          <w:lang w:val="en-US" w:eastAsia="en-US" w:bidi="ar-SA"/>
        </w:rPr>
        <w:t>  Lord Browne-Wilkinson at the Privy Council agreed entirely with the reasoning of the Court of Appeal, but outlined that the Board also felt it desirable to shortly state their own reasons, given that there is no Commonwealth decision on point.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w:t>
      </w:r>
      <w:r>
        <w:rPr>
          <w:rFonts w:ascii="arial" w:eastAsia="arial" w:hAnsi="arial" w:cs="arial"/>
          <w:color w:val="000000"/>
          <w:sz w:val="20"/>
          <w:lang w:val="en-US" w:eastAsia="en-US" w:bidi="ar-SA"/>
        </w:rPr>
        <w:t>  He held that the question must be approached on the basis that mortgage 1 and mortgage 2 had remained vested in two separate mortgagees. The respondent, as holder of both mortgages, cannot be in a better position than the original mortgagees. Then the question he had to consider was whether two mortgagees can, without the consent of the mortgagor, agree to vary the priority of their mortgages. He found that in the ordinary case, the mortgagor is not affected by the order in which his debts are satisfied. He stated at 991:</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mortgagor is bound to satisfy all his secured debts before he can recover the mortgaged property. In the ordinary case priority of mortgages affects only the rights of mortgagees inter se, in particular where the security is inadequate to pay all the secured debts in full.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And further:</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Moreover, the mortgagor has no right to insist on the mortgagee pursuing one of his remedies rather than another. It is for the mortgagee to decide whether to rely on the personal covenant for payment, or to sell the security or to take possession of the mortgaged property.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w:t>
      </w:r>
      <w:r>
        <w:rPr>
          <w:rFonts w:ascii="arial" w:eastAsia="arial" w:hAnsi="arial" w:cs="arial"/>
          <w:color w:val="000000"/>
          <w:sz w:val="20"/>
          <w:lang w:val="en-US" w:eastAsia="en-US" w:bidi="ar-SA"/>
        </w:rPr>
        <w:t>  Thus, where there are two mortgages of the same property, the mortgagees can agree to alter the priority of their mortgages without the consent of the mortgagor, because the mortgagor's debt total and repayment obligations are not affected by the order in which his debts are satisfied. On foreclosure, he is bound to satisfy all secured debts before recovering the mortgaged property.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34</w:t>
      </w:r>
      <w:r>
        <w:rPr>
          <w:rFonts w:ascii="arial" w:eastAsia="arial" w:hAnsi="arial" w:cs="arial"/>
          <w:color w:val="000000"/>
          <w:sz w:val="20"/>
          <w:lang w:val="en-US" w:eastAsia="en-US" w:bidi="ar-SA"/>
        </w:rPr>
        <w:t>  Accordingly, the appellant Cheah was not entitled to insist that the proceeds of sale of the shares be applied in satisfaction of the first mortgage in priority to the second mortgage because, although the charge in the first mortgage was described as being a first charge, that was merely a description of the nature of the security which the debtor had given and it did not confer on the debtor a contractual right to insist on the satisfaction of his debts in any particular order. Impliedly, then, the variation in priorities does not result in a material change to the mortgage.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35</w:t>
      </w:r>
      <w:r>
        <w:rPr>
          <w:rFonts w:ascii="arial" w:eastAsia="arial" w:hAnsi="arial" w:cs="arial"/>
          <w:color w:val="000000"/>
          <w:sz w:val="20"/>
          <w:lang w:val="en-US" w:eastAsia="en-US" w:bidi="ar-SA"/>
        </w:rPr>
        <w:t>  As mentioned, the petitioners rely on Cheah as being determinative of the issue. While it is persuasive authority only, I find myself in agreement with the position advanced by the petitioners, namely, that Cheah is determinative of the issue in the case at bar. As in Cheah, here there are two mortgages of the same property; Mr. Gill granted a first mortgage over Lot 3 to CIBC, and later granted a second mortgage over Lot 3 to the Credit Union. As in Cheah, it makes no difference to the mortgagor, Mr. Gill, in which order the debts are satisfied, as he is bound to satisfy all his secured debts before he can recover the mortgaged property.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36</w:t>
      </w:r>
      <w:r>
        <w:rPr>
          <w:rFonts w:ascii="arial" w:eastAsia="arial" w:hAnsi="arial" w:cs="arial"/>
          <w:color w:val="000000"/>
          <w:sz w:val="20"/>
          <w:lang w:val="en-US" w:eastAsia="en-US" w:bidi="ar-SA"/>
        </w:rPr>
        <w:t>  Understandably, I think, the guarantor in this case had an expectation based on the initial priority of the mortgages that her guarantee would not be called upon. It was her understanding that there would always be enough equity in Lot 3 to satisfy the first mortgage.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37</w:t>
      </w:r>
      <w:r>
        <w:rPr>
          <w:rFonts w:ascii="arial" w:eastAsia="arial" w:hAnsi="arial" w:cs="arial"/>
          <w:color w:val="000000"/>
          <w:sz w:val="20"/>
          <w:lang w:val="en-US" w:eastAsia="en-US" w:bidi="ar-SA"/>
        </w:rPr>
        <w:t>  However, it is important to recollect the manner in which Mrs. Gill is bound. She is bound according to the proper meaning and effect of the written agreement that she entered into. Mrs. Gill was a co-covenantor of the CIBC loan. She provided a guarantee as security for the loan. By signing the guarantee with the principal debtor clause, she agreed to be liable for the loan to the amount of $240,000.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38</w:t>
      </w:r>
      <w:r>
        <w:rPr>
          <w:rFonts w:ascii="arial" w:eastAsia="arial" w:hAnsi="arial" w:cs="arial"/>
          <w:color w:val="000000"/>
          <w:sz w:val="20"/>
          <w:lang w:val="en-US" w:eastAsia="en-US" w:bidi="ar-SA"/>
        </w:rPr>
        <w:t>  As guarantor, Mrs. Gill moved into the position of the principal debtor. By doing so, she cannot have gained more rights than the original debtor or mortgagor. As a principal debtor, Mrs. Gill has no right to insist on the mortgagee pursuing one of his remedies, namely to take possession of Lot 3, rather than another, namely to rely on the personal covenant for payment. CIBC could have relied on Mrs. Gill's personal covenant to pay the loan at any time after default. The switch in priorities effectively kept alive the first loan allowing the Credit Union to profit from the better or more extensive securities.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39</w:t>
      </w:r>
      <w:r>
        <w:rPr>
          <w:rFonts w:ascii="arial" w:eastAsia="arial" w:hAnsi="arial" w:cs="arial"/>
          <w:color w:val="000000"/>
          <w:sz w:val="20"/>
          <w:lang w:val="en-US" w:eastAsia="en-US" w:bidi="ar-SA"/>
        </w:rPr>
        <w:t>  Ultimately then, while the variation in priorities does personally affect Mrs. Gill, it does not affect her legal position, as she was personally liable to satisfy the secured debt of the CIBC loan.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40</w:t>
      </w:r>
      <w:r>
        <w:rPr>
          <w:rFonts w:ascii="arial" w:eastAsia="arial" w:hAnsi="arial" w:cs="arial"/>
          <w:color w:val="000000"/>
          <w:sz w:val="20"/>
          <w:lang w:val="en-US" w:eastAsia="en-US" w:bidi="ar-SA"/>
        </w:rPr>
        <w:t>  For these reasons, I find that the Credit Union could switch the priorities of the mortgages and Mrs. Gill is not entitled to insist on the satisfaction of the debts in any particular order.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41</w:t>
      </w:r>
      <w:r>
        <w:rPr>
          <w:rFonts w:ascii="arial" w:eastAsia="arial" w:hAnsi="arial" w:cs="arial"/>
          <w:color w:val="000000"/>
          <w:sz w:val="20"/>
          <w:lang w:val="en-US" w:eastAsia="en-US" w:bidi="ar-SA"/>
        </w:rPr>
        <w:t>  I am also in agreement with Lord Browne-Wilkinson in Cheah, that there may be cases (for example where the successive mortgages carry differing rates of interest) where the mortgagor has a genuine interest in ensuring that the debts are satisfied in a particular order. As he also pointed out, in such a case it will be for the mortgagor to insist upon a specific contractual provision precluding the alteration of priorities.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Issue 2:</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42</w:t>
      </w:r>
      <w:r>
        <w:rPr>
          <w:rFonts w:ascii="arial" w:eastAsia="arial" w:hAnsi="arial" w:cs="arial"/>
          <w:color w:val="000000"/>
          <w:sz w:val="20"/>
          <w:lang w:val="en-US" w:eastAsia="en-US" w:bidi="ar-SA"/>
        </w:rPr>
        <w:t>  Mrs. Gill has also submitted that her guarantee should be void for lack of independent legal advice.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43</w:t>
      </w:r>
      <w:r>
        <w:rPr>
          <w:rFonts w:ascii="arial" w:eastAsia="arial" w:hAnsi="arial" w:cs="arial"/>
          <w:color w:val="000000"/>
          <w:sz w:val="20"/>
          <w:lang w:val="en-US" w:eastAsia="en-US" w:bidi="ar-SA"/>
        </w:rPr>
        <w:t>  As noted in the B.C. Mortgages Practice Manual (CLE Looseleaf, 2001 update) at para. 6.10, a prudent lender will insist on independent legal advice for any party (for example, guarantor) who does not derive benefit from the loan transaction. However, a lender must only take steps to ensure independent legal advice if there is evidence of wrongdoing or irregularity.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44</w:t>
      </w:r>
      <w:r>
        <w:rPr>
          <w:rFonts w:ascii="arial" w:eastAsia="arial" w:hAnsi="arial" w:cs="arial"/>
          <w:color w:val="000000"/>
          <w:sz w:val="20"/>
          <w:lang w:val="en-US" w:eastAsia="en-US" w:bidi="ar-SA"/>
        </w:rPr>
        <w:t>  This is discussed in the Law of Guarantee, 2d ed. (Scarborough, Ont.: Carswell, 1996) where Professor McGuinness establishes at para. 4.83 that the question of whether a proposed surety has received proper "independent" legal advice must be approached from two perspectives. First, what are the duties that are owed by a lawyer providing "independent" legal advice to a proposed surety? Second, in what circumstances is a prospective creditor entitled to assume that such advice has been given and received? In relation to these questions, McGuinness states at para. 4.83:</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A failure by a lawyer to provide proper advice to a prospective surety may well leave that solicitor open to a claim for professional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or for conflict of interest. Since there is no general legal requirement that a surety receive independent legal advice, it follows that except in cases where the creditor is aware or has notice of undue influence or some other vitiating factor requiring the provision of independent legal advice, the mere fact that the same lawyer acts for both the creditor and the surety is not in itself sufficient to entitle the surety to release from the guarantee.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45</w:t>
      </w:r>
      <w:r>
        <w:rPr>
          <w:rFonts w:ascii="arial" w:eastAsia="arial" w:hAnsi="arial" w:cs="arial"/>
          <w:color w:val="000000"/>
          <w:sz w:val="20"/>
          <w:lang w:val="en-US" w:eastAsia="en-US" w:bidi="ar-SA"/>
        </w:rPr>
        <w:t>  Mrs. Gill actually did meet with a solicitor before signing the guarantee; she met with her husband's solicitor Alan Nicol to sign the mortgage, guarantee and other documents. Mr. Gill then asked Mr. Nicol to also act for CIBC in executing the loan transaction.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46</w:t>
      </w:r>
      <w:r>
        <w:rPr>
          <w:rFonts w:ascii="arial" w:eastAsia="arial" w:hAnsi="arial" w:cs="arial"/>
          <w:color w:val="000000"/>
          <w:sz w:val="20"/>
          <w:lang w:val="en-US" w:eastAsia="en-US" w:bidi="ar-SA"/>
        </w:rPr>
        <w:t xml:space="preserve">  While it is possible that Mrs. Gill may have some type of a claim against the lawyer, for conflict of interest or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for example, the mere fact that she may be entitled to complain against the lawyer who advised her with respect to the guarantee does not in and of itself mean that the guarantee is unenforceable.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47</w:t>
      </w:r>
      <w:r>
        <w:rPr>
          <w:rFonts w:ascii="arial" w:eastAsia="arial" w:hAnsi="arial" w:cs="arial"/>
          <w:color w:val="000000"/>
          <w:sz w:val="20"/>
          <w:lang w:val="en-US" w:eastAsia="en-US" w:bidi="ar-SA"/>
        </w:rPr>
        <w:t xml:space="preserve">  In Canada, there is no automatic presumption of undue influence between a husband and a wife; rather, courts will examine the surrounding circumstances to determine if it was appropriate for the lender to recommend independent legal advice: see Duca Community Credit Union Ltd. v. Fulco Automotive Ltd. </w:t>
      </w:r>
      <w:hyperlink r:id="rId695" w:history="1">
        <w:r>
          <w:rPr>
            <w:rFonts w:ascii="arial" w:eastAsia="arial" w:hAnsi="arial" w:cs="arial"/>
            <w:i/>
            <w:color w:val="0077CC"/>
            <w:sz w:val="20"/>
            <w:u w:val="single"/>
            <w:shd w:val="clear" w:color="auto" w:fill="FFFFFF"/>
            <w:lang w:val="en-US" w:eastAsia="en-US" w:bidi="ar-SA"/>
          </w:rPr>
          <w:t>(1994), 71 O.A.C. 351</w:t>
        </w:r>
      </w:hyperlink>
      <w:r>
        <w:rPr>
          <w:rFonts w:ascii="arial" w:eastAsia="arial" w:hAnsi="arial" w:cs="arial"/>
          <w:color w:val="000000"/>
          <w:sz w:val="20"/>
          <w:lang w:val="en-US" w:eastAsia="en-US" w:bidi="ar-SA"/>
        </w:rPr>
        <w:t xml:space="preserve"> (Div. 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48</w:t>
      </w:r>
      <w:r>
        <w:rPr>
          <w:rFonts w:ascii="arial" w:eastAsia="arial" w:hAnsi="arial" w:cs="arial"/>
          <w:color w:val="000000"/>
          <w:sz w:val="20"/>
          <w:lang w:val="en-US" w:eastAsia="en-US" w:bidi="ar-SA"/>
        </w:rPr>
        <w:t>  I find that there was no evidence of any undue influence or wrongdoing by Mr. Gill to force Mrs. Gill to guarantee his business loans. Moreover, I find that Mrs. Gill did understand the nature of the guarantee she was signing. The evidence is that she decided to take a second mortgage on Lot 3 to provide herself with security for the guarantee. In the absence of evidence of undue influence or wrongdoing, I am unable to find that CIBC was required to question the lawyer's independence, and accordingly, I am unable to find that the guarantee should be set aside for lack of independent legal advice.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49</w:t>
      </w:r>
      <w:r>
        <w:rPr>
          <w:rFonts w:ascii="arial" w:eastAsia="arial" w:hAnsi="arial" w:cs="arial"/>
          <w:color w:val="000000"/>
          <w:sz w:val="20"/>
          <w:lang w:val="en-US" w:eastAsia="en-US" w:bidi="ar-SA"/>
        </w:rPr>
        <w:t>  Accordingly, the Petitioner's application to list and have conduct of sale of Mrs. Gill's home is granted. The Gill's cross application for a declaration that the first mortgage has been satisfied by payment is dismissed.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50</w:t>
      </w:r>
      <w:r>
        <w:rPr>
          <w:rFonts w:ascii="arial" w:eastAsia="arial" w:hAnsi="arial" w:cs="arial"/>
          <w:color w:val="000000"/>
          <w:sz w:val="20"/>
          <w:lang w:val="en-US" w:eastAsia="en-US" w:bidi="ar-SA"/>
        </w:rPr>
        <w:t>  The Petitioner is entitled to costs.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WONG J.</w:t>
      </w:r>
      <w:r>
        <w:rPr>
          <w:rFonts w:ascii="arial" w:eastAsia="arial" w:hAnsi="arial" w:cs="arial"/>
          <w:sz w:val="20"/>
          <w:lang w:val="en-US" w:eastAsia="en-US" w:bidi="ar-SA"/>
        </w:rPr>
        <w:cr/>
      </w:r>
    </w:p>
    <w:p>
      <w:pPr>
        <w:rPr>
          <w:rFonts w:ascii="arial" w:eastAsia="arial" w:hAnsi="arial" w:cs="arial"/>
          <w:sz w:val="20"/>
          <w:lang w:val="en-US" w:eastAsia="en-US" w:bidi="ar-SA"/>
        </w:rPr>
      </w:pPr>
    </w:p>
    <w:p>
      <w:pPr>
        <w:ind w:left="200"/>
        <w:rPr>
          <w:rFonts w:ascii="arial" w:eastAsia="arial" w:hAnsi="arial" w:cs="arial"/>
          <w:sz w:val="20"/>
          <w:lang w:val="en-US" w:eastAsia="en-US" w:bidi="ar-SA"/>
        </w:rPr>
        <w:sectPr>
          <w:type w:val="continuous"/>
          <w:pgMar w:top="840" w:right="1000" w:bottom="840" w:left="1000" w:header="400" w:footer="400"/>
          <w:pgNumType w:fmt="decimal"/>
          <w:cols w:space="720"/>
        </w:sectPr>
      </w:pPr>
      <w:r>
        <w:rPr>
          <w:rFonts w:ascii="arial" w:eastAsia="arial" w:hAnsi="arial" w:cs="arial"/>
          <w:sz w:val="20"/>
          <w:lang w:val="en-US" w:eastAsia="en-US" w:bidi="ar-SA"/>
        </w:rPr>
        <w:br/>
      </w:r>
      <w:r>
        <w:pict>
          <v:line id="_x0000_s1209" style="position:absolute;z-index:251848704" from="0,10pt" to="512pt,10pt" strokecolor="black" strokeweight="1pt">
            <v:stroke linestyle="single"/>
          </v:line>
        </w:pict>
      </w:r>
      <w:r>
        <w:rPr>
          <w:b/>
          <w:color w:val="767676"/>
          <w:sz w:val="16"/>
          <w:lang w:val="en-US" w:eastAsia="en-US" w:bidi="ar-SA"/>
        </w:rPr>
        <w:t>End of Document</w:t>
      </w:r>
    </w:p>
    <w:p>
      <w:pPr>
        <w:rPr>
          <w:rFonts w:ascii="arial" w:eastAsia="arial" w:hAnsi="arial" w:cs="arial"/>
          <w:sz w:val="20"/>
          <w:lang w:val="en-US" w:eastAsia="en-US" w:bidi="ar-SA"/>
        </w:rPr>
        <w:sectPr>
          <w:headerReference w:type="even" r:id="rId696"/>
          <w:headerReference w:type="default" r:id="rId697"/>
          <w:footerReference w:type="even" r:id="rId698"/>
          <w:footerReference w:type="default" r:id="rId699"/>
          <w:headerReference w:type="first" r:id="rId700"/>
          <w:footerReference w:type="first" r:id="rId701"/>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eastAsia="arial" w:hAnsi="Arial" w:cs="Arial"/>
          <w:b/>
          <w:bCs/>
          <w:kern w:val="32"/>
          <w:sz w:val="32"/>
          <w:szCs w:val="32"/>
          <w:lang w:val="en-US" w:eastAsia="en-US" w:bidi="ar-SA"/>
        </w:rPr>
      </w:pPr>
      <w:hyperlink r:id="rId702" w:history="1">
        <w:r>
          <w:rPr>
            <w:rFonts w:ascii="arial" w:eastAsia="arial" w:hAnsi="arial" w:cs="arial"/>
            <w:b/>
            <w:bCs/>
            <w:i/>
            <w:color w:val="0077CC"/>
            <w:kern w:val="32"/>
            <w:sz w:val="28"/>
            <w:szCs w:val="32"/>
            <w:u w:val="single"/>
            <w:shd w:val="clear" w:color="auto" w:fill="FFFFFF"/>
            <w:lang w:val="en-US" w:eastAsia="en-US" w:bidi="ar-SA"/>
          </w:rPr>
          <w:t>Velmi v. Pacific International Securities Inc., [2001] B.C.J. No. 994</w:t>
        </w:r>
      </w:hyperlink>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Judgments</w:t>
      </w:r>
    </w:p>
    <w:p>
      <w:pPr>
        <w:rPr>
          <w:rFonts w:ascii="arial" w:eastAsia="arial" w:hAnsi="arial" w:cs="arial"/>
          <w:sz w:val="20"/>
          <w:lang w:val="en-US" w:eastAsia="en-US" w:bidi="ar-SA"/>
        </w:rPr>
      </w:pP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Vancouver, British Columbia</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Master Donaldson (In Chambers)</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Heard: May 9, 2001.</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Judgment: May 14, 2001.</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Vancouver Registry No. C973207</w:t>
      </w:r>
    </w:p>
    <w:p>
      <w:pPr>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r>
        <w:rPr>
          <w:rFonts w:ascii="arial" w:eastAsia="arial" w:hAnsi="arial" w:cs="arial"/>
          <w:b/>
          <w:color w:val="000000"/>
          <w:sz w:val="20"/>
          <w:lang w:val="en-US" w:eastAsia="en-US" w:bidi="ar-SA"/>
        </w:rPr>
        <w:t>[2001] B.C.J. No. 994</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2001 BCSC 712</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105 A.C.W.S. (3d) 79</w:t>
      </w:r>
    </w:p>
    <w:p>
      <w:pPr>
        <w:spacing w:before="120" w:line="260" w:lineRule="atLeast"/>
        <w:rPr>
          <w:rFonts w:ascii="arial" w:eastAsia="arial" w:hAnsi="arial" w:cs="arial"/>
          <w:sz w:val="20"/>
          <w:lang w:val="en-US" w:eastAsia="en-US" w:bidi="ar-SA"/>
        </w:rPr>
      </w:pPr>
      <w:r>
        <w:rPr>
          <w:rFonts w:ascii="arial" w:eastAsia="arial" w:hAnsi="arial" w:cs="arial"/>
          <w:color w:val="000000"/>
          <w:sz w:val="20"/>
          <w:lang w:val="en-US" w:eastAsia="en-US" w:bidi="ar-SA"/>
        </w:rPr>
        <w:t>Between Farooq Rashid Velmi, plaintiff, and Pacific International Securities Inc., Akbar Hassanally and the Hongkong Bank of Canada, defendants</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(15 paras.)</w:t>
      </w:r>
    </w:p>
    <w:p>
      <w:pPr>
        <w:keepNext/>
        <w:spacing w:before="12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Case Summary</w:t>
      </w:r>
    </w:p>
    <w:p>
      <w:pPr>
        <w:spacing w:line="60" w:lineRule="exact"/>
        <w:rPr>
          <w:rFonts w:ascii="arial" w:eastAsia="arial" w:hAnsi="arial" w:cs="arial"/>
          <w:sz w:val="20"/>
          <w:lang w:val="en-US" w:eastAsia="en-US" w:bidi="ar-SA"/>
        </w:rPr>
      </w:pPr>
      <w:r>
        <w:pict>
          <v:line id="_x0000_s1210" style="position:absolute;z-index:251698176"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bookmarkStart w:id="245" w:name="Keywords_37"/>
      <w:bookmarkEnd w:id="245"/>
      <w:r>
        <w:rPr>
          <w:rFonts w:ascii="arial" w:eastAsia="arial" w:hAnsi="arial" w:cs="arial"/>
          <w:b/>
          <w:color w:val="000000"/>
          <w:sz w:val="20"/>
          <w:lang w:val="en-US" w:eastAsia="en-US" w:bidi="ar-SA"/>
        </w:rPr>
        <w:t>Practice — Dismissal of action — Bars — Application or motion for dismissal — Pleadings — Striking out pleadings — Grounds — Grounds — Bars, issues to be tried.</w:t>
      </w:r>
    </w:p>
    <w:p>
      <w:pPr>
        <w:rPr>
          <w:rFonts w:ascii="arial" w:eastAsia="arial" w:hAnsi="arial" w:cs="arial"/>
          <w:sz w:val="20"/>
          <w:lang w:val="en-US" w:eastAsia="en-US" w:bidi="ar-SA"/>
        </w:rPr>
      </w:pPr>
    </w:p>
    <w:tbl>
      <w:tblPr>
        <w:tblStyle w:val="TableNormal"/>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
      <w:tblGrid>
        <w:gridCol w:w="10225"/>
      </w:tblGrid>
      <w:tr>
        <w:tblPrEx>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Ex>
        <w:tc>
          <w:tcPr/>
          <w:p>
            <w:pPr>
              <w:rPr>
                <w:rFonts w:ascii="arial" w:eastAsia="arial" w:hAnsi="arial" w:cs="arial"/>
                <w:sz w:val="20"/>
                <w:lang w:val="en-US" w:eastAsia="en-US" w:bidi="ar-SA"/>
              </w:rPr>
            </w:pPr>
            <w:bookmarkStart w:id="246" w:name="Case Summary_35"/>
            <w:bookmarkEnd w:id="246"/>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Application by the defendant, Pacific International Securities, for a judgment dismissing Velmi's claim in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breach of contract, breach of fiduciary duty, and punitive and exemplary damages. Velmi claimed that he requested that Hassanally, Pacific's employee, sell shares Velmi owned in MTC. Hassanally sold one-third of the shares and informed Velmi that the balance could not be sold for two to two-and-a-half years. Velmi contended that Hassanally then converted the shares to his own use and profit. Velmi managed to recover the immediate value of the shares from the Hong Kong Bank. Pacific contended, therefore, that there was no remaining basis for his claim. </w:t>
            </w:r>
            <w:r>
              <w:rPr>
                <w:rFonts w:ascii="arial" w:eastAsia="arial" w:hAnsi="arial" w:cs="arial"/>
                <w:sz w:val="20"/>
                <w:lang w:val="en-US" w:eastAsia="en-US" w:bidi="ar-SA"/>
              </w:rPr>
              <w:cr/>
            </w:r>
          </w:p>
          <w:p>
            <w:pPr>
              <w:spacing w:before="120" w:line="260" w:lineRule="atLeast"/>
              <w:ind w:left="240"/>
              <w:jc w:val="both"/>
              <w:rPr>
                <w:rFonts w:ascii="arial" w:eastAsia="arial" w:hAnsi="arial" w:cs="arial"/>
                <w:sz w:val="20"/>
                <w:lang w:val="en-US" w:eastAsia="en-US" w:bidi="ar-SA"/>
              </w:rPr>
            </w:pPr>
            <w:bookmarkStart w:id="247" w:name="Holdings of Court_29"/>
            <w:bookmarkEnd w:id="247"/>
            <w:r>
              <w:rPr>
                <w:rFonts w:ascii="arial" w:eastAsia="arial" w:hAnsi="arial" w:cs="arial"/>
                <w:color w:val="000000"/>
                <w:sz w:val="20"/>
                <w:lang w:val="en-US" w:eastAsia="en-US" w:bidi="ar-SA"/>
              </w:rPr>
              <w:t>HELD: Application allowed in part; Velmi's claim was dismissed to the extent that he sought compensatory damages.</w:t>
            </w:r>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The claim for punitive and exemplary damages stood pending trial, as did Velmi's claim that he should receive payment for his shares as valued at a later date. It was not for a judge or master in chambers to determine whether a claim for punitive or exemplary damages was bound to fail. Velmi had raised triable issue on the non- compensatory damages. </w:t>
            </w:r>
            <w:r>
              <w:rPr>
                <w:rFonts w:ascii="arial" w:eastAsia="arial" w:hAnsi="arial" w:cs="arial"/>
                <w:sz w:val="20"/>
                <w:lang w:val="en-US" w:eastAsia="en-US" w:bidi="ar-SA"/>
              </w:rPr>
              <w:cr/>
            </w:r>
          </w:p>
          <w:p>
            <w:pPr>
              <w:rPr>
                <w:rFonts w:ascii="arial" w:eastAsia="arial" w:hAnsi="arial" w:cs="arial"/>
                <w:sz w:val="20"/>
                <w:lang w:val="en-US" w:eastAsia="en-US" w:bidi="ar-SA"/>
              </w:rPr>
            </w:pPr>
          </w:p>
        </w:tc>
      </w:tr>
    </w:tbl>
    <w:p>
      <w:pPr>
        <w:jc w:val="both"/>
        <w:rPr>
          <w:rFonts w:ascii="arial" w:eastAsia="arial" w:hAnsi="arial" w:cs="arial"/>
          <w:sz w:val="20"/>
          <w:lang w:val="en-US" w:eastAsia="en-US" w:bidi="ar-SA"/>
        </w:rPr>
      </w:pPr>
      <w:bookmarkStart w:id="248" w:name="Legislation Cited_25"/>
      <w:bookmarkEnd w:id="248"/>
      <w:r>
        <w:rPr>
          <w:rFonts w:ascii="arial" w:eastAsia="arial" w:hAnsi="arial" w:cs="arial"/>
          <w:sz w:val="20"/>
          <w:lang w:val="en-US" w:eastAsia="en-US" w:bidi="ar-SA"/>
        </w:rPr>
        <w:br/>
      </w:r>
    </w:p>
    <w:p>
      <w:pPr>
        <w:keepNext/>
        <w:spacing w:before="24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Statutes, Regulations and Rules Cited:</w:t>
      </w:r>
    </w:p>
    <w:p>
      <w:pPr>
        <w:spacing w:line="60" w:lineRule="exact"/>
        <w:rPr>
          <w:rFonts w:ascii="arial" w:eastAsia="arial" w:hAnsi="arial" w:cs="arial"/>
          <w:sz w:val="20"/>
          <w:lang w:val="en-US" w:eastAsia="en-US" w:bidi="ar-SA"/>
        </w:rPr>
      </w:pPr>
      <w:r>
        <w:pict>
          <v:line id="_x0000_s1211" style="position:absolute;z-index:251749376"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 Rules, Rules 18, 19(22), 19(24), 31(6).</w:t>
      </w:r>
      <w:r>
        <w:rPr>
          <w:rFonts w:ascii="arial" w:eastAsia="arial" w:hAnsi="arial" w:cs="arial"/>
          <w:sz w:val="20"/>
          <w:lang w:val="en-US" w:eastAsia="en-US" w:bidi="ar-SA"/>
        </w:rPr>
        <w:cr/>
      </w:r>
    </w:p>
    <w:p>
      <w:pPr>
        <w:keepNext/>
        <w:spacing w:before="240" w:line="340" w:lineRule="atLeast"/>
        <w:rPr>
          <w:rFonts w:ascii="arial" w:eastAsia="arial" w:hAnsi="arial" w:cs="arial"/>
          <w:sz w:val="20"/>
          <w:lang w:val="en-US" w:eastAsia="en-US" w:bidi="ar-SA"/>
        </w:rPr>
      </w:pPr>
      <w:bookmarkStart w:id="249" w:name="Counsel_37"/>
      <w:bookmarkEnd w:id="249"/>
      <w:r>
        <w:rPr>
          <w:rFonts w:ascii="arial" w:eastAsia="arial" w:hAnsi="arial" w:cs="arial"/>
          <w:b/>
          <w:color w:val="000000"/>
          <w:sz w:val="28"/>
          <w:lang w:val="en-US" w:eastAsia="en-US" w:bidi="ar-SA"/>
        </w:rPr>
        <w:t>Counsel</w:t>
      </w:r>
    </w:p>
    <w:p>
      <w:pPr>
        <w:spacing w:line="60" w:lineRule="exact"/>
        <w:rPr>
          <w:rFonts w:ascii="arial" w:eastAsia="arial" w:hAnsi="arial" w:cs="arial"/>
          <w:sz w:val="20"/>
          <w:lang w:val="en-US" w:eastAsia="en-US" w:bidi="ar-SA"/>
        </w:rPr>
      </w:pPr>
      <w:r>
        <w:pict>
          <v:line id="_x0000_s1212" style="position:absolute;z-index:251800576"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A.E. Farber, for the plaintiff. B.G. Baynham, Q.C., for the defendants.</w:t>
      </w:r>
      <w:r>
        <w:rPr>
          <w:rFonts w:ascii="arial" w:eastAsia="arial" w:hAnsi="arial" w:cs="arial"/>
          <w:sz w:val="20"/>
          <w:lang w:val="en-US" w:eastAsia="en-US" w:bidi="ar-SA"/>
        </w:rPr>
        <w:cr/>
      </w:r>
    </w:p>
    <w:p>
      <w:pPr>
        <w:spacing w:after="240"/>
        <w:rPr>
          <w:rFonts w:ascii="arial" w:eastAsia="arial" w:hAnsi="arial" w:cs="arial"/>
          <w:sz w:val="20"/>
          <w:lang w:val="en-US" w:eastAsia="en-US" w:bidi="ar-SA"/>
        </w:rPr>
      </w:pPr>
      <w:bookmarkStart w:id="250" w:name="Judgment_38"/>
      <w:bookmarkEnd w:id="250"/>
      <w:r>
        <w:pict>
          <v:line id="_x0000_s1213" style="position:absolute;z-index:251849728" from="0,12pt" to="512pt,12pt" strokecolor="#009ddb" strokeweight="1.5pt">
            <v:stroke linestyle="single"/>
          </v:line>
        </w:pict>
      </w:r>
    </w:p>
    <w:p>
      <w:pPr>
        <w:rPr>
          <w:rFonts w:ascii="arial" w:eastAsia="arial" w:hAnsi="arial" w:cs="arial"/>
          <w:sz w:val="20"/>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3553"/>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rFonts w:ascii="arial" w:eastAsia="arial" w:hAnsi="arial" w:cs="arial"/>
                <w:sz w:val="20"/>
                <w:lang w:val="en-US" w:eastAsia="en-US" w:bidi="ar-SA"/>
              </w:rPr>
            </w:pPr>
            <w:bookmarkStart w:id="251" w:name="MASTER DONALDSON"/>
            <w:bookmarkEnd w:id="251"/>
            <w:r>
              <w:rPr>
                <w:rFonts w:ascii="arial" w:eastAsia="arial" w:hAnsi="arial" w:cs="arial"/>
                <w:b/>
                <w:color w:val="000000"/>
                <w:sz w:val="30"/>
                <w:lang w:val="en-US" w:eastAsia="en-US" w:bidi="ar-SA"/>
              </w:rPr>
              <w:t>MASTER DONALDSON</w:t>
            </w:r>
          </w:p>
        </w:tc>
      </w:tr>
    </w:tbl>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Application is brought on behalf of the defendant Pacific International Securities Inc., for judgment that the claim of the plaintiff be dismissed with cause, pursuant of Rules 18, 19(22), and 31(6).</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The plaintiff became the owner of 250,000 MTC shares on or about the 16th of May 1991. The plaintiff requested of the defendant Hassanally, an employee of the defendant Pacific, that the shares be sold. Approximately one third of the shares were sold and the proceeds from the sale forwarded to the plaintiff. It is alleged the plaintiff was informed by Hassanally, that only one third of the shares could be sold, and the others must be held for a period from two to two and one half years. In fact, Hassanally sold the balance of the shares in June of 1991, and the proceeds of sale were converted, it is alleged, to the personal use of Hassanally.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As a result of what is alleged to have been forged endorsements on cheques made payable to the plaintiff, the Hong Kong Bank has reimbursed the plaintiff for some $287,413.65 US dollars, together with interest pursuant to the provisions of the Court Order Interest Act, in approximate amount of $185,000.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It is contended on the part of the defendant Pacific, there are no damages as the plaintiff has received full compensation by way of payment from the Hong Kong Bank.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xml:space="preserve">  The claim for damages as against the defendant Pacific, are in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breach of contract, and breach of fiduciary duty and breach of trust. It is contended the plaintiff is entitled to punitive and exemplary damages as a result of Pacific's failure to properly supervise Hassanally, failure to ensure cheques drawn in favour of the plaintiff were not delivered to him, and by reason that upon being notified of the fraudulent acts alleged, Pacific refused to cooperate with the plaintiff.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Rule 18 provides as follows: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18(6) In an action in which an appearance has been entered, the defendant may, on the grounds that there is no merit in the whole or part of the claim, apply to the court for judgment on an affidavit setting out the facts verifying the defendant's contention that there is no merit in the whole or part of the claim and stating that the depondant knows of no facts which would substantiate the whole or part of the claim.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Rule 19(24) states: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At any stage of a proceeding the court may order to be struck out or amended the whole or any part of an endorsement, pleading, petition or other document on the ground that,</w:t>
      </w:r>
    </w:p>
    <w:p>
      <w:pPr>
        <w:numPr>
          <w:numId w:val="10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it discloses no reasonable claim or defence as the case may be.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So far as Rule 18 is concerned, it is clear on the authorities that the function of a judge or master hearing a chambers application pursuant to Rule 18, is to determine whether or not a bona fide triable issue arises on the material, or in the context applicable law. Here it is contended on the part of the defendant, that the statement of claim sets out the plaintiff directed the shares should be sold, and the proceeds should be remitted to him (paragraph 12). It is also pointed out he states Hassanally to be his agent. It must also be pointed out the plaintiff is contends Hassanally was an agent defendant Pacific, and that Pacific is vicariously liable to the plaintiff for the actions of Hassanally. It is contended on the part of defendant that as the plaintiff received full value for his shares, albeit from the Hong Kong Bank, he is therefore fully compensated and there cannot be damages awarded in his favour against Pacific.</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xml:space="preserve">  There is a claim for breach of trust and fiduciary duty (paragraph 32), and breach of trust. The plaintiff states he is entitled to the value of shares and additional damages, amounting to the highest value reached by the shares, plus punitive and exemplary damages. Authority for this is found in Cash v. Georgia Pacific Securities Corp. </w:t>
      </w:r>
      <w:hyperlink r:id="rId703" w:history="1">
        <w:r>
          <w:rPr>
            <w:rFonts w:ascii="arial" w:eastAsia="arial" w:hAnsi="arial" w:cs="arial"/>
            <w:i/>
            <w:color w:val="0077CC"/>
            <w:sz w:val="20"/>
            <w:u w:val="single"/>
            <w:shd w:val="clear" w:color="auto" w:fill="FFFFFF"/>
            <w:lang w:val="en-US" w:eastAsia="en-US" w:bidi="ar-SA"/>
          </w:rPr>
          <w:t>[1990] B.C.J. No. 1315</w:t>
        </w:r>
      </w:hyperlink>
      <w:r>
        <w:rPr>
          <w:rFonts w:ascii="arial" w:eastAsia="arial" w:hAnsi="arial" w:cs="arial"/>
          <w:color w:val="000000"/>
          <w:sz w:val="20"/>
          <w:lang w:val="en-US" w:eastAsia="en-US" w:bidi="ar-SA"/>
        </w:rPr>
        <w:t xml:space="preserve"> (BCSC), reference there at page 18, being to Alexander McNeil v. William F. Fultz et al </w:t>
      </w:r>
      <w:hyperlink r:id="rId704" w:history="1">
        <w:r>
          <w:rPr>
            <w:rFonts w:ascii="arial" w:eastAsia="arial" w:hAnsi="arial" w:cs="arial"/>
            <w:i/>
            <w:color w:val="0077CC"/>
            <w:sz w:val="20"/>
            <w:u w:val="single"/>
            <w:shd w:val="clear" w:color="auto" w:fill="FFFFFF"/>
            <w:lang w:val="en-US" w:eastAsia="en-US" w:bidi="ar-SA"/>
          </w:rPr>
          <w:t>(1906), 38 S.C.R. 198</w:t>
        </w:r>
      </w:hyperlink>
      <w:r>
        <w:rPr>
          <w:rFonts w:ascii="arial" w:eastAsia="arial" w:hAnsi="arial" w:cs="arial"/>
          <w:color w:val="000000"/>
          <w:sz w:val="20"/>
          <w:lang w:val="en-US" w:eastAsia="en-US" w:bidi="ar-SA"/>
        </w:rPr>
        <w:t>. It should be noted however that at page 19, of Cash, Madame Justice Prowse states,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In my view the courts should not award the highest value in circumstances where the plaintiff himself states that he would have sold at lessor value.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Here of course it is contended on the part of the defendant that the plaintiff directed that the shares be sold in May of 1991, and therefore cannot be held to be entitled to a sum greater than the value at that time. The facts as contended by the plaintiff however are, that he was informed by Hassanally, that the shares could not be sold for two to two and one half years, and that based upon this misrepresentation, he should therefore be entitled to greater compensation than the value of the shares as at May of 1991.</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xml:space="preserve">  Counsel for the defendant, contends that pursuant to the decision of the Supreme Court of Canada in Vorvis v. ICBC, </w:t>
      </w:r>
      <w:hyperlink r:id="rId705" w:history="1">
        <w:r>
          <w:rPr>
            <w:rFonts w:ascii="arial" w:eastAsia="arial" w:hAnsi="arial" w:cs="arial"/>
            <w:i/>
            <w:color w:val="0077CC"/>
            <w:sz w:val="20"/>
            <w:u w:val="single"/>
            <w:shd w:val="clear" w:color="auto" w:fill="FFFFFF"/>
            <w:lang w:val="en-US" w:eastAsia="en-US" w:bidi="ar-SA"/>
          </w:rPr>
          <w:t>[1989] 1 S.C.R. 1085</w:t>
        </w:r>
      </w:hyperlink>
      <w:r>
        <w:rPr>
          <w:rFonts w:ascii="arial" w:eastAsia="arial" w:hAnsi="arial" w:cs="arial"/>
          <w:color w:val="000000"/>
          <w:sz w:val="20"/>
          <w:lang w:val="en-US" w:eastAsia="en-US" w:bidi="ar-SA"/>
        </w:rPr>
        <w:t>, there is no likelihood that punitive damages can be awarded, as there is an absence of the type of conduct which would be so deserving of punishment, that such damages could be awarded. That is to say, harsh, vindictive, reprehensible and malicious conduct, conduct extreme in its nature, that by any reasonable standard it is deserving of full condemnation and punishment. See page 1107-1108.</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I have concluded that it is not for a judge or master in chambers to determine whether or not a claim for punitive or exemplary damages is bound to fail. The test is whether or not there is a bona fide triable issue, and I can only conclude that so far as the claim for punitive and exemplary damages is concerned; such an issue is raised in the statement of claim.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Insofar as there is a claim made by the plaintiff for compensatory damages, such a claim must be dismissed as the plaintiff has received full compensation so far as the sale of the shares is concerned. This does not impair the plaintiff's claim that it is entitled to damages based upon the shares highest value as a result of the breach of trust. ie. The "McNeil" approach.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Counsel on behalf of the plaintiff contended the material in support of the motion, that is to say the affidavit of Mr. Thomas is flawed, in that it is an affidavit on information and belief. It is contended pursuant to the provisions of Rule 51(10), as what is sought, is a final order, only an affidavit based upon personal knowledge can be used. I am satisfied that the contents of the affidavit of Mr. Thomas falls within the ambit of evidence which would be admissible at trial, that is to say, evidence of business records.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Thus, the claim of the plaintiff for compensatory damages is dismissed. The claims of the plaintiff in all other respects will continue.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w:t>
      </w:r>
      <w:r>
        <w:rPr>
          <w:rFonts w:ascii="arial" w:eastAsia="arial" w:hAnsi="arial" w:cs="arial"/>
          <w:color w:val="000000"/>
          <w:sz w:val="20"/>
          <w:lang w:val="en-US" w:eastAsia="en-US" w:bidi="ar-SA"/>
        </w:rPr>
        <w:t>  As success has been divided each party will bear their own costs.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MASTER DONALDSON</w:t>
      </w:r>
      <w:r>
        <w:rPr>
          <w:rFonts w:ascii="arial" w:eastAsia="arial" w:hAnsi="arial" w:cs="arial"/>
          <w:sz w:val="20"/>
          <w:lang w:val="en-US" w:eastAsia="en-US" w:bidi="ar-SA"/>
        </w:rPr>
        <w:cr/>
      </w:r>
    </w:p>
    <w:p>
      <w:pPr>
        <w:rPr>
          <w:rFonts w:ascii="arial" w:eastAsia="arial" w:hAnsi="arial" w:cs="arial"/>
          <w:sz w:val="20"/>
          <w:lang w:val="en-US" w:eastAsia="en-US" w:bidi="ar-SA"/>
        </w:rPr>
      </w:pPr>
    </w:p>
    <w:p>
      <w:pPr>
        <w:ind w:left="200"/>
        <w:rPr>
          <w:rFonts w:ascii="arial" w:eastAsia="arial" w:hAnsi="arial" w:cs="arial"/>
          <w:sz w:val="20"/>
          <w:lang w:val="en-US" w:eastAsia="en-US" w:bidi="ar-SA"/>
        </w:rPr>
        <w:sectPr>
          <w:type w:val="continuous"/>
          <w:pgMar w:top="840" w:right="1000" w:bottom="840" w:left="1000" w:header="400" w:footer="400"/>
          <w:pgNumType w:fmt="decimal"/>
          <w:cols w:space="720"/>
        </w:sectPr>
      </w:pPr>
      <w:r>
        <w:rPr>
          <w:rFonts w:ascii="arial" w:eastAsia="arial" w:hAnsi="arial" w:cs="arial"/>
          <w:sz w:val="20"/>
          <w:lang w:val="en-US" w:eastAsia="en-US" w:bidi="ar-SA"/>
        </w:rPr>
        <w:br/>
      </w:r>
      <w:r>
        <w:pict>
          <v:line id="_x0000_s1214" style="position:absolute;z-index:251887616" from="0,10pt" to="512pt,10pt" strokecolor="black" strokeweight="1pt">
            <v:stroke linestyle="single"/>
          </v:line>
        </w:pict>
      </w:r>
      <w:r>
        <w:rPr>
          <w:b/>
          <w:color w:val="767676"/>
          <w:sz w:val="16"/>
          <w:lang w:val="en-US" w:eastAsia="en-US" w:bidi="ar-SA"/>
        </w:rPr>
        <w:t>End of Document</w:t>
      </w:r>
    </w:p>
    <w:p>
      <w:pPr>
        <w:rPr>
          <w:rFonts w:ascii="arial" w:eastAsia="arial" w:hAnsi="arial" w:cs="arial"/>
          <w:sz w:val="20"/>
          <w:lang w:val="en-US" w:eastAsia="en-US" w:bidi="ar-SA"/>
        </w:rPr>
        <w:sectPr>
          <w:headerReference w:type="even" r:id="rId706"/>
          <w:headerReference w:type="default" r:id="rId707"/>
          <w:footerReference w:type="even" r:id="rId708"/>
          <w:footerReference w:type="default" r:id="rId709"/>
          <w:headerReference w:type="first" r:id="rId710"/>
          <w:footerReference w:type="first" r:id="rId711"/>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eastAsia="arial" w:hAnsi="Arial" w:cs="Arial"/>
          <w:b/>
          <w:bCs/>
          <w:kern w:val="32"/>
          <w:sz w:val="32"/>
          <w:szCs w:val="32"/>
          <w:lang w:val="en-US" w:eastAsia="en-US" w:bidi="ar-SA"/>
        </w:rPr>
      </w:pPr>
      <w:hyperlink r:id="rId712" w:history="1">
        <w:r>
          <w:rPr>
            <w:rFonts w:ascii="arial" w:eastAsia="arial" w:hAnsi="arial" w:cs="arial"/>
            <w:b/>
            <w:bCs/>
            <w:i/>
            <w:color w:val="0077CC"/>
            <w:kern w:val="32"/>
            <w:sz w:val="28"/>
            <w:szCs w:val="32"/>
            <w:u w:val="single"/>
            <w:shd w:val="clear" w:color="auto" w:fill="FFFFFF"/>
            <w:lang w:val="en-US" w:eastAsia="en-US" w:bidi="ar-SA"/>
          </w:rPr>
          <w:t>Ward v. Smith, [2001] B.C.J. No. 2371</w:t>
        </w:r>
      </w:hyperlink>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Judgments</w:t>
      </w:r>
    </w:p>
    <w:p>
      <w:pPr>
        <w:rPr>
          <w:rFonts w:ascii="arial" w:eastAsia="arial" w:hAnsi="arial" w:cs="arial"/>
          <w:sz w:val="20"/>
          <w:lang w:val="en-US" w:eastAsia="en-US" w:bidi="ar-SA"/>
        </w:rPr>
      </w:pP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Golden, British Columbia</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Melnick J.</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Heard: February 28, March 1, 2 and October 5, 2001.</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Judgment: October 24, 2001.</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Golden Registry No. 2303</w:t>
      </w:r>
    </w:p>
    <w:p>
      <w:pPr>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r>
        <w:rPr>
          <w:rFonts w:ascii="arial" w:eastAsia="arial" w:hAnsi="arial" w:cs="arial"/>
          <w:b/>
          <w:color w:val="000000"/>
          <w:sz w:val="20"/>
          <w:lang w:val="en-US" w:eastAsia="en-US" w:bidi="ar-SA"/>
        </w:rPr>
        <w:t>[2001] B.C.J. No. 2371</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2001 BCSC 1366</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45 R.P.R. (3d) 154</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109 A.C.W.S. (3d) 999</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[2001] B.C.T.C. 1366</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2001 CarswellBC 2542</w:t>
      </w:r>
    </w:p>
    <w:p>
      <w:pPr>
        <w:spacing w:before="120" w:line="260" w:lineRule="atLeast"/>
        <w:rPr>
          <w:rFonts w:ascii="arial" w:eastAsia="arial" w:hAnsi="arial" w:cs="arial"/>
          <w:sz w:val="20"/>
          <w:lang w:val="en-US" w:eastAsia="en-US" w:bidi="ar-SA"/>
        </w:rPr>
      </w:pPr>
      <w:r>
        <w:rPr>
          <w:rFonts w:ascii="arial" w:eastAsia="arial" w:hAnsi="arial" w:cs="arial"/>
          <w:color w:val="000000"/>
          <w:sz w:val="20"/>
          <w:lang w:val="en-US" w:eastAsia="en-US" w:bidi="ar-SA"/>
        </w:rPr>
        <w:t>Between Matthew Eric Ward and Carey Suzanne Diggon, plaintiffs, and Kenneth James Smith and Viola Lillian Smith, defendants</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(57 paras.)</w:t>
      </w:r>
    </w:p>
    <w:p>
      <w:pPr>
        <w:keepNext/>
        <w:spacing w:before="12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Case Summary</w:t>
      </w:r>
    </w:p>
    <w:p>
      <w:pPr>
        <w:spacing w:line="60" w:lineRule="exact"/>
        <w:rPr>
          <w:rFonts w:ascii="arial" w:eastAsia="arial" w:hAnsi="arial" w:cs="arial"/>
          <w:sz w:val="20"/>
          <w:lang w:val="en-US" w:eastAsia="en-US" w:bidi="ar-SA"/>
        </w:rPr>
      </w:pPr>
      <w:r>
        <w:pict>
          <v:line id="_x0000_s1215" style="position:absolute;z-index:251699200"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bookmarkStart w:id="252" w:name="Keywords_38"/>
      <w:bookmarkEnd w:id="252"/>
      <w:r>
        <w:rPr>
          <w:rFonts w:ascii="arial" w:eastAsia="arial" w:hAnsi="arial" w:cs="arial"/>
          <w:b/>
          <w:color w:val="000000"/>
          <w:sz w:val="20"/>
          <w:lang w:val="en-US" w:eastAsia="en-US" w:bidi="ar-SA"/>
        </w:rPr>
        <w:t>Contracts — Terms — Representations — What constitutes a representation — Fraud and misrepresentation — Fraudulent misrepresentation — What constitutes fraud — Remedies — Damages.</w:t>
      </w:r>
    </w:p>
    <w:p>
      <w:pPr>
        <w:rPr>
          <w:rFonts w:ascii="arial" w:eastAsia="arial" w:hAnsi="arial" w:cs="arial"/>
          <w:sz w:val="20"/>
          <w:lang w:val="en-US" w:eastAsia="en-US" w:bidi="ar-SA"/>
        </w:rPr>
      </w:pPr>
    </w:p>
    <w:tbl>
      <w:tblPr>
        <w:tblStyle w:val="TableNormal"/>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
      <w:tblGrid>
        <w:gridCol w:w="10225"/>
      </w:tblGrid>
      <w:tr>
        <w:tblPrEx>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Ex>
        <w:tc>
          <w:tcPr/>
          <w:p>
            <w:pPr>
              <w:rPr>
                <w:rFonts w:ascii="arial" w:eastAsia="arial" w:hAnsi="arial" w:cs="arial"/>
                <w:sz w:val="20"/>
                <w:lang w:val="en-US" w:eastAsia="en-US" w:bidi="ar-SA"/>
              </w:rPr>
            </w:pPr>
            <w:bookmarkStart w:id="253" w:name="Case Summary_36"/>
            <w:bookmarkEnd w:id="253"/>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Action by the purchasers Ward and Diggon against the vendors Kenneth and Viola Smith for damages arising from their misrepresentations about the quality and quantity of water available from the well on the residential property they purchased from them. When the purchasers and their two young children took possession of the property, Ward noticed that the tap water had a yellow appearance. He found an envelop containing documents and manuals relating to certain appliances and equipment installed in the residence, such as a water softener, an iron filter and a sediment filter. A document recorded that the vendors had paid for a shock treatment of the well and filters for the sediment filter. The document also recorded that there had been free installation of a reverse osmosis system and prepayment of three month's rent. By December, Ward noticed that their water continued to appear yellow and began to decrease. By Christmas Day, the supply of water ceased all together. Ward was able to get a plumber and with his assistance he discovered sediment filters on the water line in the basement that were clogged with fine silt originating from the well. By early January, Ward was cleaning out the sediment filters every day. In March, Ward decided to remove the sediment filters which proved to be unwise because the silt ultimately damaged the appliances. The purchasers acknowledged that they received and read a signed copy of the disclosure statement from the vendors. Though it was open to them to do so, the purchasers did not carry out any independent inspection of the well or the water treatment system located in the residence nor did they take any step to evaluate either the quantity or quality of water available from the well. They instead relied totally on the representation made by the vendors in the property condition disclosure statement that the well produced water at ten gallons per minute. The vendors denied any misrepresentation, claiming the water supply was adequate for domestic purposes. They argued that the damages the purchasers might have suffered were due to their own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in failing to properly maintain the water filtration and treatment system. </w:t>
            </w:r>
            <w:r>
              <w:rPr>
                <w:rFonts w:ascii="arial" w:eastAsia="arial" w:hAnsi="arial" w:cs="arial"/>
                <w:sz w:val="20"/>
                <w:lang w:val="en-US" w:eastAsia="en-US" w:bidi="ar-SA"/>
              </w:rPr>
              <w:cr/>
            </w:r>
          </w:p>
          <w:p>
            <w:pPr>
              <w:spacing w:before="120" w:line="260" w:lineRule="atLeast"/>
              <w:ind w:left="240"/>
              <w:jc w:val="both"/>
              <w:rPr>
                <w:rFonts w:ascii="arial" w:eastAsia="arial" w:hAnsi="arial" w:cs="arial"/>
                <w:sz w:val="20"/>
                <w:lang w:val="en-US" w:eastAsia="en-US" w:bidi="ar-SA"/>
              </w:rPr>
            </w:pPr>
            <w:bookmarkStart w:id="254" w:name="Holdings of Court_30"/>
            <w:bookmarkEnd w:id="254"/>
            <w:r>
              <w:rPr>
                <w:rFonts w:ascii="arial" w:eastAsia="arial" w:hAnsi="arial" w:cs="arial"/>
                <w:color w:val="000000"/>
                <w:sz w:val="20"/>
                <w:lang w:val="en-US" w:eastAsia="en-US" w:bidi="ar-SA"/>
              </w:rPr>
              <w:t>HELD: Action allowed in part, the vendors were ordered to pay $5,000 for general damages and $34,474 for special damages.</w:t>
            </w:r>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The property condition disclosure statement that was incorporated into the contract of purchase and sale was a representation upon which the purchasers relied insofar as it stated that the well was capable of producing 10 gallons of water per minute. It was not unreasonable for the purchasers to assume that they would not have any problems with the water. The vendors knew that they had a problem with the quality of their well water because of silt. Their statement constituted a misrepresentation, but it was not fraudulent. The purchasers were thus entitled to be compensated for damages that were reasonably foreseeable as a consequence of it. </w:t>
            </w:r>
            <w:r>
              <w:rPr>
                <w:rFonts w:ascii="arial" w:eastAsia="arial" w:hAnsi="arial" w:cs="arial"/>
                <w:sz w:val="20"/>
                <w:lang w:val="en-US" w:eastAsia="en-US" w:bidi="ar-SA"/>
              </w:rPr>
              <w:cr/>
            </w:r>
          </w:p>
          <w:p>
            <w:pPr>
              <w:rPr>
                <w:rFonts w:ascii="arial" w:eastAsia="arial" w:hAnsi="arial" w:cs="arial"/>
                <w:sz w:val="20"/>
                <w:lang w:val="en-US" w:eastAsia="en-US" w:bidi="ar-SA"/>
              </w:rPr>
            </w:pPr>
          </w:p>
        </w:tc>
      </w:tr>
    </w:tbl>
    <w:p>
      <w:pPr>
        <w:jc w:val="both"/>
        <w:rPr>
          <w:rFonts w:ascii="arial" w:eastAsia="arial" w:hAnsi="arial" w:cs="arial"/>
          <w:sz w:val="20"/>
          <w:lang w:val="en-US" w:eastAsia="en-US" w:bidi="ar-SA"/>
        </w:rPr>
      </w:pPr>
      <w:bookmarkStart w:id="255" w:name="Counsel_38"/>
      <w:bookmarkEnd w:id="255"/>
      <w:r>
        <w:rPr>
          <w:rFonts w:ascii="arial" w:eastAsia="arial" w:hAnsi="arial" w:cs="arial"/>
          <w:sz w:val="20"/>
          <w:lang w:val="en-US" w:eastAsia="en-US" w:bidi="ar-SA"/>
        </w:rPr>
        <w:br/>
      </w:r>
    </w:p>
    <w:p>
      <w:pPr>
        <w:keepNext/>
        <w:spacing w:before="24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Counsel</w:t>
      </w:r>
    </w:p>
    <w:p>
      <w:pPr>
        <w:spacing w:line="60" w:lineRule="exact"/>
        <w:rPr>
          <w:rFonts w:ascii="arial" w:eastAsia="arial" w:hAnsi="arial" w:cs="arial"/>
          <w:sz w:val="20"/>
          <w:lang w:val="en-US" w:eastAsia="en-US" w:bidi="ar-SA"/>
        </w:rPr>
      </w:pPr>
      <w:r>
        <w:pict>
          <v:line id="_x0000_s1216" style="position:absolute;z-index:251750400"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B.F. Fairley, for the plaintiffs. J.H. Crerar, for the defendants.</w:t>
      </w:r>
      <w:r>
        <w:rPr>
          <w:rFonts w:ascii="arial" w:eastAsia="arial" w:hAnsi="arial" w:cs="arial"/>
          <w:sz w:val="20"/>
          <w:lang w:val="en-US" w:eastAsia="en-US" w:bidi="ar-SA"/>
        </w:rPr>
        <w:cr/>
      </w:r>
    </w:p>
    <w:p>
      <w:pPr>
        <w:spacing w:after="240"/>
        <w:rPr>
          <w:rFonts w:ascii="arial" w:eastAsia="arial" w:hAnsi="arial" w:cs="arial"/>
          <w:sz w:val="20"/>
          <w:lang w:val="en-US" w:eastAsia="en-US" w:bidi="ar-SA"/>
        </w:rPr>
      </w:pPr>
      <w:bookmarkStart w:id="256" w:name="Judgment_39"/>
      <w:bookmarkEnd w:id="256"/>
      <w:r>
        <w:pict>
          <v:line id="_x0000_s1217" style="position:absolute;z-index:251801600" from="0,12pt" to="512pt,12pt" strokecolor="#009ddb" strokeweight="1.5pt">
            <v:stroke linestyle="single"/>
          </v:line>
        </w:pict>
      </w:r>
    </w:p>
    <w:p>
      <w:pPr>
        <w:rPr>
          <w:rFonts w:ascii="arial" w:eastAsia="arial" w:hAnsi="arial" w:cs="arial"/>
          <w:sz w:val="20"/>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1970"/>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rFonts w:ascii="arial" w:eastAsia="arial" w:hAnsi="arial" w:cs="arial"/>
                <w:sz w:val="20"/>
                <w:lang w:val="en-US" w:eastAsia="en-US" w:bidi="ar-SA"/>
              </w:rPr>
            </w:pPr>
            <w:bookmarkStart w:id="257" w:name="MELNICK J."/>
            <w:bookmarkEnd w:id="257"/>
            <w:r>
              <w:rPr>
                <w:rFonts w:ascii="arial" w:eastAsia="arial" w:hAnsi="arial" w:cs="arial"/>
                <w:b/>
                <w:color w:val="000000"/>
                <w:sz w:val="30"/>
                <w:lang w:val="en-US" w:eastAsia="en-US" w:bidi="ar-SA"/>
              </w:rPr>
              <w:t>MELNICK J.</w:t>
            </w:r>
          </w:p>
        </w:tc>
      </w:tr>
    </w:tbl>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xml:space="preserve">   The plaintiffs claim that the defendants fraudulently or negligently misrepresented the quality and quantity of water available from a well on the residential property they purchased from the defendants. They rely on what they allege is a representation made by the defendants in a property condition disclosure statement which formed part of the contract of purchase and sale. The defendants deny any misrepresentation, claim that the water supply was adequate for domestic purposes and, in any event that, to the extent the plaintiffs suffered damages, it was due to their own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in failing to properly maintain the water filtration and treatment system.</w:t>
      </w:r>
      <w:r>
        <w:rPr>
          <w:rFonts w:ascii="arial" w:eastAsia="arial" w:hAnsi="arial" w:cs="arial"/>
          <w:sz w:val="20"/>
          <w:lang w:val="en-US" w:eastAsia="en-US" w:bidi="ar-SA"/>
        </w:rPr>
        <w:cr/>
      </w:r>
    </w:p>
    <w:p>
      <w:pPr>
        <w:numPr>
          <w:numId w:val="11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BACKGROUND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The plaintiffs purchased Lot 11, Section 22, Township 28, Kootenay District, Plan NEP 22729 (being a residence on approximately ten acres of land with certain other improvements, located at 1717 Moberly School Road near Golden [the "property"]) by contract of purchase and sale dated November 19, 1997. The document provided for the closing to take place on December 22, 1997 and that the property would be in substantially the same condition on that date as when viewed by the plaintiffs on November 4, 1997. The offer was accepted on November 22, 1997.</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The contract contained the following provision:</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THERE ARE NO REPRESENTATIONS, WARRANTIES, GUARANTEES, PROMISES OR AGREEMENTS OTHER THAN THOSE SET OUT IN THIS CONTRACT </w:t>
      </w:r>
      <w:r>
        <w:rPr>
          <w:rFonts w:ascii="arial" w:eastAsia="arial" w:hAnsi="arial" w:cs="arial"/>
          <w:color w:val="000000"/>
          <w:sz w:val="20"/>
          <w:u w:val="single"/>
          <w:lang w:val="en-US" w:eastAsia="en-US" w:bidi="ar-SA"/>
        </w:rPr>
        <w:t>AND THE REPRESENTATIONS CONTAINED IN THE PROPERTY CONDITION DISCLOSURE STATEMENT IF ATTACHED</w:t>
      </w:r>
      <w:r>
        <w:rPr>
          <w:rFonts w:ascii="arial" w:eastAsia="arial" w:hAnsi="arial" w:cs="arial"/>
          <w:color w:val="000000"/>
          <w:sz w:val="20"/>
          <w:lang w:val="en-US" w:eastAsia="en-US" w:bidi="ar-SA"/>
        </w:rPr>
        <w:t>, ALL OF WHICH WILL SURVIVE THE COMPLETION OF THE SALE. (underlining added)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A property condition disclosure statement was attached. A further provision in the contract stated: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ATTACHED PROPERTY CONDITION DISCLOSURE STATEMENT DATED JUNE 23/97, IS INCORPORATED INTO AND FORMS PART OF THIS CONTRACT.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The document described as the property condition disclosure statement was completed by the vendors at the time they listed the property for sale on June 23, 1997. The portions of the statement relevant to this action are as follows: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following is a statement made by the sellers concerning the condition of the property or strata unit located at: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ADDRESS/(STRATA UNIT #): 1717 MOBERLY SCHOOL ROAD, GOLDEN, B.C.</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SELLERS ARE RESPONSIBLE FOR THE ACCURACY OF THE ANSWERS ON THIS DISCLOSURE STATEMENT AND WHERE UNCERTAIN SHOULD REPLY "DO NOT KNOW". THIS DISCLOSURE STATEMENT WILL FORM PART OF THE CONTRACT OF PURCHASE AND SALE IF SO AGREED IN WRITING BY THE SELLERS AND BUYERS.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3660"/>
        <w:gridCol w:w="836"/>
        <w:gridCol w:w="627"/>
        <w:gridCol w:w="942"/>
        <w:gridCol w:w="2718"/>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3584"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1. GENERAL:</w:t>
            </w:r>
          </w:p>
        </w:tc>
        <w:tc>
          <w:tcPr>
            <w:tcW w:w="819"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YES</w:t>
            </w:r>
          </w:p>
        </w:tc>
        <w:tc>
          <w:tcPr>
            <w:tcW w:w="614"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NO</w:t>
            </w:r>
          </w:p>
        </w:tc>
        <w:tc>
          <w:tcPr>
            <w:tcW w:w="922"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DO</w:t>
            </w:r>
          </w:p>
        </w:tc>
        <w:tc>
          <w:tcPr>
            <w:tcW w:w="2662"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DOES</w:t>
            </w:r>
          </w:p>
        </w:tc>
        <w:tc>
          <w:tcPr>
            <w:tcW w:w="1024"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3584"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819"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614"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922"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NOT</w:t>
            </w:r>
          </w:p>
        </w:tc>
        <w:tc>
          <w:tcPr>
            <w:tcW w:w="2662"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NOT</w:t>
            </w:r>
          </w:p>
        </w:tc>
        <w:tc>
          <w:tcPr>
            <w:tcW w:w="1024"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614"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3584"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819"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614"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92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KNOW</w:t>
            </w:r>
          </w:p>
        </w:tc>
        <w:tc>
          <w:tcPr>
            <w:tcW w:w="266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APPLY</w:t>
            </w:r>
          </w:p>
        </w:tc>
        <w:tc>
          <w:tcPr>
            <w:tcW w:w="1024" w:type="dxa"/>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bl>
    <w:p>
      <w:pPr>
        <w:rPr>
          <w:rFonts w:ascii="arial" w:eastAsia="arial" w:hAnsi="arial" w:cs="arial"/>
          <w:sz w:val="20"/>
          <w:lang w:val="en-US" w:eastAsia="en-US" w:bidi="ar-SA"/>
        </w:rPr>
      </w:pP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4601"/>
        <w:gridCol w:w="4182"/>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4506"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D. Are you aware of any</w:t>
            </w:r>
          </w:p>
        </w:tc>
        <w:tc>
          <w:tcPr>
            <w:tcW w:w="4096"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1024"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4506"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problems re: quantity or</w:t>
            </w:r>
          </w:p>
        </w:tc>
        <w:tc>
          <w:tcPr>
            <w:tcW w:w="4096"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1024"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4506"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quality of well water?</w:t>
            </w:r>
          </w:p>
        </w:tc>
        <w:tc>
          <w:tcPr>
            <w:tcW w:w="4096"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X</w:t>
            </w:r>
          </w:p>
        </w:tc>
        <w:tc>
          <w:tcPr>
            <w:tcW w:w="1024"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4506"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(Gal. per minute if</w:t>
            </w:r>
          </w:p>
        </w:tc>
        <w:tc>
          <w:tcPr>
            <w:tcW w:w="4096"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1024"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614"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4506"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known: 10 gpm)</w:t>
            </w:r>
          </w:p>
        </w:tc>
        <w:tc>
          <w:tcPr>
            <w:tcW w:w="4096"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1024" w:type="dxa"/>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bl>
    <w:p>
      <w:pPr>
        <w:rPr>
          <w:rFonts w:ascii="arial" w:eastAsia="arial" w:hAnsi="arial" w:cs="arial"/>
          <w:sz w:val="20"/>
          <w:lang w:val="en-US" w:eastAsia="en-US" w:bidi="ar-SA"/>
        </w:rPr>
      </w:pP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sellers state that the above information is true, based on the sellers' current actual knowledge as of the above date. Any important changes to this information made known to the sellers will be disclosed by sellers to buyers prior to closing. The sellers acknowledge receipt of a copy of this disclosure statement and agree that a copy may be given to prospective buyers.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buyers acknowledge that they have received and read a signed copy of this disclosure statement from the sellers or the sellers' agent on the 23 day of June, 1997 [sic]. The prudent buyers will use this disclosure statement as the starting point for their own inquiries.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buyers are urged to carefully inspect the property and, if desired, to have the property inspected by an inspection service of their choice.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Although it was open for them to do so, the plaintiffs did not carry out any independent inspection of either the approximately 25 or 30 foot deep "dug" well or the water treatment system located in the residence, nor did they take any step to evaluate either the quantity or quality of water available from the well. According to Mr. Ward, the plaintiffs relied totally on what they took to be a representation in the disclosure statement that the well produced water at ten gallons per minute.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It was the position of the defendants that when that information was provided to Mr. Roy Patrick, their listing agent, for inclusion in the disclosure statement, they regarded the figure as conservative. This is because, when they purchased the property in December 1995, they had been advised by the vendor, Mr. Roy Short, that the well produced about 14 to 17 gallons per minute. I note that Mr. Short was called by the defendants as a witness but that question was not put to him. Nor was Mr. Short asked whether the defendants, upon their purchase from him of Lot 11, had been provided with a proof of water document dated July 25, 1994, which disclosed information concerning each of the wells on the various lots in his subdivision. The document described wells, including the one on Lot 11, as being dug wells with 32 inch steel casings approximately 30 feet deep and filled with drain rock and Geotextile filter cloth. The document also revealed that, in fact, the well on Lot 11 produced the lowest rate of water flow of any of the wells in the subdivision at 333 gallons per hour or 5.5 gallons per minute. However, it is improbable that this information was known to the defendants because, as part of the construction of their home and installation of a water system, they installed a pump which was capable of pumping seven gallons per minute. Thus, they installed a pump which had a capacity to take a greater quantity of water from the well than it was able to produce.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When the plaintiffs and their two young children took possession of the property on December 22, 1997, Mr. Ward noticed that the tap water had a yellow appearance. He found an envelope containing documents and manuals relating to certain appliances and equipment installed in the residence. This included a water softener, an iron filter and a sediment filter. To their surprise, the plaintiffs also found a reverse osmosis unit installed under the kitchen sink. On the kitchen counter, there was a purchase agreement from Pedersen Water Treatment Systems ("Pedersen") dated December 18, 1997. This document recorded that the defendants, on that date, had purchased from Pedersen a Mazzei air injector, paid for a shock treatment of the well, rebedded a depth filter (I presume this from the evidence to be the iron filter), purchased salt (presumably for the water conditioner) and filters for the sediment filter. In addition, the document recorded that there had been free installation of a reverse osmosis system and prepayment of three month's rent at $5.95 per month.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The defendants had not advised the plaintiffs that this work would be completed prior to their taking possession, nor that a leased reverse osmosis unit would be installed.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It was Mr. Ward's evidence that by December 24, 1997 they noticed that their water supply continued to appear yellow and began to decrease. By December 25, Christmas Day, the supply of water ceased all together. This, unfortunately for the plaintiffs, occurred while they had family over for Christmas dinner and no water was available to wash the dishes or pots and pans.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On December 26, the plaintiffs were able to get a plumber and, with his assistance, discovered sediment filters on the water line in the basement that were clogged with a couple of inches of what Mr. Ward described as clay. I am satisfied that the "clay" was, in fact, fine silt that originated from the well.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By early January 1998, Mr. Ward was cleaning out the sediment filters every day and, by February of that year, two to three times a day. The plaintiffs continued to run out of water periodically and began to experience iron staining on their fixtures and appliances from the water.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The silting of the filters became worse by March of 1998 so Mr. Ward removed the sediment filters altogether so that his wife, Ms. Diggon, who was unable to change or clean the filters herself, could have an ongoing supply of water.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The removal of the sediment filters, while undoubtedly done with the best of intentions by Mr. Ward, proved to be unwise because the silt ultimately damaged their appliances.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Although Mr. Pedersen had changed the medium in the iron filter on December 17 or 18, 1997, it is evident to me from all of the evidence that its capacity to remove iron was substantially reduced, and ultimately rendered ineffective, by silting.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w:t>
      </w:r>
      <w:r>
        <w:rPr>
          <w:rFonts w:ascii="arial" w:eastAsia="arial" w:hAnsi="arial" w:cs="arial"/>
          <w:color w:val="000000"/>
          <w:sz w:val="20"/>
          <w:lang w:val="en-US" w:eastAsia="en-US" w:bidi="ar-SA"/>
        </w:rPr>
        <w:t>  The defendants both stoutly maintained that: they did not have any problem with the water supply system; they were not contacted by the plaintiffs complaining of any such problem; and they first learned of the plaintiffs' problems after being contacted by the plaintiffs' lawyer in May 1999.</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w:t>
      </w:r>
      <w:r>
        <w:rPr>
          <w:rFonts w:ascii="arial" w:eastAsia="arial" w:hAnsi="arial" w:cs="arial"/>
          <w:color w:val="000000"/>
          <w:sz w:val="20"/>
          <w:lang w:val="en-US" w:eastAsia="en-US" w:bidi="ar-SA"/>
        </w:rPr>
        <w:t>  According to Mrs. Smith, she used to do, on average, five to seven loads of laundry a week and had experienced no untoward staining by rust of their fixtures and appliances. According to both defendants, they had a sufficient quantity of water for when they lived alone and had company on occasion. They presented evidence from persons invited to their home who confirmed that they had not experienced any problems with either the supply of water available or the quality of the drinking water. Mrs. Smith agreed that she did not, herself, drink the water in the home but, she said, that was because of a sensitivity to sodium, due to the action of the water conditioner, which was present in the water prior to the installation of the reverse osmosis unit. The defendants insisted that they had sufficient water to maintain a lawn, gardens, and horses.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w:t>
      </w:r>
      <w:r>
        <w:rPr>
          <w:rFonts w:ascii="arial" w:eastAsia="arial" w:hAnsi="arial" w:cs="arial"/>
          <w:color w:val="000000"/>
          <w:sz w:val="20"/>
          <w:lang w:val="en-US" w:eastAsia="en-US" w:bidi="ar-SA"/>
        </w:rPr>
        <w:t>  It was Mr. Smith's evidence that, when they bought the property, the well casing projected a couple of feet above the ground level and there was a pile of dirt or gravel off to the side of the well. The earth around the well kept settling, he said, and so he shovelled some of the gravel around the casing as the soil subsided. He denied that the reason for this was because the well was filling with silt.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w:t>
      </w:r>
      <w:r>
        <w:rPr>
          <w:rFonts w:ascii="arial" w:eastAsia="arial" w:hAnsi="arial" w:cs="arial"/>
          <w:color w:val="000000"/>
          <w:sz w:val="20"/>
          <w:lang w:val="en-US" w:eastAsia="en-US" w:bidi="ar-SA"/>
        </w:rPr>
        <w:t>  He agreed that he had originally cut the top of the well casing off, put a cap with an eight-inch pipe on it, and then subsequently obtained concrete well rings from Mr. Short which he added to the top of the well casing.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w:t>
      </w:r>
      <w:r>
        <w:rPr>
          <w:rFonts w:ascii="arial" w:eastAsia="arial" w:hAnsi="arial" w:cs="arial"/>
          <w:color w:val="000000"/>
          <w:sz w:val="20"/>
          <w:lang w:val="en-US" w:eastAsia="en-US" w:bidi="ar-SA"/>
        </w:rPr>
        <w:t>  Interestingly, Mr. Stan Pinyon, Mrs. Smith's father, gave evidence that he was present at the home when Mr. Smith was putting in cribbing in the well or, he said, digging it deeper.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w:t>
      </w:r>
      <w:r>
        <w:rPr>
          <w:rFonts w:ascii="arial" w:eastAsia="arial" w:hAnsi="arial" w:cs="arial"/>
          <w:color w:val="000000"/>
          <w:sz w:val="20"/>
          <w:lang w:val="en-US" w:eastAsia="en-US" w:bidi="ar-SA"/>
        </w:rPr>
        <w:t>  Also of interest was the evidence of Mr. Roy Short. He stated that he and his wife live on the lot adjoining the property of the plaintiffs. Apparently, his original dug well had silted in to such an extent that he could not get the silt out with a filter. Because Mr. Short's wife was not prepared to put up with silty water, he drilled a well after using the dug well for only a few months. In cross-examination, he indicated that the defendants never spoke to him of iron in their water and that he thought silt was their main problem. The defendants didn't like the silt in the water, he said. Mr. Short agreed that he had never provided the defendants with a copy of the proof of water document which certified the quantity of water available from the well on Lot 11.</w:t>
      </w:r>
      <w:r>
        <w:rPr>
          <w:rFonts w:ascii="arial" w:eastAsia="arial" w:hAnsi="arial" w:cs="arial"/>
          <w:sz w:val="20"/>
          <w:lang w:val="en-US" w:eastAsia="en-US" w:bidi="ar-SA"/>
        </w:rPr>
        <w:cr/>
      </w:r>
    </w:p>
    <w:p>
      <w:pPr>
        <w:numPr>
          <w:numId w:val="2"/>
        </w:numPr>
        <w:tabs>
          <w:tab w:val="num" w:pos="760"/>
          <w:tab w:val="clear" w:pos="1480"/>
        </w:tabs>
        <w:spacing w:before="120" w:line="260" w:lineRule="atLeast"/>
        <w:ind w:left="760"/>
        <w:jc w:val="both"/>
        <w:rPr>
          <w:rFonts w:ascii="arial" w:eastAsia="arial" w:hAnsi="arial" w:cs="arial"/>
          <w:sz w:val="20"/>
          <w:lang w:val="en-US" w:eastAsia="en-US" w:bidi="ar-SA"/>
        </w:rPr>
      </w:pPr>
      <w:r>
        <w:rPr>
          <w:rFonts w:ascii="arial" w:eastAsia="arial" w:hAnsi="arial" w:cs="arial"/>
          <w:color w:val="000000"/>
          <w:sz w:val="20"/>
          <w:lang w:val="en-US" w:eastAsia="en-US" w:bidi="ar-SA"/>
        </w:rPr>
        <w:t>DISCUSSION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A. Liability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w:t>
      </w:r>
      <w:r>
        <w:rPr>
          <w:rFonts w:ascii="arial" w:eastAsia="arial" w:hAnsi="arial" w:cs="arial"/>
          <w:color w:val="000000"/>
          <w:sz w:val="20"/>
          <w:lang w:val="en-US" w:eastAsia="en-US" w:bidi="ar-SA"/>
        </w:rPr>
        <w:t>  It is necessary first to determine whether the statements made by the Smiths in the disclosure statement are representations. G.H.L. Fridman, in The Law of Contract in Canada, 4th ed. (Scarborough: Carswell, 1999), stated at p. 474:</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 representation has been defined as "a statement or assertion made by one party to the other before or at the time of the contract of some matter or circumstances relating to it." Such statements may indeed be, or become terms of the contract, in which event they will have effect as such. However, if a representation is not and never becomes a term, its legal character and consequences are different.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Terms are contractual and the failure to fulfil the promise contained in a term gives rise to an action for breach of contract. Representations are non-contractual. If they are not true the appropriate remedy is not an action for breach of contract, but the avoidance or rescission of a contract entered into in consequence of the representation, and, possibly, a tort action for damages. Thus, an untrue representation, or misrepresentation, may: (1) entitle the representee to avoid the contract, if the representation was fraudulantly made; (2) entitle the representee to rescind the contract, if the representation was innocently made or; (3) entitle the representee to sue, in tort, for damages if the representation was negligently made.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w:t>
      </w:r>
      <w:r>
        <w:rPr>
          <w:rFonts w:ascii="arial" w:eastAsia="arial" w:hAnsi="arial" w:cs="arial"/>
          <w:color w:val="000000"/>
          <w:sz w:val="20"/>
          <w:lang w:val="en-US" w:eastAsia="en-US" w:bidi="ar-SA"/>
        </w:rPr>
        <w:t xml:space="preserve">  In Arsenault v. Pedersen, </w:t>
      </w:r>
      <w:hyperlink r:id="rId713" w:history="1">
        <w:r>
          <w:rPr>
            <w:rFonts w:ascii="arial" w:eastAsia="arial" w:hAnsi="arial" w:cs="arial"/>
            <w:i/>
            <w:color w:val="0077CC"/>
            <w:sz w:val="20"/>
            <w:u w:val="single"/>
            <w:shd w:val="clear" w:color="auto" w:fill="FFFFFF"/>
            <w:lang w:val="en-US" w:eastAsia="en-US" w:bidi="ar-SA"/>
          </w:rPr>
          <w:t>[1996] B.C.J. No. 1026</w:t>
        </w:r>
      </w:hyperlink>
      <w:r>
        <w:rPr>
          <w:rFonts w:ascii="arial" w:eastAsia="arial" w:hAnsi="arial" w:cs="arial"/>
          <w:color w:val="000000"/>
          <w:sz w:val="20"/>
          <w:lang w:val="en-US" w:eastAsia="en-US" w:bidi="ar-SA"/>
        </w:rPr>
        <w:t>, 26 April 1996, New Westminster S021575 (B.C.S.C.), Mr. Justice Boyle stated at para. 12:</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disclosure statement does not call upon a vendor to warrant a certain state of affairs. It requires the vendor to say no more than that he or she is or is not aware of problems.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w:t>
      </w:r>
      <w:r>
        <w:rPr>
          <w:rFonts w:ascii="arial" w:eastAsia="arial" w:hAnsi="arial" w:cs="arial"/>
          <w:color w:val="000000"/>
          <w:sz w:val="20"/>
          <w:lang w:val="en-US" w:eastAsia="en-US" w:bidi="ar-SA"/>
        </w:rPr>
        <w:t xml:space="preserve">  In Lind v. MacLeod, </w:t>
      </w:r>
      <w:hyperlink r:id="rId714" w:history="1">
        <w:r>
          <w:rPr>
            <w:rFonts w:ascii="arial" w:eastAsia="arial" w:hAnsi="arial" w:cs="arial"/>
            <w:i/>
            <w:color w:val="0077CC"/>
            <w:sz w:val="20"/>
            <w:u w:val="single"/>
            <w:shd w:val="clear" w:color="auto" w:fill="FFFFFF"/>
            <w:lang w:val="en-US" w:eastAsia="en-US" w:bidi="ar-SA"/>
          </w:rPr>
          <w:t>[1997] B.C.J. No. 3134</w:t>
        </w:r>
      </w:hyperlink>
      <w:r>
        <w:rPr>
          <w:rFonts w:ascii="arial" w:eastAsia="arial" w:hAnsi="arial" w:cs="arial"/>
          <w:color w:val="000000"/>
          <w:sz w:val="20"/>
          <w:lang w:val="en-US" w:eastAsia="en-US" w:bidi="ar-SA"/>
        </w:rPr>
        <w:t>, (20 October 1997), Smithers 8389 (B.C.S.C.), Madam Justice Loo dealt with a factual situation similar to the case at bar on an appeal from Small Claims Court. In the course of reviewing the applicable law, she discussed, at para. 22 to 30, the effect of a property condition disclosure statement as follows: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In Malenfant v. Janzen, </w:t>
      </w:r>
      <w:hyperlink r:id="rId715" w:history="1">
        <w:r>
          <w:rPr>
            <w:rFonts w:ascii="arial" w:eastAsia="arial" w:hAnsi="arial" w:cs="arial"/>
            <w:i/>
            <w:color w:val="0077CC"/>
            <w:sz w:val="20"/>
            <w:u w:val="single"/>
            <w:shd w:val="clear" w:color="auto" w:fill="FFFFFF"/>
            <w:lang w:val="en-US" w:eastAsia="en-US" w:bidi="ar-SA"/>
          </w:rPr>
          <w:t>[1994] B.C.J. No. 2373</w:t>
        </w:r>
      </w:hyperlink>
      <w:r>
        <w:rPr>
          <w:rFonts w:ascii="arial" w:eastAsia="arial" w:hAnsi="arial" w:cs="arial"/>
          <w:color w:val="000000"/>
          <w:sz w:val="20"/>
          <w:lang w:val="en-US" w:eastAsia="en-US" w:bidi="ar-SA"/>
        </w:rPr>
        <w:t>, Vancouver and New Westminster Registry No. S0-9962, October 19, 1994, the vendors told the purchasers on an inspection of an old converted barn that the septic tank and field were fine. The vendors completed a Property Condition Disclosure Statement in which they noted that they were not aware of any problems with the septic tank and plumbing system. The plaintiffs did not inspect the septic system, and did not have the property inspected by an inspection service. A week after the plaintiffs took possession, the downstairs toilet backed up and overflowed.</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purchasers' claim against the vendors was based on the Property Condition Disclosure Statement.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Harvey J. at paragraph 28:</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"I was not referred to nor am I aware of authority holding that answers given to questions set out in a Property Condition Disclosure Statement are to constitute representations in the form of warranties as to the condition of the property in question. The questions and answers in the form itself are stated to form part of the contract of purchase and sale "if so agreed in writing by the vendors and purchasers: and, in this manner, may support a breach of contract if the answers provided are untrue based upon current actual knowledge. In this regard there may be afforded a basis for claiming breach of contract."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Harvey J. found that the statements made by the vendor were to the best of their knowledge true at the time, and dismissed the claim.</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In Anderson v. Kibzey, </w:t>
      </w:r>
      <w:hyperlink r:id="rId716" w:history="1">
        <w:r>
          <w:rPr>
            <w:rFonts w:ascii="arial" w:eastAsia="arial" w:hAnsi="arial" w:cs="arial"/>
            <w:i/>
            <w:color w:val="0077CC"/>
            <w:sz w:val="20"/>
            <w:u w:val="single"/>
            <w:shd w:val="clear" w:color="auto" w:fill="FFFFFF"/>
            <w:lang w:val="en-US" w:eastAsia="en-US" w:bidi="ar-SA"/>
          </w:rPr>
          <w:t>[1996] B.C.J. No. 3008</w:t>
        </w:r>
      </w:hyperlink>
      <w:r>
        <w:rPr>
          <w:rFonts w:ascii="arial" w:eastAsia="arial" w:hAnsi="arial" w:cs="arial"/>
          <w:color w:val="000000"/>
          <w:sz w:val="20"/>
          <w:lang w:val="en-US" w:eastAsia="en-US" w:bidi="ar-SA"/>
        </w:rPr>
        <w:t>, Kamloops Registry No. 22662, October 8, 1996, the vendors completed a Disclosure Statement relating to a double wide mobile home. They indicated that they were aware of roof leakage or unrepaired damage. The comments were: "Ceiling to be repaired."</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Within a few weeks of moving in the purchasers found they had a serious water leakage problem and major repairs were necessary.</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In dismissing the purchasers' claim, Edwards J. stated at paragraph 13:</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"The purpose of the disclosure statement is to raise questions and concerns rather than give detailed answers as to the disclosures made."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And at paragraph 14:</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"My conclusion is that sufficient disclosure was made by the defendants in order to put the plaintiffs on notice that there was some problem with water leakage in the roof. That disclosure having been made, the maxim caveat emptor applies and the purchasers are without a remedy."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w:t>
      </w:r>
      <w:r>
        <w:rPr>
          <w:rFonts w:ascii="arial" w:eastAsia="arial" w:hAnsi="arial" w:cs="arial"/>
          <w:color w:val="000000"/>
          <w:sz w:val="20"/>
          <w:lang w:val="en-US" w:eastAsia="en-US" w:bidi="ar-SA"/>
        </w:rPr>
        <w:t>  Madam Justice Loo also referred to the case of Arsenault and agreed with Mr. Justice Boyle's interpretation of disclosure statements. She further held that Mrs. MacLeod's statement had been true to the best of her knowledge, and therefore, the Linds could not succeed in their claim.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w:t>
      </w:r>
      <w:r>
        <w:rPr>
          <w:rFonts w:ascii="arial" w:eastAsia="arial" w:hAnsi="arial" w:cs="arial"/>
          <w:color w:val="000000"/>
          <w:sz w:val="20"/>
          <w:lang w:val="en-US" w:eastAsia="en-US" w:bidi="ar-SA"/>
        </w:rPr>
        <w:t xml:space="preserve">  In Zaenker v. Kirk </w:t>
      </w:r>
      <w:hyperlink r:id="rId717" w:history="1">
        <w:r>
          <w:rPr>
            <w:rFonts w:ascii="arial" w:eastAsia="arial" w:hAnsi="arial" w:cs="arial"/>
            <w:i/>
            <w:color w:val="0077CC"/>
            <w:sz w:val="20"/>
            <w:u w:val="single"/>
            <w:shd w:val="clear" w:color="auto" w:fill="FFFFFF"/>
            <w:lang w:val="en-US" w:eastAsia="en-US" w:bidi="ar-SA"/>
          </w:rPr>
          <w:t>(1999), 30 R.P.R. (3d) 9</w:t>
        </w:r>
      </w:hyperlink>
      <w:r>
        <w:rPr>
          <w:rFonts w:ascii="arial" w:eastAsia="arial" w:hAnsi="arial" w:cs="arial"/>
          <w:color w:val="000000"/>
          <w:sz w:val="20"/>
          <w:lang w:val="en-US" w:eastAsia="en-US" w:bidi="ar-SA"/>
        </w:rPr>
        <w:t xml:space="preserve"> (B.C.S.C.), Mr. Justice Lamperson also held at para. 19 that,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Although the property condition disclosure statement forms part of the agreement for a purchase and sale, it is not necessarily a warranty. Its main purpose is to put purchasers on notice with respect to known problems. The disclosure statement would have to be far more detailed if it was meant to do more. It merely indicates that the statements therein are true according to the seller's current actual knowledge.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w:t>
      </w:r>
      <w:r>
        <w:rPr>
          <w:rFonts w:ascii="arial" w:eastAsia="arial" w:hAnsi="arial" w:cs="arial"/>
          <w:color w:val="000000"/>
          <w:sz w:val="20"/>
          <w:lang w:val="en-US" w:eastAsia="en-US" w:bidi="ar-SA"/>
        </w:rPr>
        <w:t xml:space="preserve">  As well, in Curtin v. Blewett </w:t>
      </w:r>
      <w:hyperlink r:id="rId718" w:history="1">
        <w:r>
          <w:rPr>
            <w:rFonts w:ascii="arial" w:eastAsia="arial" w:hAnsi="arial" w:cs="arial"/>
            <w:i/>
            <w:color w:val="0077CC"/>
            <w:sz w:val="20"/>
            <w:u w:val="single"/>
            <w:shd w:val="clear" w:color="auto" w:fill="FFFFFF"/>
            <w:lang w:val="en-US" w:eastAsia="en-US" w:bidi="ar-SA"/>
          </w:rPr>
          <w:t>(1999), 28 R.P.R. (3d) 115</w:t>
        </w:r>
      </w:hyperlink>
      <w:r>
        <w:rPr>
          <w:rFonts w:ascii="arial" w:eastAsia="arial" w:hAnsi="arial" w:cs="arial"/>
          <w:color w:val="000000"/>
          <w:sz w:val="20"/>
          <w:lang w:val="en-US" w:eastAsia="en-US" w:bidi="ar-SA"/>
        </w:rPr>
        <w:t xml:space="preserve"> (B.C.S.C.), at para. 17, Mr. Justice Blair concluded that Mr. Justice Boyle's observations in Arsenault reflect accurately the limited use that can be made of a disclosure statement to found a claim.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w:t>
      </w:r>
      <w:r>
        <w:rPr>
          <w:rFonts w:ascii="arial" w:eastAsia="arial" w:hAnsi="arial" w:cs="arial"/>
          <w:color w:val="000000"/>
          <w:sz w:val="20"/>
          <w:lang w:val="en-US" w:eastAsia="en-US" w:bidi="ar-SA"/>
        </w:rPr>
        <w:t xml:space="preserve">  For the purpose of her analysis of a similar statement in a property condition disclosure statement in Streichert v. Hryniuk, </w:t>
      </w:r>
      <w:hyperlink r:id="rId719" w:history="1">
        <w:r>
          <w:rPr>
            <w:rFonts w:ascii="arial" w:eastAsia="arial" w:hAnsi="arial" w:cs="arial"/>
            <w:i/>
            <w:color w:val="0077CC"/>
            <w:sz w:val="20"/>
            <w:u w:val="single"/>
            <w:shd w:val="clear" w:color="auto" w:fill="FFFFFF"/>
            <w:lang w:val="en-US" w:eastAsia="en-US" w:bidi="ar-SA"/>
          </w:rPr>
          <w:t>[2000] B.C.J. No. 10</w:t>
        </w:r>
      </w:hyperlink>
      <w:r>
        <w:rPr>
          <w:rFonts w:ascii="arial" w:eastAsia="arial" w:hAnsi="arial" w:cs="arial"/>
          <w:color w:val="000000"/>
          <w:sz w:val="20"/>
          <w:lang w:val="en-US" w:eastAsia="en-US" w:bidi="ar-SA"/>
        </w:rPr>
        <w:t xml:space="preserve"> at para. 52, Madam Justice Neilson referred to the statement as a "representation". However, she found that the representation (in the context of an analysis of a claim for negligent misrepresentation) was neither untrue, inaccurate nor misleading.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w:t>
      </w:r>
      <w:r>
        <w:rPr>
          <w:rFonts w:ascii="arial" w:eastAsia="arial" w:hAnsi="arial" w:cs="arial"/>
          <w:color w:val="000000"/>
          <w:sz w:val="20"/>
          <w:lang w:val="en-US" w:eastAsia="en-US" w:bidi="ar-SA"/>
        </w:rPr>
        <w:t xml:space="preserve">  In Davis v. Stinka, </w:t>
      </w:r>
      <w:hyperlink r:id="rId720" w:history="1">
        <w:r>
          <w:rPr>
            <w:rFonts w:ascii="arial" w:eastAsia="arial" w:hAnsi="arial" w:cs="arial"/>
            <w:i/>
            <w:color w:val="0077CC"/>
            <w:sz w:val="20"/>
            <w:u w:val="single"/>
            <w:shd w:val="clear" w:color="auto" w:fill="FFFFFF"/>
            <w:lang w:val="en-US" w:eastAsia="en-US" w:bidi="ar-SA"/>
          </w:rPr>
          <w:t>[1995] B.C.J. No. 1256</w:t>
        </w:r>
      </w:hyperlink>
      <w:r>
        <w:rPr>
          <w:rFonts w:ascii="arial" w:eastAsia="arial" w:hAnsi="arial" w:cs="arial"/>
          <w:color w:val="000000"/>
          <w:sz w:val="20"/>
          <w:lang w:val="en-US" w:eastAsia="en-US" w:bidi="ar-SA"/>
        </w:rPr>
        <w:t>, (15 May 1995), Campbell River S1135 (B.C.S.C.), Mr. Justice Leggatt referred, at para. 24, to the B.C. Real Estate Law Guide, looseleaf (North York, Ontario: CCH Canadian Limited, 2001) as follows: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In describing the impact of the property condition disclosure statement on p. 956 the following is stated:</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It must be acknowledged that the purchasers should have the best state of information available to them at the time of making an offer. In common law the legal maxim caveat emptor - let the buyer beware - applies and in the absence of fraud or total failure of consideration a purchaser is without remedy if the defect in the purchase property unless there is an express or implied warranty as to a particular matter.</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And further</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Obviously the statement is a document which must be completed with great care by vendors or else they may be liable to the purchaser for incorrect information contained in the statement.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w:t>
      </w:r>
      <w:r>
        <w:rPr>
          <w:rFonts w:ascii="arial" w:eastAsia="arial" w:hAnsi="arial" w:cs="arial"/>
          <w:color w:val="000000"/>
          <w:sz w:val="20"/>
          <w:lang w:val="en-US" w:eastAsia="en-US" w:bidi="ar-SA"/>
        </w:rPr>
        <w:t>  Notably, he also referred, at para. 26, to the following statement in the disclosure statement: "Are you aware of any encroachments, unregistered easements or unregistered rights-of-way?". Mr. Justice Leggatt held that question and the answer, "no", contained both express and implied warranties with respect to the condition of the property.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w:t>
      </w:r>
      <w:r>
        <w:rPr>
          <w:rFonts w:ascii="arial" w:eastAsia="arial" w:hAnsi="arial" w:cs="arial"/>
          <w:color w:val="000000"/>
          <w:sz w:val="20"/>
          <w:lang w:val="en-US" w:eastAsia="en-US" w:bidi="ar-SA"/>
        </w:rPr>
        <w:t xml:space="preserve">  Finally, in Edwards v. Crocker, </w:t>
      </w:r>
      <w:hyperlink r:id="rId721" w:history="1">
        <w:r>
          <w:rPr>
            <w:rFonts w:ascii="arial" w:eastAsia="arial" w:hAnsi="arial" w:cs="arial"/>
            <w:i/>
            <w:color w:val="0077CC"/>
            <w:sz w:val="20"/>
            <w:u w:val="single"/>
            <w:shd w:val="clear" w:color="auto" w:fill="FFFFFF"/>
            <w:lang w:val="en-US" w:eastAsia="en-US" w:bidi="ar-SA"/>
          </w:rPr>
          <w:t>[1998] B.C.J. No. 1241</w:t>
        </w:r>
      </w:hyperlink>
      <w:r>
        <w:rPr>
          <w:rFonts w:ascii="arial" w:eastAsia="arial" w:hAnsi="arial" w:cs="arial"/>
          <w:color w:val="000000"/>
          <w:sz w:val="20"/>
          <w:lang w:val="en-US" w:eastAsia="en-US" w:bidi="ar-SA"/>
        </w:rPr>
        <w:t>, (14 May 1998), Penticton 11403 (B.C.S.C.), at paras. 50 to 56, Mr. Justice Drossos held that the disclosure statement itself and a comment written on it by the defendants stating, "that everything is in perfect cond. shows extremely well", was a representation to the plaintiff and that she relied on that representation made to her.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w:t>
      </w:r>
      <w:r>
        <w:rPr>
          <w:rFonts w:ascii="arial" w:eastAsia="arial" w:hAnsi="arial" w:cs="arial"/>
          <w:color w:val="000000"/>
          <w:sz w:val="20"/>
          <w:lang w:val="en-US" w:eastAsia="en-US" w:bidi="ar-SA"/>
        </w:rPr>
        <w:t>  I conclude that a statement made in a property condition disclosure statement that is incorporated into a contract of purchase and sale may be a representation upon which a purchaser can rely. Part of the difficulty with the wording of the statement in issue, however, is that the defendants did not warrant or represent in any positive or defined way any given state as to the quantity or quality of the water with the exception of the statement that the well was capable of producing 10 gallons of water per minute. That statement was a representation of fact. The other statement was couched in terms of whether the defendants were aware of any "problems" with either the quantity or quality of the well water. Mr. Fairley stressed that the statement was with respect to well water not tap water but, essentially, there is probably no difference. It is a distinction, however, that I need not be concerned with because I am convinced, on a balance of probabilities, that Mr. and Mrs. Smith indeed knew that they had a problem with the quality of their well water, and that problem was that it was very silty.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w:t>
      </w:r>
      <w:r>
        <w:rPr>
          <w:rFonts w:ascii="arial" w:eastAsia="arial" w:hAnsi="arial" w:cs="arial"/>
          <w:color w:val="000000"/>
          <w:sz w:val="20"/>
          <w:lang w:val="en-US" w:eastAsia="en-US" w:bidi="ar-SA"/>
        </w:rPr>
        <w:t>  In making the statement that they were not aware of any problems with the quantity or quality of the water, they represented that as their true state of knowledge. I will accept that they may not have found it to be a bothersome problem in the sense that they may have been prepared to change their sediment and iron filters frequently to ensure that the water that was provided to the taps in the house was clean, clear and drinkable. It may also be that the servicing of the well, including the extensive back-flushing done by Pedersen in the process of shocking the well and cleaning and installing new media into the iron filter, may have seriously depleted the water supply, at least on a temporary basis. But I cannot accept that the ongoing problems with silt experienced by the plaintiffs was a condition that appeared between the defendants vacating the premises and December 22, 1997 when the plaintiffs and their children took possession of the residence. I have no doubt whatsoever that the defendants were aware that there was a problem with a high level of silt in their water supply and that this was a problem that should have been revealed in the property condition disclosure statement. To state that they were not aware of the problem was a misrepresentation by the Smiths.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w:t>
      </w:r>
      <w:r>
        <w:rPr>
          <w:rFonts w:ascii="arial" w:eastAsia="arial" w:hAnsi="arial" w:cs="arial"/>
          <w:color w:val="000000"/>
          <w:sz w:val="20"/>
          <w:lang w:val="en-US" w:eastAsia="en-US" w:bidi="ar-SA"/>
        </w:rPr>
        <w:t xml:space="preserve">  I then turn to the question of whether the misrepresentation was fraudulent or negligent. The requirements to establish a claim in negligent misrepresentation were summarized by Mr. Justice Iacobucci in Queen v. Cognos Inc., </w:t>
      </w:r>
      <w:hyperlink r:id="rId722" w:history="1">
        <w:r>
          <w:rPr>
            <w:rFonts w:ascii="arial" w:eastAsia="arial" w:hAnsi="arial" w:cs="arial"/>
            <w:i/>
            <w:color w:val="0077CC"/>
            <w:sz w:val="20"/>
            <w:u w:val="single"/>
            <w:shd w:val="clear" w:color="auto" w:fill="FFFFFF"/>
            <w:lang w:val="en-US" w:eastAsia="en-US" w:bidi="ar-SA"/>
          </w:rPr>
          <w:t>[1993] 1 S.C.R. 87</w:t>
        </w:r>
      </w:hyperlink>
      <w:r>
        <w:rPr>
          <w:rFonts w:ascii="arial" w:eastAsia="arial" w:hAnsi="arial" w:cs="arial"/>
          <w:color w:val="000000"/>
          <w:sz w:val="20"/>
          <w:lang w:val="en-US" w:eastAsia="en-US" w:bidi="ar-SA"/>
        </w:rPr>
        <w:t xml:space="preserve">, </w:t>
      </w:r>
      <w:hyperlink r:id="rId722" w:history="1">
        <w:r>
          <w:rPr>
            <w:rFonts w:ascii="arial" w:eastAsia="arial" w:hAnsi="arial" w:cs="arial"/>
            <w:i/>
            <w:color w:val="0077CC"/>
            <w:sz w:val="20"/>
            <w:u w:val="single"/>
            <w:shd w:val="clear" w:color="auto" w:fill="FFFFFF"/>
            <w:lang w:val="en-US" w:eastAsia="en-US" w:bidi="ar-SA"/>
          </w:rPr>
          <w:t>99 D.L.R. (4th) 626</w:t>
        </w:r>
      </w:hyperlink>
      <w:r>
        <w:rPr>
          <w:rFonts w:ascii="arial" w:eastAsia="arial" w:hAnsi="arial" w:cs="arial"/>
          <w:color w:val="000000"/>
          <w:sz w:val="20"/>
          <w:lang w:val="en-US" w:eastAsia="en-US" w:bidi="ar-SA"/>
        </w:rPr>
        <w:t xml:space="preserve"> (S.C.C.) at 643:</w:t>
      </w:r>
      <w:r>
        <w:rPr>
          <w:rFonts w:ascii="arial" w:eastAsia="arial" w:hAnsi="arial" w:cs="arial"/>
          <w:sz w:val="20"/>
          <w:lang w:val="en-US" w:eastAsia="en-US" w:bidi="ar-SA"/>
        </w:rPr>
        <w:cr/>
      </w:r>
    </w:p>
    <w:p>
      <w:pPr>
        <w:numPr>
          <w:numId w:val="3"/>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there must be a duty of care based on a "special relationship" between the representor and the representee;</w:t>
      </w:r>
    </w:p>
    <w:p>
      <w:pPr>
        <w:numPr>
          <w:numId w:val="3"/>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 representation in question must be untrue, inaccurate, or misleading;</w:t>
      </w:r>
    </w:p>
    <w:p>
      <w:pPr>
        <w:numPr>
          <w:numId w:val="3"/>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 representor must have acted negligently in making said misrepresentation;</w:t>
      </w:r>
    </w:p>
    <w:p>
      <w:pPr>
        <w:numPr>
          <w:numId w:val="3"/>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 representee must have relied, in a reasonable manner, on said negligent misrepresentation; and</w:t>
      </w:r>
    </w:p>
    <w:p>
      <w:pPr>
        <w:numPr>
          <w:numId w:val="3"/>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 reliance must have been detrimental to the representee in the sense that damages resulted.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34</w:t>
      </w:r>
      <w:r>
        <w:rPr>
          <w:rFonts w:ascii="arial" w:eastAsia="arial" w:hAnsi="arial" w:cs="arial"/>
          <w:color w:val="000000"/>
          <w:sz w:val="20"/>
          <w:lang w:val="en-US" w:eastAsia="en-US" w:bidi="ar-SA"/>
        </w:rPr>
        <w:t>  In their pleadings, the plaintiffs used the expression "reckless misrepresentation" which was understood, during the course of argument, to be negligent misrepresentation. I am satisfied that, in fact, the defendants did negligently misrepresent the quality of the available water by stating that they were not aware of any problems with the quality of the water. Further, they misrepresented the quantity of the water by specifically stating that the well produced 10 gallons per minute.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35</w:t>
      </w:r>
      <w:r>
        <w:rPr>
          <w:rFonts w:ascii="arial" w:eastAsia="arial" w:hAnsi="arial" w:cs="arial"/>
          <w:color w:val="000000"/>
          <w:sz w:val="20"/>
          <w:lang w:val="en-US" w:eastAsia="en-US" w:bidi="ar-SA"/>
        </w:rPr>
        <w:t>  The defendants owed a duty of care to the plaintiffs to not negligently misrepresent either the quality or quantity of the water supply. The statement that the well produced water at a level of 10 gallons per minute was untrue and inaccurate. I have no doubt that Mr. and Mrs. Smith may have believed that the well had been represented to them as producing more than 10 gallons per minute. Mr. Short, however, says that he gave no such representation nor was he asked for one. That aside, I cannot believe that the defendants would have installed a seven gallon per minute pump if they had believed that the well was only capable of producing, as it apparently was at the beginning, only 5.5 gallons per minute. However, if they were under the mistaken impression as to the capacity of their well, they owed a duty not to make a representation as to that capacity without knowing it to be accurate.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36</w:t>
      </w:r>
      <w:r>
        <w:rPr>
          <w:rFonts w:ascii="arial" w:eastAsia="arial" w:hAnsi="arial" w:cs="arial"/>
          <w:color w:val="000000"/>
          <w:sz w:val="20"/>
          <w:lang w:val="en-US" w:eastAsia="en-US" w:bidi="ar-SA"/>
        </w:rPr>
        <w:t>  Similarly, the representation with respect to the quality of the water - that they were not aware of any problems with it - was inaccurate and misleading. As stated above, I have no doubt whatsoever that the Smiths were aware that they had a silt problem with their water. That is, they had a level of silt in the water that could not be described as anything other than a problem.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37</w:t>
      </w:r>
      <w:r>
        <w:rPr>
          <w:rFonts w:ascii="arial" w:eastAsia="arial" w:hAnsi="arial" w:cs="arial"/>
          <w:color w:val="000000"/>
          <w:sz w:val="20"/>
          <w:lang w:val="en-US" w:eastAsia="en-US" w:bidi="ar-SA"/>
        </w:rPr>
        <w:t>  The Smiths, in completing the property condition disclosure statement and then executing a contract of which it was a part, were negligent with respect to both the representation of 10 gallons per minute and the representation that they knew of no problems with the water.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38</w:t>
      </w:r>
      <w:r>
        <w:rPr>
          <w:rFonts w:ascii="arial" w:eastAsia="arial" w:hAnsi="arial" w:cs="arial"/>
          <w:color w:val="000000"/>
          <w:sz w:val="20"/>
          <w:lang w:val="en-US" w:eastAsia="en-US" w:bidi="ar-SA"/>
        </w:rPr>
        <w:t>  It is clear that both Mr. Ward and Ms. Diggon relied on the property condition disclosure statement. The question arises, however, as to whether they were reasonable in doing so since the statement made it abundantly clear that they should carry out their own independent investigations. As Ms. Crerar pointed out for the defendants, when the plaintiffs viewed the premises they did not so much as turn on the tap to draw a glass of water. They did not, as they could have, check the quantity of water available by an independent pump test nor did they view and satisfy themselves as to the condition and adequacy of the water conditioning and purification equipment in the residence. This was both na ve (this was their first house purchase) and, as it transpired, foolhardy. However, given the specific representation in the property condition disclosure statement that the well produced 10 gallons per minute, it was not unreasonable for the plaintiffs to have relied on that and assumed that, as a consequence, they would not have any problems with the water. It was also reasonable for them to rely on the disclosure statement, once it was incorporated into the contract of purchase and sale, to the extent that there were not any problems that the Smiths were aware of with the quality of the water.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39</w:t>
      </w:r>
      <w:r>
        <w:rPr>
          <w:rFonts w:ascii="arial" w:eastAsia="arial" w:hAnsi="arial" w:cs="arial"/>
          <w:color w:val="000000"/>
          <w:sz w:val="20"/>
          <w:lang w:val="en-US" w:eastAsia="en-US" w:bidi="ar-SA"/>
        </w:rPr>
        <w:t>  Finally, I conclude that the plaintiffs' reliance on the representation contained in the property condition disclosure statement incorporated into the agreement of purchase and sale was detrimental to them in that, in part because of it, they purchased the property and consequently suffered 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40</w:t>
      </w:r>
      <w:r>
        <w:rPr>
          <w:rFonts w:ascii="arial" w:eastAsia="arial" w:hAnsi="arial" w:cs="arial"/>
          <w:color w:val="000000"/>
          <w:sz w:val="20"/>
          <w:lang w:val="en-US" w:eastAsia="en-US" w:bidi="ar-SA"/>
        </w:rPr>
        <w:t xml:space="preserve">  I turn, then, to the more difficult problem of whether the misrepresentation by the defendants was fraudulent. In Kalmbach v. Diemert, </w:t>
      </w:r>
      <w:hyperlink r:id="rId723" w:history="1">
        <w:r>
          <w:rPr>
            <w:rFonts w:ascii="arial" w:eastAsia="arial" w:hAnsi="arial" w:cs="arial"/>
            <w:i/>
            <w:color w:val="0077CC"/>
            <w:sz w:val="20"/>
            <w:u w:val="single"/>
            <w:shd w:val="clear" w:color="auto" w:fill="FFFFFF"/>
            <w:lang w:val="en-US" w:eastAsia="en-US" w:bidi="ar-SA"/>
          </w:rPr>
          <w:t>[2000] B.C.J. No. 8</w:t>
        </w:r>
      </w:hyperlink>
      <w:r>
        <w:rPr>
          <w:rFonts w:ascii="arial" w:eastAsia="arial" w:hAnsi="arial" w:cs="arial"/>
          <w:color w:val="000000"/>
          <w:sz w:val="20"/>
          <w:lang w:val="en-US" w:eastAsia="en-US" w:bidi="ar-SA"/>
        </w:rPr>
        <w:t>, Mr. Justice Low (as he then was) succinctly summarized the requirements necessary to prove a claim of fraudulent misrepresentation at para. 9 and 10:</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To succeed on a claim of civil fraud the plaintiffs must prove that they were induced into entering into the contract by a fraudulent misrepresentation by the defendants. In the leading case of Derry v. Peek (1889), 14 App. Cas. 337 at 374, Lord Herschell defined fraud thus: "... fraud is proved when it is shown that a false representation has been made, (i) knowingly, or (ii) without belief in its truth, or (iii) recklessly, careless whether it be true or false".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In a number of other cases it has been held that fraud can be established by proof of active concealment of a defect in the thing being sold or by a deliberate suppression of information: see for example Allen v. McCutcheon </w:t>
      </w:r>
      <w:hyperlink r:id="rId724" w:history="1">
        <w:r>
          <w:rPr>
            <w:rFonts w:ascii="arial" w:eastAsia="arial" w:hAnsi="arial" w:cs="arial"/>
            <w:i/>
            <w:color w:val="0077CC"/>
            <w:sz w:val="20"/>
            <w:u w:val="single"/>
            <w:shd w:val="clear" w:color="auto" w:fill="FFFFFF"/>
            <w:lang w:val="en-US" w:eastAsia="en-US" w:bidi="ar-SA"/>
          </w:rPr>
          <w:t>(1979), 10 B.C.L.R. 149</w:t>
        </w:r>
      </w:hyperlink>
      <w:r>
        <w:rPr>
          <w:rFonts w:ascii="arial" w:eastAsia="arial" w:hAnsi="arial" w:cs="arial"/>
          <w:color w:val="000000"/>
          <w:sz w:val="20"/>
          <w:lang w:val="en-US" w:eastAsia="en-US" w:bidi="ar-SA"/>
        </w:rPr>
        <w:t>. The cases make it clear that fraud involves deliberate intent or a wicked or guilty mind.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41</w:t>
      </w:r>
      <w:r>
        <w:rPr>
          <w:rFonts w:ascii="arial" w:eastAsia="arial" w:hAnsi="arial" w:cs="arial"/>
          <w:color w:val="000000"/>
          <w:sz w:val="20"/>
          <w:lang w:val="en-US" w:eastAsia="en-US" w:bidi="ar-SA"/>
        </w:rPr>
        <w:t>  I find that the Smiths' misrepresentation was not fraudulent. I conclude that their actions did not involve that element of a wicked or guilty mind that I take is inherent in making a fraudulent misrepresentation. I accept that they may have convinced themselves that the silt in the water was not problematic but, clearly, on any objective or reasonable standard, it was.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B. 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42</w:t>
      </w:r>
      <w:r>
        <w:rPr>
          <w:rFonts w:ascii="arial" w:eastAsia="arial" w:hAnsi="arial" w:cs="arial"/>
          <w:color w:val="000000"/>
          <w:sz w:val="20"/>
          <w:lang w:val="en-US" w:eastAsia="en-US" w:bidi="ar-SA"/>
        </w:rPr>
        <w:t>  The plaintiffs are entitled to be compensated for damages that were reasonably foreseeable as a consequence of the misrepresentation of the defendants. In this regard, the plaintiffs took a number of steps to solve the problem of the silt-laden water from the well. Not all of these attempts were successful. To the extent that some of those steps were nevertheless reasonable in the circumstances, the plaintiffs are entitled to recover those costs, even though the expenditures did not wholly solve their problem. However, where, in my view, a reasonably prudent person would not have incurred an expenditure, I have not allowed that claim or those claims of the plaintiffs.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43</w:t>
      </w:r>
      <w:r>
        <w:rPr>
          <w:rFonts w:ascii="arial" w:eastAsia="arial" w:hAnsi="arial" w:cs="arial"/>
          <w:color w:val="000000"/>
          <w:sz w:val="20"/>
          <w:lang w:val="en-US" w:eastAsia="en-US" w:bidi="ar-SA"/>
        </w:rPr>
        <w:t>  The plaintiffs' first call for help was to Mr. Brian Storey, a plumber, who attended at their home on December 26, 1997 and located the sediment filters which were clogged. The plaintiffs are entitled to recover his account in the amount of $35.</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44</w:t>
      </w:r>
      <w:r>
        <w:rPr>
          <w:rFonts w:ascii="arial" w:eastAsia="arial" w:hAnsi="arial" w:cs="arial"/>
          <w:color w:val="000000"/>
          <w:sz w:val="20"/>
          <w:lang w:val="en-US" w:eastAsia="en-US" w:bidi="ar-SA"/>
        </w:rPr>
        <w:t>  The plaintiffs subsequently contacted Aquair Enterprises who also attended at their home in early January 1998, tested their water and recommended and supplied certain filters, among other things. However, because the plaintiffs did not use the filters, most of this expense in the amount of $398.76 is not allowed. I will allow the sum of $100.55.</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45</w:t>
      </w:r>
      <w:r>
        <w:rPr>
          <w:rFonts w:ascii="arial" w:eastAsia="arial" w:hAnsi="arial" w:cs="arial"/>
          <w:color w:val="000000"/>
          <w:sz w:val="20"/>
          <w:lang w:val="en-US" w:eastAsia="en-US" w:bidi="ar-SA"/>
        </w:rPr>
        <w:t>  As I mentioned earlier in this judgment, Mr. Ward then did what proved to be a foolish act. He disconnected the sediment filters altogether which meant that the residence received an ongoing water supply, but one which was dirty and caused damage to the plaintiffs' appliances. I am not convinced that a replacement dishwasher would have been required if he had not done so. I do not allow the plaintiffs' claim of $375 for a new dishwasher. Nor do I allow the plaintiffs' claims for rental of the reverse osmosis system paid to Pedersen in April and November 1998. While the plaintiffs had no notice that such a system would be installed in their home, they were not under any obligation to continue to use it and pay for it. Having chosen to do so, the rental payments were their responsibility. At that time, Pedersen also supplied 16 sediment filters. Clearly, a certain number of sediment filters would have been needed by the plaintiffs in any event. However, I accept that, because of the silting problem, they were probably using substantially more filters than would normally be the case. Consequently, I am prepared to allow $68.40 for ten filters invoiced on April 24, 1998. The balance of that invoice of $157.32 and the Pedersen invoice of November 19, 1998 for $143.64 are not allowed.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46</w:t>
      </w:r>
      <w:r>
        <w:rPr>
          <w:rFonts w:ascii="arial" w:eastAsia="arial" w:hAnsi="arial" w:cs="arial"/>
          <w:color w:val="000000"/>
          <w:sz w:val="20"/>
          <w:lang w:val="en-US" w:eastAsia="en-US" w:bidi="ar-SA"/>
        </w:rPr>
        <w:t>  By August of 1998, the plaintiffs were running out of water. With two small children to look after, it was not unreasonable that they took the step of installing a 1250 gallon water holding tank. I find the account of Romar Holdings Ltd. for $1,813.50 to have been a reasonable expenditure even though the plaintiffs were unable to afford, on an ongoing basis, the $700 per month cost of purchasing water to place in the holding tank. So too, the sum of $615.25 for, in part, the supply of drinking water and, in part, to attempt to flush out the well with two truck-loads of water were reasonable steps taken by the plaintiffs from August 1998 through October 2000.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47</w:t>
      </w:r>
      <w:r>
        <w:rPr>
          <w:rFonts w:ascii="arial" w:eastAsia="arial" w:hAnsi="arial" w:cs="arial"/>
          <w:color w:val="000000"/>
          <w:sz w:val="20"/>
          <w:lang w:val="en-US" w:eastAsia="en-US" w:bidi="ar-SA"/>
        </w:rPr>
        <w:t>  As noted above, Mr. and Mrs. Short, the plaintiffs' neighbours, had given up on their dug well because of a silt problem soon after taking up residence in their home. They drilled a well which provided them with an adequate supply of potable water. The plaintiffs were aware of that. It was, therefore, a reasonable step to take for them to pursue the same solution. The firm that undertook the task drilled the well in a location which, they hoped, would go into the same water supply as that found by the Shorts. Unfortunately, they were not as lucky. The cost of the well, invoiced to them by J.R. Drilling Ltd. on July 1, 1999, was $10,621.89. In addition, they incurred costs of $2,712.48 from Kardash Plumbing &amp; Heating to provide the necessary piping and equipment to draw water from the well to their home water supply. These, too, were reasonable expenditures in all of the circumstances. I allow these claims of the plaintiffs.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48</w:t>
      </w:r>
      <w:r>
        <w:rPr>
          <w:rFonts w:ascii="arial" w:eastAsia="arial" w:hAnsi="arial" w:cs="arial"/>
          <w:color w:val="000000"/>
          <w:sz w:val="20"/>
          <w:lang w:val="en-US" w:eastAsia="en-US" w:bidi="ar-SA"/>
        </w:rPr>
        <w:t>  Although the drilled well provided good potable water, the rate of production was only 0.5 gallons per minute. This is, by far, not enough to provide an adequate supply for daily living. The plaintiffs have to be extremely careful with the amount of water used - bathing only every other day and supplementing their use of water by, in season, pumping water out of a nearby creek. I accept that they have not been able to use the dug well since May of 2000.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49</w:t>
      </w:r>
      <w:r>
        <w:rPr>
          <w:rFonts w:ascii="arial" w:eastAsia="arial" w:hAnsi="arial" w:cs="arial"/>
          <w:color w:val="000000"/>
          <w:sz w:val="20"/>
          <w:lang w:val="en-US" w:eastAsia="en-US" w:bidi="ar-SA"/>
        </w:rPr>
        <w:t>  Prior to abandoning the use of the dug well, the plaintiffs attempted to remedy the silt problem by raising the pump in the well by 18 inches. It was found to be imbedded in 6 inches of mud and there were 18 inches of soft mud in the bottom of the well. The firm, Blaeberry Valley Enterprises, that carried out that work in May 2000, hooked up the holding tank installed earlier to the house plumbing to deal with the reality that a water supply supplementary to that of the drilled well could no longer be taken from the dug well. I find that the total invoices of Blaeberry Valley Enterprises of $3,279.41 were reasonable expenditures by the plaintiffs.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50</w:t>
      </w:r>
      <w:r>
        <w:rPr>
          <w:rFonts w:ascii="arial" w:eastAsia="arial" w:hAnsi="arial" w:cs="arial"/>
          <w:color w:val="000000"/>
          <w:sz w:val="20"/>
          <w:lang w:val="en-US" w:eastAsia="en-US" w:bidi="ar-SA"/>
        </w:rPr>
        <w:t>  The plaintiffs, understandably, do not want to continue to live in their present manner, parsimoniously rationing water between themselves and the three children that they now have. They wish to have a reasonable and permanent solution to their problem. They are satisfied that this solution will be found in the form of installing a well near Beattie Creek on a neighbour's property and transporting the water 455 metres from the well to their home. Their investigations have satisfied them that this will be an appropriate solution, and they have taken steps to obtain the consent of the necessary authorities and the owner of the property on which the well will be located. The cost of materials and labour will be $11,989 plus GST for a total of $12,828.23. In addition, they will incur costs of $1,400 for their neighbour to provide them with an easement. I conclude that, in the difficult circumstances of the plaintiffs, these are reasonable and necessary expenditures. I allow these claims as well.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51</w:t>
      </w:r>
      <w:r>
        <w:rPr>
          <w:rFonts w:ascii="arial" w:eastAsia="arial" w:hAnsi="arial" w:cs="arial"/>
          <w:color w:val="000000"/>
          <w:sz w:val="20"/>
          <w:lang w:val="en-US" w:eastAsia="en-US" w:bidi="ar-SA"/>
        </w:rPr>
        <w:t>  The plaintiffs advanced a claim for legal costs in connection with the preparation and filing of the easement. No evidence was provided to support this claim. It is, therefore, not allowed as I have no basis upon which to quantify this claim.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52</w:t>
      </w:r>
      <w:r>
        <w:rPr>
          <w:rFonts w:ascii="arial" w:eastAsia="arial" w:hAnsi="arial" w:cs="arial"/>
          <w:color w:val="000000"/>
          <w:sz w:val="20"/>
          <w:lang w:val="en-US" w:eastAsia="en-US" w:bidi="ar-SA"/>
        </w:rPr>
        <w:t>  The plaintiffs took out a bank loan of $10,000 in order to finance drilling of the well on their property. They provided a copy of the promissory note executed by them on August 10, 1999 as evidence that, at the time they executed the note, they promised to pay interest at the rate of 3.75% per year above Bank of Montreal's prime interest rate in effect from time to time. At the date the note was executed, that prime interest rate was 6.25%. The plaintiffs therefore advanced a claim of $2,000 for interest which they said was a reasonable approximation of the interest paid by them at 10% per year over two years and two months. It is incumbent upon a plaintiff to prove his or her claim with sufficient precision to allow the court to make a proper assessment of damages. Undoubtedly, the plaintiffs would have had available to them, had they inquired, a printout from their bank detailing the interest rate chargeable from time to time or, at the least, what amounts of interest they did pay on this promissory note from the time they borrowed it to date of trial. In the absence of that information, I am not prepared to assume that they paid an ongoing rate of 10% per annum throughout this time period. Further, the plaintiffs' claim does not take into account that the principal balance would have been reduced over the period of time between the date of borrowing and date of trial. In the circumstances, I am not prepared to make an award for this claim.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53</w:t>
      </w:r>
      <w:r>
        <w:rPr>
          <w:rFonts w:ascii="arial" w:eastAsia="arial" w:hAnsi="arial" w:cs="arial"/>
          <w:color w:val="000000"/>
          <w:sz w:val="20"/>
          <w:lang w:val="en-US" w:eastAsia="en-US" w:bidi="ar-SA"/>
        </w:rPr>
        <w:t>  The plaintiffs further claim the sum of $1,500 for housekeeping services for cleaning stained sinks and appliances. I accept that these were stained, in part, because Mr. Ward removed the sediment filters and, in part, because it was probably impossible to maintain the iron filter due to the rate of sedimentation. I am prepared to allow this claim of $1,500 at $1,000.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54</w:t>
      </w:r>
      <w:r>
        <w:rPr>
          <w:rFonts w:ascii="arial" w:eastAsia="arial" w:hAnsi="arial" w:cs="arial"/>
          <w:color w:val="000000"/>
          <w:sz w:val="20"/>
          <w:lang w:val="en-US" w:eastAsia="en-US" w:bidi="ar-SA"/>
        </w:rPr>
        <w:t>  Finally, the plaintiffs claim general damages for the many hours spent cleaning filters, dealing with water consultants and plumbers, travelling to Golden to bathe in the homes of friends or family and so on. I accept that, had the defendants been straightforward and not misrepresented the quality and quantity of the water available, the plaintiffs would never have purchased this home. I accept that they were looking for a trouble-free home and, instead, bought one that has been extremely troublesome and difficult with respect to that most essential of assets - a reliable supply of potable water. In my view, an award of general damages in the amount of $5,000 is entirely reasonable in the plaintiffs' circumstances.</w:t>
      </w:r>
      <w:r>
        <w:rPr>
          <w:rFonts w:ascii="arial" w:eastAsia="arial" w:hAnsi="arial" w:cs="arial"/>
          <w:sz w:val="20"/>
          <w:lang w:val="en-US" w:eastAsia="en-US" w:bidi="ar-SA"/>
        </w:rPr>
        <w:cr/>
      </w:r>
    </w:p>
    <w:p>
      <w:pPr>
        <w:numPr>
          <w:numId w:val="4"/>
        </w:numPr>
        <w:tabs>
          <w:tab w:val="num" w:pos="760"/>
          <w:tab w:val="clear" w:pos="1480"/>
        </w:tabs>
        <w:spacing w:before="120" w:line="260" w:lineRule="atLeast"/>
        <w:ind w:left="760"/>
        <w:jc w:val="both"/>
        <w:rPr>
          <w:rFonts w:ascii="arial" w:eastAsia="arial" w:hAnsi="arial" w:cs="arial"/>
          <w:sz w:val="20"/>
          <w:lang w:val="en-US" w:eastAsia="en-US" w:bidi="ar-SA"/>
        </w:rPr>
      </w:pPr>
      <w:r>
        <w:rPr>
          <w:rFonts w:ascii="arial" w:eastAsia="arial" w:hAnsi="arial" w:cs="arial"/>
          <w:color w:val="000000"/>
          <w:sz w:val="20"/>
          <w:lang w:val="en-US" w:eastAsia="en-US" w:bidi="ar-SA"/>
        </w:rPr>
        <w:t>CONCLUSION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55</w:t>
      </w:r>
      <w:r>
        <w:rPr>
          <w:rFonts w:ascii="arial" w:eastAsia="arial" w:hAnsi="arial" w:cs="arial"/>
          <w:color w:val="000000"/>
          <w:sz w:val="20"/>
          <w:lang w:val="en-US" w:eastAsia="en-US" w:bidi="ar-SA"/>
        </w:rPr>
        <w:t>  For the reasons stated above, I find that the plaintiffs are entitled to general damages of $5,000 and special damages of $34,474.71 as a consequence of the negligent misrepresentation of the defendants with respect to the quantity and quality of the water supply to the property.</w:t>
      </w:r>
      <w:r>
        <w:rPr>
          <w:rFonts w:ascii="arial" w:eastAsia="arial" w:hAnsi="arial" w:cs="arial"/>
          <w:sz w:val="20"/>
          <w:lang w:val="en-US" w:eastAsia="en-US" w:bidi="ar-SA"/>
        </w:rPr>
        <w:cr/>
      </w:r>
    </w:p>
    <w:p>
      <w:pPr>
        <w:numPr>
          <w:numId w:val="5"/>
        </w:numPr>
        <w:tabs>
          <w:tab w:val="num" w:pos="760"/>
          <w:tab w:val="clear" w:pos="1840"/>
        </w:tabs>
        <w:spacing w:before="120" w:line="260" w:lineRule="atLeast"/>
        <w:ind w:left="760"/>
        <w:jc w:val="both"/>
        <w:rPr>
          <w:rFonts w:ascii="arial" w:eastAsia="arial" w:hAnsi="arial" w:cs="arial"/>
          <w:sz w:val="20"/>
          <w:lang w:val="en-US" w:eastAsia="en-US" w:bidi="ar-SA"/>
        </w:rPr>
      </w:pPr>
      <w:r>
        <w:rPr>
          <w:rFonts w:ascii="arial" w:eastAsia="arial" w:hAnsi="arial" w:cs="arial"/>
          <w:color w:val="000000"/>
          <w:sz w:val="20"/>
          <w:lang w:val="en-US" w:eastAsia="en-US" w:bidi="ar-SA"/>
        </w:rPr>
        <w:t>COURT ORDER INTEREST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56</w:t>
      </w:r>
      <w:r>
        <w:rPr>
          <w:rFonts w:ascii="arial" w:eastAsia="arial" w:hAnsi="arial" w:cs="arial"/>
          <w:color w:val="000000"/>
          <w:sz w:val="20"/>
          <w:lang w:val="en-US" w:eastAsia="en-US" w:bidi="ar-SA"/>
        </w:rPr>
        <w:t xml:space="preserve">  The plaintiffs are entitled to prejudgment interest at Registrar's rates calculated pursuant to s. 1(3) of the Court Order Interest Act, </w:t>
      </w:r>
      <w:r>
        <w:rPr>
          <w:rFonts w:ascii="arial" w:eastAsia="arial" w:hAnsi="arial" w:cs="arial"/>
          <w:i/>
          <w:color w:val="000000"/>
          <w:sz w:val="20"/>
          <w:lang w:val="en-US" w:eastAsia="en-US" w:bidi="ar-SA"/>
        </w:rPr>
        <w:t>R.S.B.C. 1996 c. 79</w:t>
      </w:r>
      <w:r>
        <w:rPr>
          <w:rFonts w:ascii="arial" w:eastAsia="arial" w:hAnsi="arial" w:cs="arial"/>
          <w:color w:val="000000"/>
          <w:sz w:val="20"/>
          <w:lang w:val="en-US" w:eastAsia="en-US" w:bidi="ar-SA"/>
        </w:rPr>
        <w:t>, to date of judgment.</w:t>
      </w:r>
      <w:r>
        <w:rPr>
          <w:rFonts w:ascii="arial" w:eastAsia="arial" w:hAnsi="arial" w:cs="arial"/>
          <w:sz w:val="20"/>
          <w:lang w:val="en-US" w:eastAsia="en-US" w:bidi="ar-SA"/>
        </w:rPr>
        <w:cr/>
      </w:r>
    </w:p>
    <w:p>
      <w:pPr>
        <w:numPr>
          <w:numId w:val="6"/>
        </w:numPr>
        <w:tabs>
          <w:tab w:val="num" w:pos="760"/>
          <w:tab w:val="clear" w:pos="1480"/>
        </w:tabs>
        <w:spacing w:before="120" w:line="260" w:lineRule="atLeast"/>
        <w:ind w:left="760"/>
        <w:jc w:val="both"/>
        <w:rPr>
          <w:rFonts w:ascii="arial" w:eastAsia="arial" w:hAnsi="arial" w:cs="arial"/>
          <w:sz w:val="20"/>
          <w:lang w:val="en-US" w:eastAsia="en-US" w:bidi="ar-SA"/>
        </w:rPr>
      </w:pPr>
      <w:r>
        <w:rPr>
          <w:rFonts w:ascii="arial" w:eastAsia="arial" w:hAnsi="arial" w:cs="arial"/>
          <w:color w:val="000000"/>
          <w:sz w:val="20"/>
          <w:lang w:val="en-US" w:eastAsia="en-US" w:bidi="ar-SA"/>
        </w:rPr>
        <w:t>COSTS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57</w:t>
      </w:r>
      <w:r>
        <w:rPr>
          <w:rFonts w:ascii="arial" w:eastAsia="arial" w:hAnsi="arial" w:cs="arial"/>
          <w:color w:val="000000"/>
          <w:sz w:val="20"/>
          <w:lang w:val="en-US" w:eastAsia="en-US" w:bidi="ar-SA"/>
        </w:rPr>
        <w:t>  Counsel requested leave to address the question of costs after delivery of reasons for judgment. If counsel have reason to suggest to me that costs should be other than to the plaintiffs on Scale 3, they may make written submissions. Otherwise, an order for costs to this effect may be incorporated in the order for judgment.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MELNICK J.</w:t>
      </w:r>
      <w:r>
        <w:rPr>
          <w:rFonts w:ascii="arial" w:eastAsia="arial" w:hAnsi="arial" w:cs="arial"/>
          <w:sz w:val="20"/>
          <w:lang w:val="en-US" w:eastAsia="en-US" w:bidi="ar-SA"/>
        </w:rPr>
        <w:cr/>
      </w:r>
    </w:p>
    <w:p>
      <w:pPr>
        <w:rPr>
          <w:rFonts w:ascii="arial" w:eastAsia="arial" w:hAnsi="arial" w:cs="arial"/>
          <w:sz w:val="20"/>
          <w:lang w:val="en-US" w:eastAsia="en-US" w:bidi="ar-SA"/>
        </w:rPr>
      </w:pPr>
    </w:p>
    <w:p>
      <w:pPr>
        <w:ind w:left="200"/>
        <w:rPr>
          <w:rFonts w:ascii="arial" w:eastAsia="arial" w:hAnsi="arial" w:cs="arial"/>
          <w:sz w:val="20"/>
          <w:lang w:val="en-US" w:eastAsia="en-US" w:bidi="ar-SA"/>
        </w:rPr>
        <w:sectPr>
          <w:type w:val="continuous"/>
          <w:pgMar w:top="840" w:right="1000" w:bottom="840" w:left="1000" w:header="400" w:footer="400"/>
          <w:pgNumType w:fmt="decimal"/>
          <w:cols w:space="720"/>
        </w:sectPr>
      </w:pPr>
      <w:r>
        <w:rPr>
          <w:rFonts w:ascii="arial" w:eastAsia="arial" w:hAnsi="arial" w:cs="arial"/>
          <w:sz w:val="20"/>
          <w:lang w:val="en-US" w:eastAsia="en-US" w:bidi="ar-SA"/>
        </w:rPr>
        <w:br/>
      </w:r>
      <w:r>
        <w:pict>
          <v:line id="_x0000_s1218" style="position:absolute;z-index:251850752" from="0,10pt" to="512pt,10pt" strokecolor="black" strokeweight="1pt">
            <v:stroke linestyle="single"/>
          </v:line>
        </w:pict>
      </w:r>
      <w:r>
        <w:rPr>
          <w:b/>
          <w:color w:val="767676"/>
          <w:sz w:val="16"/>
          <w:lang w:val="en-US" w:eastAsia="en-US" w:bidi="ar-SA"/>
        </w:rPr>
        <w:t>End of Document</w:t>
      </w:r>
    </w:p>
    <w:p>
      <w:pPr>
        <w:rPr>
          <w:rFonts w:ascii="arial" w:eastAsia="arial" w:hAnsi="arial" w:cs="arial"/>
          <w:sz w:val="20"/>
          <w:lang w:val="en-US" w:eastAsia="en-US" w:bidi="ar-SA"/>
        </w:rPr>
        <w:sectPr>
          <w:headerReference w:type="even" r:id="rId725"/>
          <w:headerReference w:type="default" r:id="rId726"/>
          <w:footerReference w:type="even" r:id="rId727"/>
          <w:footerReference w:type="default" r:id="rId728"/>
          <w:headerReference w:type="first" r:id="rId729"/>
          <w:footerReference w:type="first" r:id="rId730"/>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eastAsia="arial" w:hAnsi="Arial" w:cs="Arial"/>
          <w:b/>
          <w:bCs/>
          <w:kern w:val="32"/>
          <w:sz w:val="32"/>
          <w:szCs w:val="32"/>
          <w:lang w:val="en-US" w:eastAsia="en-US" w:bidi="ar-SA"/>
        </w:rPr>
      </w:pPr>
      <w:hyperlink r:id="rId731" w:history="1">
        <w:r>
          <w:rPr>
            <w:rFonts w:ascii="arial" w:eastAsia="arial" w:hAnsi="arial" w:cs="arial"/>
            <w:b/>
            <w:bCs/>
            <w:i/>
            <w:color w:val="0077CC"/>
            <w:kern w:val="32"/>
            <w:sz w:val="28"/>
            <w:szCs w:val="32"/>
            <w:u w:val="single"/>
            <w:shd w:val="clear" w:color="auto" w:fill="FFFFFF"/>
            <w:lang w:val="en-US" w:eastAsia="en-US" w:bidi="ar-SA"/>
          </w:rPr>
          <w:t>Westsea Construction Ltd. v. 0759553 B.C. Ltd., [2013] B.C.J. No. 1657</w:t>
        </w:r>
      </w:hyperlink>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Judgments</w:t>
      </w:r>
    </w:p>
    <w:p>
      <w:pPr>
        <w:rPr>
          <w:rFonts w:ascii="arial" w:eastAsia="arial" w:hAnsi="arial" w:cs="arial"/>
          <w:sz w:val="20"/>
          <w:lang w:val="en-US" w:eastAsia="en-US" w:bidi="ar-SA"/>
        </w:rPr>
      </w:pP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Vancouver, British Columbia</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J.M. Gropper J.</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Heard: January 23-25, February 28, March 1 and 7, 2013.</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Supplementary judgment: July 29, 2013.</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Docket: S116261</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Registry: Vancouver</w:t>
      </w:r>
    </w:p>
    <w:p>
      <w:pPr>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r>
        <w:rPr>
          <w:rFonts w:ascii="arial" w:eastAsia="arial" w:hAnsi="arial" w:cs="arial"/>
          <w:b/>
          <w:color w:val="000000"/>
          <w:sz w:val="20"/>
          <w:lang w:val="en-US" w:eastAsia="en-US" w:bidi="ar-SA"/>
        </w:rPr>
        <w:t>[2013] B.C.J. No. 1657</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2013 BCSC 1352</w:t>
      </w:r>
    </w:p>
    <w:p>
      <w:pPr>
        <w:spacing w:before="120" w:line="260" w:lineRule="atLeast"/>
        <w:rPr>
          <w:rFonts w:ascii="arial" w:eastAsia="arial" w:hAnsi="arial" w:cs="arial"/>
          <w:sz w:val="20"/>
          <w:lang w:val="en-US" w:eastAsia="en-US" w:bidi="ar-SA"/>
        </w:rPr>
      </w:pPr>
      <w:r>
        <w:rPr>
          <w:rFonts w:ascii="arial" w:eastAsia="arial" w:hAnsi="arial" w:cs="arial"/>
          <w:color w:val="000000"/>
          <w:sz w:val="20"/>
          <w:lang w:val="en-US" w:eastAsia="en-US" w:bidi="ar-SA"/>
        </w:rPr>
        <w:t>Between Westsea Construction Ltd., Capital Construction Supplies Ltd., and Sussex Square Apartments Ltd., Plaintiffs, and 0759553 B.C. Ltd. and Others, Defendants</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(145 paras.)</w:t>
      </w:r>
    </w:p>
    <w:p>
      <w:pPr>
        <w:spacing w:line="24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 xml:space="preserve">[Editor's note: Original reasons for judgment were released November 30, 2012. See </w:t>
      </w:r>
      <w:hyperlink r:id="rId732" w:history="1">
        <w:r>
          <w:rPr>
            <w:rFonts w:ascii="arial" w:eastAsia="arial" w:hAnsi="arial" w:cs="arial"/>
            <w:i/>
            <w:color w:val="0077CC"/>
            <w:sz w:val="18"/>
            <w:u w:val="single"/>
            <w:shd w:val="clear" w:color="auto" w:fill="FFFFFF"/>
            <w:lang w:val="en-US" w:eastAsia="en-US" w:bidi="ar-SA"/>
          </w:rPr>
          <w:t>[2012] B.C.J. No. 2512</w:t>
        </w:r>
      </w:hyperlink>
      <w:r>
        <w:rPr>
          <w:rFonts w:ascii="arial" w:eastAsia="arial" w:hAnsi="arial" w:cs="arial"/>
          <w:color w:val="000000"/>
          <w:sz w:val="18"/>
          <w:lang w:val="en-US" w:eastAsia="en-US" w:bidi="ar-SA"/>
        </w:rPr>
        <w:t>.]</w:t>
      </w:r>
      <w:r>
        <w:rPr>
          <w:rFonts w:ascii="arial" w:eastAsia="arial" w:hAnsi="arial" w:cs="arial"/>
          <w:sz w:val="20"/>
          <w:lang w:val="en-US" w:eastAsia="en-US" w:bidi="ar-SA"/>
        </w:rPr>
        <w:cr/>
      </w:r>
    </w:p>
    <w:p>
      <w:pPr>
        <w:keepNext/>
        <w:spacing w:before="12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Case Summary</w:t>
      </w:r>
    </w:p>
    <w:p>
      <w:pPr>
        <w:spacing w:line="60" w:lineRule="exact"/>
        <w:rPr>
          <w:rFonts w:ascii="arial" w:eastAsia="arial" w:hAnsi="arial" w:cs="arial"/>
          <w:sz w:val="20"/>
          <w:lang w:val="en-US" w:eastAsia="en-US" w:bidi="ar-SA"/>
        </w:rPr>
      </w:pPr>
      <w:r>
        <w:pict>
          <v:line id="_x0000_s1219" style="position:absolute;z-index:251700224"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bookmarkStart w:id="258" w:name="Keywords_39"/>
      <w:bookmarkEnd w:id="258"/>
      <w:r>
        <w:rPr>
          <w:rFonts w:ascii="arial" w:eastAsia="arial" w:hAnsi="arial" w:cs="arial"/>
          <w:b/>
          <w:color w:val="000000"/>
          <w:sz w:val="20"/>
          <w:lang w:val="en-US" w:eastAsia="en-US" w:bidi="ar-SA"/>
        </w:rPr>
        <w:t>Civil litigation — Civil procedure — Costs — Particular orders — Special orders — For reprehensible or inefficient conduct — Increase in scale of costs — Application by plaintiffs for special costs against majority of 170 defendants on basis of reprehensible conduct dismissed — Majority defendants' cross-claims not proven but conduct pursuing those claims did not meet threshold of reprehensibility — Claims were not obviously unfounded, reckless, made out of malice or improper motive — Defendants did not conduct litigation fraudulently or dishonestly — Case was not complex or novel — No basis to depart from usual rule that costs followed event at scale B — Majority defendants were severally liable for costs calculated at pro rata share in accordance with their respective lease obligations.</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Landlord and tenant law — Proceedings — Practice and procedure — Costs — Considerations — Application by plaintiffs for special costs against majority of 170 defendants on basis of reprehensible conduct dismissed — Majority defendants' cross-claims not proven but conduct in pursuing those claims did not meet threshold of reprehensibility — Claims were not obviously unfounded, reckless, made out of malice or improper motive — Defendants did not conduct litigation fraudulently or dishonestly — Case was not complex or novel — No basis to depart from usual rule that costs followed event at scale B — Majority defendants were severally liable for costs calculated at pro rata share in accordance with their respective lease obligations.</w:t>
      </w:r>
    </w:p>
    <w:p>
      <w:pPr>
        <w:rPr>
          <w:rFonts w:ascii="arial" w:eastAsia="arial" w:hAnsi="arial" w:cs="arial"/>
          <w:sz w:val="20"/>
          <w:lang w:val="en-US" w:eastAsia="en-US" w:bidi="ar-SA"/>
        </w:rPr>
      </w:pPr>
    </w:p>
    <w:tbl>
      <w:tblPr>
        <w:tblStyle w:val="TableNormal"/>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
      <w:tblGrid>
        <w:gridCol w:w="10225"/>
      </w:tblGrid>
      <w:tr>
        <w:tblPrEx>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Ex>
        <w:tc>
          <w:tcPr/>
          <w:p>
            <w:pPr>
              <w:rPr>
                <w:rFonts w:ascii="arial" w:eastAsia="arial" w:hAnsi="arial" w:cs="arial"/>
                <w:sz w:val="20"/>
                <w:lang w:val="en-US" w:eastAsia="en-US" w:bidi="ar-SA"/>
              </w:rPr>
            </w:pPr>
            <w:bookmarkStart w:id="259" w:name="Case Summary_37"/>
            <w:bookmarkEnd w:id="259"/>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Application by plaintiffs for an order for special costs against the majority of the 170 defendants on the basis of reprehensible conduct. The plaintiff owners had claimed against the defendant leaseholders for repairs made to a residential apartment complex. After an eight-day summary trial, the trial judge found for the plaintiffs, finding they did not breach any duty to maintain or repair the building or to maintain an adequate contingency fund. The plaintiffs asserted the majority defendants advanced unmeritorious cross-claims and conducted the litigation in a manner that delayed and increased the cost of defending the invalid cross-claims, including refusing to provide proper document disclosure, relying on misleading affidavits and refusing to attend examinations for discovery. The defendants argued the plaintiffs were disentitled to costs because they brought unnecessary applications that increased the costs of the proceeding, engaged in obstructive conduct, causing delay and brought over 30 petitions in relation to the matter. </w:t>
            </w:r>
            <w:r>
              <w:rPr>
                <w:rFonts w:ascii="arial" w:eastAsia="arial" w:hAnsi="arial" w:cs="arial"/>
                <w:sz w:val="20"/>
                <w:lang w:val="en-US" w:eastAsia="en-US" w:bidi="ar-SA"/>
              </w:rPr>
              <w:cr/>
            </w:r>
          </w:p>
          <w:p>
            <w:pPr>
              <w:spacing w:before="120" w:line="260" w:lineRule="atLeast"/>
              <w:ind w:left="240"/>
              <w:jc w:val="both"/>
              <w:rPr>
                <w:rFonts w:ascii="arial" w:eastAsia="arial" w:hAnsi="arial" w:cs="arial"/>
                <w:sz w:val="20"/>
                <w:lang w:val="en-US" w:eastAsia="en-US" w:bidi="ar-SA"/>
              </w:rPr>
            </w:pPr>
            <w:bookmarkStart w:id="260" w:name="Holdings of Court_31"/>
            <w:bookmarkEnd w:id="260"/>
            <w:r>
              <w:rPr>
                <w:rFonts w:ascii="arial" w:eastAsia="arial" w:hAnsi="arial" w:cs="arial"/>
                <w:color w:val="000000"/>
                <w:sz w:val="20"/>
                <w:lang w:val="en-US" w:eastAsia="en-US" w:bidi="ar-SA"/>
              </w:rPr>
              <w:t>HELD: Application dismissed.</w:t>
            </w:r>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The majority defendants had contributed to some delay, resulting in an increase in the costs of the proceedings but their conduct was not reprehensible. The majority defendants' cross-claims were not proven but their conduct in pursuing those claims did not meet the threshold of reprehensibility. Their claims were not obviously unfounded, reckless, made out of malice or an improper motive. They did not conduct the litigation fraudulently or dishonestly. The procedural deficiencies relied on by the plaintiffs could easily have arisen from problems of communication and scheduling on both sides given the number of parties involved. The majority defendants did not abuse the court's process. Any errors were purely procedural and did not create any substantial prejudice for the plaintiffs. The case was not complex or novel. The plaintiffs were not entitled to costs at scale c. The plaintiffs did not conduct themselves in a manner that was high handed, unreasonable or discreditable. There was no basis to depart from the usual rule that costs followed the event at scale B. The majority defendants were severally liable for costs calculated at a pro rata share in accordance with the majority defendants' respective lease obligations. It would be an onerous burden on the majority defendants to be held jointly liable for the entirety of the debt claim. </w:t>
            </w:r>
            <w:r>
              <w:rPr>
                <w:rFonts w:ascii="arial" w:eastAsia="arial" w:hAnsi="arial" w:cs="arial"/>
                <w:sz w:val="20"/>
                <w:lang w:val="en-US" w:eastAsia="en-US" w:bidi="ar-SA"/>
              </w:rPr>
              <w:cr/>
            </w:r>
          </w:p>
          <w:p>
            <w:pPr>
              <w:rPr>
                <w:rFonts w:ascii="arial" w:eastAsia="arial" w:hAnsi="arial" w:cs="arial"/>
                <w:sz w:val="20"/>
                <w:lang w:val="en-US" w:eastAsia="en-US" w:bidi="ar-SA"/>
              </w:rPr>
            </w:pPr>
          </w:p>
        </w:tc>
      </w:tr>
    </w:tbl>
    <w:p>
      <w:pPr>
        <w:jc w:val="both"/>
        <w:rPr>
          <w:rFonts w:ascii="arial" w:eastAsia="arial" w:hAnsi="arial" w:cs="arial"/>
          <w:sz w:val="20"/>
          <w:lang w:val="en-US" w:eastAsia="en-US" w:bidi="ar-SA"/>
        </w:rPr>
      </w:pPr>
      <w:bookmarkStart w:id="261" w:name="Legislation Cited_26"/>
      <w:bookmarkEnd w:id="261"/>
      <w:r>
        <w:rPr>
          <w:rFonts w:ascii="arial" w:eastAsia="arial" w:hAnsi="arial" w:cs="arial"/>
          <w:sz w:val="20"/>
          <w:lang w:val="en-US" w:eastAsia="en-US" w:bidi="ar-SA"/>
        </w:rPr>
        <w:br/>
      </w:r>
    </w:p>
    <w:p>
      <w:pPr>
        <w:keepNext/>
        <w:spacing w:before="24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Statutes, Regulations and Rules Cited:</w:t>
      </w:r>
    </w:p>
    <w:p>
      <w:pPr>
        <w:spacing w:line="60" w:lineRule="exact"/>
        <w:rPr>
          <w:rFonts w:ascii="arial" w:eastAsia="arial" w:hAnsi="arial" w:cs="arial"/>
          <w:sz w:val="20"/>
          <w:lang w:val="en-US" w:eastAsia="en-US" w:bidi="ar-SA"/>
        </w:rPr>
      </w:pPr>
      <w:r>
        <w:pict>
          <v:line id="_x0000_s1220" style="position:absolute;z-index:251751424"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British Columbia Supreme Court Civil Rules, </w:t>
      </w:r>
      <w:r>
        <w:rPr>
          <w:rFonts w:ascii="arial" w:eastAsia="arial" w:hAnsi="arial" w:cs="arial"/>
          <w:i/>
          <w:color w:val="000000"/>
          <w:sz w:val="20"/>
          <w:lang w:val="en-US" w:eastAsia="en-US" w:bidi="ar-SA"/>
        </w:rPr>
        <w:t>B.C. Reg. 168/2009, Rule 1-3</w:t>
      </w:r>
      <w:r>
        <w:rPr>
          <w:rFonts w:ascii="arial" w:eastAsia="arial" w:hAnsi="arial" w:cs="arial"/>
          <w:color w:val="000000"/>
          <w:sz w:val="20"/>
          <w:lang w:val="en-US" w:eastAsia="en-US" w:bidi="ar-SA"/>
        </w:rPr>
        <w:t>(1), Rule 14-1(1), Rule 14-1(2)(a), Rule 14-1(3)(a), Rule 14-1(9)</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Court Order Interest Act, </w:t>
      </w:r>
      <w:r>
        <w:rPr>
          <w:rFonts w:ascii="arial" w:eastAsia="arial" w:hAnsi="arial" w:cs="arial"/>
          <w:i/>
          <w:color w:val="000000"/>
          <w:sz w:val="20"/>
          <w:lang w:val="en-US" w:eastAsia="en-US" w:bidi="ar-SA"/>
        </w:rPr>
        <w:t>RSBC 1996, CHAPTER 79</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Law and Equity Act, R.S.B&gt;C. 1996, c. 253,</w:t>
      </w:r>
      <w:r>
        <w:rPr>
          <w:rFonts w:ascii="arial" w:eastAsia="arial" w:hAnsi="arial" w:cs="arial"/>
          <w:sz w:val="20"/>
          <w:lang w:val="en-US" w:eastAsia="en-US" w:bidi="ar-SA"/>
        </w:rPr>
        <w:cr/>
      </w:r>
    </w:p>
    <w:p>
      <w:pPr>
        <w:keepNext/>
        <w:spacing w:before="240" w:line="340" w:lineRule="atLeast"/>
        <w:rPr>
          <w:rFonts w:ascii="arial" w:eastAsia="arial" w:hAnsi="arial" w:cs="arial"/>
          <w:sz w:val="20"/>
          <w:lang w:val="en-US" w:eastAsia="en-US" w:bidi="ar-SA"/>
        </w:rPr>
      </w:pPr>
      <w:bookmarkStart w:id="262" w:name="Counsel_39"/>
      <w:bookmarkEnd w:id="262"/>
      <w:r>
        <w:rPr>
          <w:rFonts w:ascii="arial" w:eastAsia="arial" w:hAnsi="arial" w:cs="arial"/>
          <w:b/>
          <w:color w:val="000000"/>
          <w:sz w:val="28"/>
          <w:lang w:val="en-US" w:eastAsia="en-US" w:bidi="ar-SA"/>
        </w:rPr>
        <w:t>Counsel</w:t>
      </w:r>
    </w:p>
    <w:p>
      <w:pPr>
        <w:spacing w:line="60" w:lineRule="exact"/>
        <w:rPr>
          <w:rFonts w:ascii="arial" w:eastAsia="arial" w:hAnsi="arial" w:cs="arial"/>
          <w:sz w:val="20"/>
          <w:lang w:val="en-US" w:eastAsia="en-US" w:bidi="ar-SA"/>
        </w:rPr>
      </w:pPr>
      <w:r>
        <w:pict>
          <v:line id="_x0000_s1221" style="position:absolute;z-index:251802624"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Counsel for the plaintiffs: M.C. Stacey and S.W. Lesiuk.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Counsel for the Defendants: T.S. Galbraith.</w:t>
      </w:r>
      <w:r>
        <w:rPr>
          <w:rFonts w:ascii="arial" w:eastAsia="arial" w:hAnsi="arial" w:cs="arial"/>
          <w:sz w:val="20"/>
          <w:lang w:val="en-US" w:eastAsia="en-US" w:bidi="ar-SA"/>
        </w:rPr>
        <w:cr/>
      </w:r>
    </w:p>
    <w:p>
      <w:pPr>
        <w:spacing w:after="240"/>
        <w:rPr>
          <w:rFonts w:ascii="arial" w:eastAsia="arial" w:hAnsi="arial" w:cs="arial"/>
          <w:sz w:val="20"/>
          <w:lang w:val="en-US" w:eastAsia="en-US" w:bidi="ar-SA"/>
        </w:rPr>
      </w:pPr>
      <w:bookmarkStart w:id="263" w:name="Judgment_40"/>
      <w:bookmarkEnd w:id="263"/>
      <w:r>
        <w:pict>
          <v:line id="_x0000_s1222" style="position:absolute;z-index:251851776" from="0,12pt" to="512pt,12pt" strokecolor="#009ddb" strokeweight="1.5pt">
            <v:stroke linestyle="single"/>
          </v:line>
        </w:pict>
      </w:r>
    </w:p>
    <w:p>
      <w:pPr>
        <w:spacing w:before="120" w:line="260" w:lineRule="atLeast"/>
        <w:jc w:val="center"/>
        <w:rPr>
          <w:rFonts w:ascii="arial" w:eastAsia="arial" w:hAnsi="arial" w:cs="arial"/>
          <w:sz w:val="20"/>
          <w:lang w:val="en-US" w:eastAsia="en-US" w:bidi="ar-SA"/>
        </w:rPr>
      </w:pPr>
      <w:r>
        <w:rPr>
          <w:rFonts w:ascii="arial" w:eastAsia="arial" w:hAnsi="arial" w:cs="arial"/>
          <w:b/>
          <w:color w:val="000000"/>
          <w:sz w:val="20"/>
          <w:lang w:val="en-US" w:eastAsia="en-US" w:bidi="ar-SA"/>
        </w:rPr>
        <w:t>Table of Contents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INTRODUCTION</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 BACKGROUND</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 SPECIAL COSTS</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Legal Framework</w:t>
      </w:r>
    </w:p>
    <w:p>
      <w:pPr>
        <w:spacing w:before="120" w:line="260" w:lineRule="atLeast"/>
        <w:ind w:left="1440"/>
        <w:rPr>
          <w:rFonts w:ascii="arial" w:eastAsia="arial" w:hAnsi="arial" w:cs="arial"/>
          <w:sz w:val="20"/>
          <w:lang w:val="en-US" w:eastAsia="en-US" w:bidi="ar-SA"/>
        </w:rPr>
      </w:pPr>
      <w:r>
        <w:rPr>
          <w:rFonts w:ascii="arial" w:eastAsia="arial" w:hAnsi="arial" w:cs="arial"/>
          <w:color w:val="000000"/>
          <w:sz w:val="20"/>
          <w:lang w:val="en-US" w:eastAsia="en-US" w:bidi="ar-SA"/>
        </w:rPr>
        <w:t>The Traditional Approach to Costs Awards</w:t>
      </w:r>
    </w:p>
    <w:p>
      <w:pPr>
        <w:spacing w:before="120" w:line="260" w:lineRule="atLeast"/>
        <w:ind w:left="1440"/>
        <w:rPr>
          <w:rFonts w:ascii="arial" w:eastAsia="arial" w:hAnsi="arial" w:cs="arial"/>
          <w:sz w:val="20"/>
          <w:lang w:val="en-US" w:eastAsia="en-US" w:bidi="ar-SA"/>
        </w:rPr>
      </w:pPr>
      <w:r>
        <w:rPr>
          <w:rFonts w:ascii="arial" w:eastAsia="arial" w:hAnsi="arial" w:cs="arial"/>
          <w:color w:val="000000"/>
          <w:sz w:val="20"/>
          <w:lang w:val="en-US" w:eastAsia="en-US" w:bidi="ar-SA"/>
        </w:rPr>
        <w:t xml:space="preserve"> The Court's Inherent Jurisdiction to Award</w:t>
      </w:r>
    </w:p>
    <w:p>
      <w:pPr>
        <w:spacing w:before="120" w:line="260" w:lineRule="atLeast"/>
        <w:ind w:left="1440"/>
        <w:rPr>
          <w:rFonts w:ascii="arial" w:eastAsia="arial" w:hAnsi="arial" w:cs="arial"/>
          <w:sz w:val="20"/>
          <w:lang w:val="en-US" w:eastAsia="en-US" w:bidi="ar-SA"/>
        </w:rPr>
      </w:pPr>
      <w:r>
        <w:rPr>
          <w:rFonts w:ascii="arial" w:eastAsia="arial" w:hAnsi="arial" w:cs="arial"/>
          <w:color w:val="000000"/>
          <w:sz w:val="20"/>
          <w:lang w:val="en-US" w:eastAsia="en-US" w:bidi="ar-SA"/>
        </w:rPr>
        <w:t xml:space="preserve"> Costs</w:t>
      </w:r>
    </w:p>
    <w:p>
      <w:pPr>
        <w:spacing w:before="120" w:line="260" w:lineRule="atLeast"/>
        <w:ind w:left="1440"/>
        <w:rPr>
          <w:rFonts w:ascii="arial" w:eastAsia="arial" w:hAnsi="arial" w:cs="arial"/>
          <w:sz w:val="20"/>
          <w:lang w:val="en-US" w:eastAsia="en-US" w:bidi="ar-SA"/>
        </w:rPr>
      </w:pPr>
      <w:r>
        <w:rPr>
          <w:rFonts w:ascii="arial" w:eastAsia="arial" w:hAnsi="arial" w:cs="arial"/>
          <w:color w:val="000000"/>
          <w:sz w:val="20"/>
          <w:lang w:val="en-US" w:eastAsia="en-US" w:bidi="ar-SA"/>
        </w:rPr>
        <w:t xml:space="preserve"> The Threshold for a Special Costs Award</w:t>
      </w:r>
    </w:p>
    <w:p>
      <w:pPr>
        <w:spacing w:before="120" w:line="260" w:lineRule="atLeast"/>
        <w:ind w:left="1440"/>
        <w:rPr>
          <w:rFonts w:ascii="arial" w:eastAsia="arial" w:hAnsi="arial" w:cs="arial"/>
          <w:sz w:val="20"/>
          <w:lang w:val="en-US" w:eastAsia="en-US" w:bidi="ar-SA"/>
        </w:rPr>
      </w:pPr>
      <w:r>
        <w:rPr>
          <w:rFonts w:ascii="arial" w:eastAsia="arial" w:hAnsi="arial" w:cs="arial"/>
          <w:color w:val="000000"/>
          <w:sz w:val="20"/>
          <w:lang w:val="en-US" w:eastAsia="en-US" w:bidi="ar-SA"/>
        </w:rPr>
        <w:t xml:space="preserve"> Application of the Reprehensible Standard</w:t>
      </w:r>
    </w:p>
    <w:p>
      <w:pPr>
        <w:numPr>
          <w:numId w:val="11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Meritless Claims and Improper Motive</w:t>
      </w:r>
    </w:p>
    <w:p>
      <w:pPr>
        <w:numPr>
          <w:numId w:val="11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Abuse of the Court's Process</w:t>
      </w:r>
    </w:p>
    <w:p>
      <w:pPr>
        <w:numPr>
          <w:numId w:val="11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Sharp Practice Derogating from the Rules of Professional Conduct and the Rules of Court</w:t>
      </w:r>
    </w:p>
    <w:p>
      <w:pPr>
        <w:numPr>
          <w:numId w:val="11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Misleading the Court</w:t>
      </w:r>
    </w:p>
    <w:p>
      <w:pPr>
        <w:spacing w:line="260" w:lineRule="atLeast"/>
        <w:jc w:val="center"/>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Discussion of the Law of Special Costs</w:t>
      </w:r>
      <w:r>
        <w:rPr>
          <w:rFonts w:ascii="arial" w:eastAsia="arial" w:hAnsi="arial" w:cs="arial"/>
          <w:sz w:val="20"/>
          <w:lang w:val="en-US" w:eastAsia="en-US" w:bidi="ar-SA"/>
        </w:rPr>
        <w:cr/>
      </w:r>
    </w:p>
    <w:p>
      <w:pPr>
        <w:spacing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Position of the Parties</w:t>
      </w:r>
    </w:p>
    <w:p>
      <w:pPr>
        <w:spacing w:before="120" w:line="260" w:lineRule="atLeast"/>
        <w:ind w:left="1440"/>
        <w:rPr>
          <w:rFonts w:ascii="arial" w:eastAsia="arial" w:hAnsi="arial" w:cs="arial"/>
          <w:sz w:val="20"/>
          <w:lang w:val="en-US" w:eastAsia="en-US" w:bidi="ar-SA"/>
        </w:rPr>
      </w:pPr>
      <w:r>
        <w:rPr>
          <w:rFonts w:ascii="arial" w:eastAsia="arial" w:hAnsi="arial" w:cs="arial"/>
          <w:color w:val="000000"/>
          <w:sz w:val="20"/>
          <w:lang w:val="en-US" w:eastAsia="en-US" w:bidi="ar-SA"/>
        </w:rPr>
        <w:t>The Plaintiffs</w:t>
      </w:r>
    </w:p>
    <w:p>
      <w:pPr>
        <w:spacing w:before="120" w:line="260" w:lineRule="atLeast"/>
        <w:ind w:left="1440"/>
        <w:rPr>
          <w:rFonts w:ascii="arial" w:eastAsia="arial" w:hAnsi="arial" w:cs="arial"/>
          <w:sz w:val="20"/>
          <w:lang w:val="en-US" w:eastAsia="en-US" w:bidi="ar-SA"/>
        </w:rPr>
      </w:pPr>
      <w:r>
        <w:rPr>
          <w:rFonts w:ascii="arial" w:eastAsia="arial" w:hAnsi="arial" w:cs="arial"/>
          <w:color w:val="000000"/>
          <w:sz w:val="20"/>
          <w:lang w:val="en-US" w:eastAsia="en-US" w:bidi="ar-SA"/>
        </w:rPr>
        <w:t xml:space="preserve"> The Majority Defendants</w:t>
      </w:r>
    </w:p>
    <w:p>
      <w:pPr>
        <w:spacing w:line="260" w:lineRule="atLeast"/>
        <w:jc w:val="center"/>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Are the Plaintiffs Entitled to Special Costs?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COSTS AT SCALE C</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Legal Framework</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 xml:space="preserve"> Position of the Parties</w:t>
      </w:r>
    </w:p>
    <w:p>
      <w:pPr>
        <w:spacing w:before="120" w:line="260" w:lineRule="atLeast"/>
        <w:ind w:left="1440"/>
        <w:rPr>
          <w:rFonts w:ascii="arial" w:eastAsia="arial" w:hAnsi="arial" w:cs="arial"/>
          <w:sz w:val="20"/>
          <w:lang w:val="en-US" w:eastAsia="en-US" w:bidi="ar-SA"/>
        </w:rPr>
      </w:pPr>
      <w:r>
        <w:rPr>
          <w:rFonts w:ascii="arial" w:eastAsia="arial" w:hAnsi="arial" w:cs="arial"/>
          <w:color w:val="000000"/>
          <w:sz w:val="20"/>
          <w:lang w:val="en-US" w:eastAsia="en-US" w:bidi="ar-SA"/>
        </w:rPr>
        <w:t>The Plaintiffs</w:t>
      </w:r>
    </w:p>
    <w:p>
      <w:pPr>
        <w:spacing w:before="120" w:line="260" w:lineRule="atLeast"/>
        <w:ind w:left="1440"/>
        <w:rPr>
          <w:rFonts w:ascii="arial" w:eastAsia="arial" w:hAnsi="arial" w:cs="arial"/>
          <w:sz w:val="20"/>
          <w:lang w:val="en-US" w:eastAsia="en-US" w:bidi="ar-SA"/>
        </w:rPr>
      </w:pPr>
      <w:r>
        <w:rPr>
          <w:rFonts w:ascii="arial" w:eastAsia="arial" w:hAnsi="arial" w:cs="arial"/>
          <w:color w:val="000000"/>
          <w:sz w:val="20"/>
          <w:lang w:val="en-US" w:eastAsia="en-US" w:bidi="ar-SA"/>
        </w:rPr>
        <w:t xml:space="preserve"> The Majority Defendants</w:t>
      </w:r>
    </w:p>
    <w:p>
      <w:pPr>
        <w:spacing w:line="260" w:lineRule="atLeast"/>
        <w:jc w:val="center"/>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Are the Plaintiffs Entitled to Costs at Scale C?</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DENIAL OF COSTS</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Legal Framework</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 xml:space="preserve"> Position of the Parties</w:t>
      </w:r>
    </w:p>
    <w:p>
      <w:pPr>
        <w:spacing w:before="120" w:line="260" w:lineRule="atLeast"/>
        <w:ind w:left="1440"/>
        <w:rPr>
          <w:rFonts w:ascii="arial" w:eastAsia="arial" w:hAnsi="arial" w:cs="arial"/>
          <w:sz w:val="20"/>
          <w:lang w:val="en-US" w:eastAsia="en-US" w:bidi="ar-SA"/>
        </w:rPr>
      </w:pPr>
      <w:r>
        <w:rPr>
          <w:rFonts w:ascii="arial" w:eastAsia="arial" w:hAnsi="arial" w:cs="arial"/>
          <w:color w:val="000000"/>
          <w:sz w:val="20"/>
          <w:lang w:val="en-US" w:eastAsia="en-US" w:bidi="ar-SA"/>
        </w:rPr>
        <w:t>The Majority Defendants</w:t>
      </w:r>
    </w:p>
    <w:p>
      <w:pPr>
        <w:spacing w:before="120" w:line="260" w:lineRule="atLeast"/>
        <w:ind w:left="1440"/>
        <w:rPr>
          <w:rFonts w:ascii="arial" w:eastAsia="arial" w:hAnsi="arial" w:cs="arial"/>
          <w:sz w:val="20"/>
          <w:lang w:val="en-US" w:eastAsia="en-US" w:bidi="ar-SA"/>
        </w:rPr>
      </w:pPr>
      <w:r>
        <w:rPr>
          <w:rFonts w:ascii="arial" w:eastAsia="arial" w:hAnsi="arial" w:cs="arial"/>
          <w:color w:val="000000"/>
          <w:sz w:val="20"/>
          <w:lang w:val="en-US" w:eastAsia="en-US" w:bidi="ar-SA"/>
        </w:rPr>
        <w:t xml:space="preserve"> The Plaintiffs</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Should the Plaintiffs be Denied Costs?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LIABILITY FOR COSTS</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Positions of the Parties</w:t>
      </w:r>
    </w:p>
    <w:p>
      <w:pPr>
        <w:spacing w:before="120" w:line="260" w:lineRule="atLeast"/>
        <w:ind w:left="1440"/>
        <w:rPr>
          <w:rFonts w:ascii="arial" w:eastAsia="arial" w:hAnsi="arial" w:cs="arial"/>
          <w:sz w:val="20"/>
          <w:lang w:val="en-US" w:eastAsia="en-US" w:bidi="ar-SA"/>
        </w:rPr>
      </w:pPr>
      <w:r>
        <w:rPr>
          <w:rFonts w:ascii="arial" w:eastAsia="arial" w:hAnsi="arial" w:cs="arial"/>
          <w:color w:val="000000"/>
          <w:sz w:val="20"/>
          <w:lang w:val="en-US" w:eastAsia="en-US" w:bidi="ar-SA"/>
        </w:rPr>
        <w:t>The Plaintiffs</w:t>
      </w:r>
    </w:p>
    <w:p>
      <w:pPr>
        <w:spacing w:before="120" w:line="260" w:lineRule="atLeast"/>
        <w:ind w:left="1440"/>
        <w:rPr>
          <w:rFonts w:ascii="arial" w:eastAsia="arial" w:hAnsi="arial" w:cs="arial"/>
          <w:sz w:val="20"/>
          <w:lang w:val="en-US" w:eastAsia="en-US" w:bidi="ar-SA"/>
        </w:rPr>
      </w:pPr>
      <w:r>
        <w:rPr>
          <w:rFonts w:ascii="arial" w:eastAsia="arial" w:hAnsi="arial" w:cs="arial"/>
          <w:color w:val="000000"/>
          <w:sz w:val="20"/>
          <w:lang w:val="en-US" w:eastAsia="en-US" w:bidi="ar-SA"/>
        </w:rPr>
        <w:t xml:space="preserve"> The Majority Defendants</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Should the Majority Defendants be Held Jointly Liable for Costs?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CONCLUSION</w:t>
      </w:r>
    </w:p>
    <w:p>
      <w:pPr>
        <w:spacing w:line="260" w:lineRule="atLeast"/>
        <w:jc w:val="center"/>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Supplementary Reasons for Judgment</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r>
        <w:rPr>
          <w:rFonts w:ascii="arial" w:eastAsia="arial" w:hAnsi="arial" w:cs="arial"/>
          <w:b/>
          <w:color w:val="000000"/>
          <w:sz w:val="20"/>
          <w:lang w:val="en-US" w:eastAsia="en-US" w:bidi="ar-SA"/>
        </w:rPr>
        <w:t>On Costs</w:t>
      </w:r>
      <w:r>
        <w:rPr>
          <w:rFonts w:ascii="arial" w:eastAsia="arial" w:hAnsi="arial" w:cs="arial"/>
          <w:sz w:val="20"/>
          <w:lang w:val="en-US" w:eastAsia="en-US" w:bidi="ar-SA"/>
        </w:rPr>
        <w:cr/>
      </w:r>
    </w:p>
    <w:p>
      <w:pPr>
        <w:rPr>
          <w:rFonts w:ascii="arial" w:eastAsia="arial" w:hAnsi="arial" w:cs="arial"/>
          <w:sz w:val="20"/>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2771"/>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rFonts w:ascii="arial" w:eastAsia="arial" w:hAnsi="arial" w:cs="arial"/>
                <w:sz w:val="20"/>
                <w:lang w:val="en-US" w:eastAsia="en-US" w:bidi="ar-SA"/>
              </w:rPr>
            </w:pPr>
            <w:bookmarkStart w:id="264" w:name="J.M. GROPPER J._0"/>
            <w:bookmarkEnd w:id="264"/>
            <w:r>
              <w:rPr>
                <w:rFonts w:ascii="arial" w:eastAsia="arial" w:hAnsi="arial" w:cs="arial"/>
                <w:b/>
                <w:color w:val="000000"/>
                <w:sz w:val="30"/>
                <w:lang w:val="en-US" w:eastAsia="en-US" w:bidi="ar-SA"/>
              </w:rPr>
              <w:t>J.M. GROPPER J.</w:t>
            </w:r>
          </w:p>
        </w:tc>
      </w:tr>
    </w:tbl>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Introduction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xml:space="preserve">  Both the plaintiffs and the defendants bring applications on costs in regard to my reasons for judgment, indexed at </w:t>
      </w:r>
      <w:hyperlink r:id="rId732" w:history="1">
        <w:r>
          <w:rPr>
            <w:rFonts w:ascii="arial" w:eastAsia="arial" w:hAnsi="arial" w:cs="arial"/>
            <w:i/>
            <w:color w:val="0077CC"/>
            <w:sz w:val="20"/>
            <w:u w:val="single"/>
            <w:shd w:val="clear" w:color="auto" w:fill="FFFFFF"/>
            <w:lang w:val="en-US" w:eastAsia="en-US" w:bidi="ar-SA"/>
          </w:rPr>
          <w:t>2012 BCSC 1799</w:t>
        </w:r>
      </w:hyperlink>
      <w:r>
        <w:rPr>
          <w:rFonts w:ascii="arial" w:eastAsia="arial" w:hAnsi="arial" w:cs="arial"/>
          <w:color w:val="000000"/>
          <w:sz w:val="20"/>
          <w:lang w:val="en-US" w:eastAsia="en-US" w:bidi="ar-SA"/>
        </w:rPr>
        <w:t>. These costs applications are a continuation of the lengthy and hard fought litigation over reparations to a residential apartment complex.</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The plaintiffs seek an order for special costs against a majority of the defendants represented by Jenkins Marzban Logan LLP (majority defendants) on the basis of their alleged reprehensible conduct which, the plaintiffs submit, is deserving of reproof or rebuke.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Alternatively, the plaintiffs submit that the appropriate scale of costs with regard to the majority defendants is scale C due to the complexity and the importance of the issues raised in this matter.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As a further alternative, the plaintiffs seek leave to make further submissions on the issue of their entitlement to "costs with the uplift" pursuant to s. 5 of Appendix B of the Supreme Court Civil Rules at a later date.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The plaintiffs also take the position that it is appropriate for the Court to order joint liability for costs with respect to the majority defendants.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With respect to the remainder of the defendants (the so-called "non-majority defendants"), the plaintiffs seek costs at scale B. Those defendants are:</w:t>
      </w:r>
      <w:r>
        <w:rPr>
          <w:rFonts w:ascii="arial" w:eastAsia="arial" w:hAnsi="arial" w:cs="arial"/>
          <w:sz w:val="20"/>
          <w:lang w:val="en-US" w:eastAsia="en-US" w:bidi="ar-SA"/>
        </w:rPr>
        <w:cr/>
      </w:r>
    </w:p>
    <w:p>
      <w:pPr>
        <w:numPr>
          <w:numId w:val="2"/>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Ada Montesena</w:t>
      </w:r>
    </w:p>
    <w:p>
      <w:pPr>
        <w:numPr>
          <w:numId w:val="2"/>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Dan Na Zhu</w:t>
      </w:r>
    </w:p>
    <w:p>
      <w:pPr>
        <w:numPr>
          <w:numId w:val="2"/>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Daniel Montesena</w:t>
      </w:r>
    </w:p>
    <w:p>
      <w:pPr>
        <w:numPr>
          <w:numId w:val="2"/>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Jie Ping Li</w:t>
      </w:r>
    </w:p>
    <w:p>
      <w:pPr>
        <w:numPr>
          <w:numId w:val="2"/>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Jing Qin Lin</w:t>
      </w:r>
    </w:p>
    <w:p>
      <w:pPr>
        <w:numPr>
          <w:numId w:val="2"/>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Kwong Cheung Lam</w:t>
      </w:r>
    </w:p>
    <w:p>
      <w:pPr>
        <w:numPr>
          <w:numId w:val="2"/>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Maria Veres</w:t>
      </w:r>
    </w:p>
    <w:p>
      <w:pPr>
        <w:numPr>
          <w:numId w:val="2"/>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Ming Wei Tam</w:t>
      </w:r>
    </w:p>
    <w:p>
      <w:pPr>
        <w:numPr>
          <w:numId w:val="2"/>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Qi Hui Li</w:t>
      </w:r>
    </w:p>
    <w:p>
      <w:pPr>
        <w:numPr>
          <w:numId w:val="2"/>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Van Ly Huynh</w:t>
      </w:r>
    </w:p>
    <w:p>
      <w:pPr>
        <w:numPr>
          <w:numId w:val="2"/>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Xiang Gao</w:t>
      </w:r>
    </w:p>
    <w:p>
      <w:pPr>
        <w:numPr>
          <w:numId w:val="2"/>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Ying Xu</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The majority defendants' primary position is that the plaintiffs should be disentitled to all or a portion of their costs on the bases that:</w:t>
      </w:r>
      <w:r>
        <w:rPr>
          <w:rFonts w:ascii="arial" w:eastAsia="arial" w:hAnsi="arial" w:cs="arial"/>
          <w:sz w:val="20"/>
          <w:lang w:val="en-US" w:eastAsia="en-US" w:bidi="ar-SA"/>
        </w:rPr>
        <w:cr/>
      </w:r>
    </w:p>
    <w:p>
      <w:pPr>
        <w:numPr>
          <w:numId w:val="3"/>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they brought unnecessary applications, which increased costs in this proceeding, Action No. S116261, Vancouver Registry (Action #2);</w:t>
      </w:r>
    </w:p>
    <w:p>
      <w:pPr>
        <w:numPr>
          <w:numId w:val="3"/>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they engaged in obstructive conduct, causing delay and increased costs;</w:t>
      </w:r>
    </w:p>
    <w:p>
      <w:pPr>
        <w:numPr>
          <w:numId w:val="3"/>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they engaged in obstructive conduct in the related proceeding, Action No. S105741, Vancouver Registry (Action #1); and</w:t>
      </w:r>
    </w:p>
    <w:p>
      <w:pPr>
        <w:numPr>
          <w:numId w:val="3"/>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they brought over 30 petitions (collectively, the Petitions) in relation to this matter, causing delay and increased costs.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The argument on costs occupied three and a half days of hearings. Voluminous submissions were made and multiple binders of evidence in support of the applications were filed. I sought further guidance with respect to Court of Appeal authority on special costs and the parties both aided me in this request.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For the sake of clarity and simplicity, in these reasons for judgment (except where otherwise noted) "plaintiffs" refers to those parties who are plaintiffs in Action #2, and "majority defendants" refers to those parties who are defendants represented by Jenkins Marzban Logan LLP in Action #2 and plaintiffs represented by Jenkins Marzban Logan LLP in Action #1.</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Background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In my reasons for judgment, I outlined the background to this litigation as follows: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[28] From January 2009 to March 2010, repairs were undertaken in Sussex Square, forming the phase 1 repairs. The phase 2 repairs commenced in fall 2010.</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[29] The first water leak was reported in January 2009. Westsea then contracted JDP to investigate the issue. Repairs were undertaken.</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[30] Another report of a water leak was soon after brought to the attention of Mr. Tartaglia, the plaintiffs' property manager of Sussex Square from 2005 to the present. JDP was again contracted to undertake repairs.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[31] Mr. Tolzmann, President of JDP, informed Mr. Tartaglia that wood joists supporting the exterior stairway landings required replacement. He also informed Mr. Tartaglia that these joists may have impacted the buildings' walls.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[32] On February 4, 2009, Mr. Tartaglia spoke with Roger Steers, an employee of Read Jones Christoffersen Consultant Engineers (RJC) who had previously worked for Westsea, about the process for repairing exterior stairway landings.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[33] Mr. Tartaglia determined that all of the upper stairway landings should be inspected. JDP undertook this inspection, removing the fascia boards to inspect the landings.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[34] While landing repairs were undertaken, a number of other reports of water leaks were made. Each report was investigated and JDP undertook the necessary repairs.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[35] On April 16, 2009, the plaintiffs sent a letter to all leaseholders informing them that repairs had been completed to a number of exterior stairways and landings, at a cost of $12,265 to $30,890 per landing. This letter notified the leaseholders that a special assessment was forthcoming.</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[36] In August 2009, JDP contacted Mr. Rashid, a professional engineer and employee of Levelton Consultants Ltd. (Levelton), to provide engineering services for Sussex Square. He was specifically asked to perform a field inspection review of the work that JDP had completed for Westsea and to provide building envelope repair instructions.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[37] JDP passed the field review inspections conducted by Levelton.</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[38] In October 2009, Mr. Tartaglia asked Mr. Rashid to conduct a field review of repairs that had already been undertaken, a structure review and window testing. He also asked for a building envelope assessment. At this point, Mr. Tartaglia was concerned that the water ingress problems were systemic.</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[39] A building envelope inspection was completed in December 2009 by Mr. Rashid and Alexander Olaru of Levelton. A report was prepared and it was submitted to the plaintiffs on December 15 (Levelton report).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[40] The Levelton report was provided to the leaseholders of Sussex Square on January 21, 2010. Three days later, a meeting was held by the plaintiffs with the leaseholders attending to discuss ongoing and future repairs to Sussex Square. Mr. Tartaglia and Mr. Rashid were also present.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[41] In February 2010, the repairs were estimated at $2,404,748.80, and the leaseholders were assessed a portion of this cost (the special assessment) in accordance with their share of "operating expenses," which are maintenance and repair costs of the buildings pursuant to the lease. Leaseholders were provided notice by letter of the special assessment and their respective share they owed on February 17, 2010. The letter also provided for a payment plan to spread the amount owed over a ten month period from March to December 2010.</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[42] Levelton and the City of Richmond conducted inspections of the repairs through phase 1. Follow-up was required for some caulking and cosmetic work.</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[43] The total costs for phase 1 repairs amounted to $2,481,136.36. It has been paid for by the plaintiffs.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Two actions were commenced in relation to this matter. Action #1 was commenced on August 19, 2010. The defendants sought the following relief:</w:t>
      </w:r>
      <w:r>
        <w:rPr>
          <w:rFonts w:ascii="arial" w:eastAsia="arial" w:hAnsi="arial" w:cs="arial"/>
          <w:sz w:val="20"/>
          <w:lang w:val="en-US" w:eastAsia="en-US" w:bidi="ar-SA"/>
        </w:rPr>
        <w:cr/>
      </w:r>
    </w:p>
    <w:p>
      <w:pPr>
        <w:numPr>
          <w:numId w:val="4"/>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injunctive relief;</w:t>
      </w:r>
    </w:p>
    <w:p>
      <w:pPr>
        <w:numPr>
          <w:numId w:val="5"/>
        </w:numPr>
        <w:tabs>
          <w:tab w:val="num" w:pos="1120"/>
          <w:tab w:val="clear" w:pos="184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a declaration that no debt was owed for phase 1 of the repair work;</w:t>
      </w:r>
    </w:p>
    <w:p>
      <w:pPr>
        <w:numPr>
          <w:numId w:val="6"/>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damages for breach of the terms of the sub-leases;</w:t>
      </w:r>
    </w:p>
    <w:p>
      <w:pPr>
        <w:numPr>
          <w:numId w:val="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damages for negligent misrepresentation;</w:t>
      </w:r>
    </w:p>
    <w:p>
      <w:pPr>
        <w:numPr>
          <w:numId w:val="8"/>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damages for negligent design and construction of the buildings;</w:t>
      </w:r>
    </w:p>
    <w:p>
      <w:pPr>
        <w:numPr>
          <w:numId w:val="9"/>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damages for breach of duty to warn;</w:t>
      </w:r>
    </w:p>
    <w:p>
      <w:pPr>
        <w:numPr>
          <w:numId w:val="10"/>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damages for breach of fiduciary duty;</w:t>
      </w:r>
    </w:p>
    <w:p>
      <w:pPr>
        <w:numPr>
          <w:numId w:val="11"/>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an audit and accounting of phase 1 repairs;</w:t>
      </w:r>
    </w:p>
    <w:p>
      <w:pPr>
        <w:numPr>
          <w:numId w:val="12"/>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a declaration that any sublease terminated was wrongfully terminated;</w:t>
      </w:r>
    </w:p>
    <w:p>
      <w:pPr>
        <w:numPr>
          <w:numId w:val="13"/>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alternatively, relief from forfeiture if any sublease was properly terminated; and</w:t>
      </w:r>
    </w:p>
    <w:p>
      <w:pPr>
        <w:numPr>
          <w:numId w:val="14"/>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costs.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xml:space="preserve">  Action #2 was commenced on September 20, 2011. The plaintiffs filed a notice of civil claim against the leaseholders. They sought damages for breach of contract,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and negligent misrepresentation. Alternatively, they alleged for unjust enrichment and sought recovery for:</w:t>
      </w:r>
      <w:r>
        <w:rPr>
          <w:rFonts w:ascii="arial" w:eastAsia="arial" w:hAnsi="arial" w:cs="arial"/>
          <w:sz w:val="20"/>
          <w:lang w:val="en-US" w:eastAsia="en-US" w:bidi="ar-SA"/>
        </w:rPr>
        <w:cr/>
      </w:r>
    </w:p>
    <w:p>
      <w:pPr>
        <w:numPr>
          <w:numId w:val="15"/>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actual costs of the repairs; and</w:t>
      </w:r>
    </w:p>
    <w:p>
      <w:pPr>
        <w:numPr>
          <w:numId w:val="16"/>
        </w:numPr>
        <w:spacing w:before="120" w:line="260" w:lineRule="atLeast"/>
        <w:jc w:val="both"/>
        <w:rPr>
          <w:rFonts w:ascii="arial" w:eastAsia="arial" w:hAnsi="arial" w:cs="arial"/>
          <w:sz w:val="20"/>
          <w:lang w:val="en-US" w:eastAsia="en-US" w:bidi="ar-SA"/>
        </w:rPr>
      </w:pPr>
      <w:r>
        <w:rPr>
          <w:rFonts w:ascii="arial" w:eastAsia="arial" w:hAnsi="arial" w:cs="arial"/>
          <w:i/>
          <w:color w:val="000000"/>
          <w:sz w:val="20"/>
          <w:lang w:val="en-US" w:eastAsia="en-US" w:bidi="ar-SA"/>
        </w:rPr>
        <w:t>quantum meruit</w:t>
      </w:r>
      <w:r>
        <w:rPr>
          <w:rFonts w:ascii="arial" w:eastAsia="arial" w:hAnsi="arial" w:cs="arial"/>
          <w:color w:val="000000"/>
          <w:sz w:val="20"/>
          <w:lang w:val="en-US" w:eastAsia="en-US" w:bidi="ar-SA"/>
        </w:rPr>
        <w:t>, or in the alternative, an increase in the property value of the defendants' leaseholders' interests;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The plaintiffs also claimed for:</w:t>
      </w:r>
      <w:r>
        <w:rPr>
          <w:rFonts w:ascii="arial" w:eastAsia="arial" w:hAnsi="arial" w:cs="arial"/>
          <w:sz w:val="20"/>
          <w:lang w:val="en-US" w:eastAsia="en-US" w:bidi="ar-SA"/>
        </w:rPr>
        <w:cr/>
      </w:r>
    </w:p>
    <w:p>
      <w:pPr>
        <w:numPr>
          <w:numId w:val="1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special damages;</w:t>
      </w:r>
    </w:p>
    <w:p>
      <w:pPr>
        <w:numPr>
          <w:numId w:val="1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contractual interest or, alternatively, the </w:t>
      </w:r>
      <w:r>
        <w:rPr>
          <w:rFonts w:ascii="arial" w:eastAsia="arial" w:hAnsi="arial" w:cs="arial"/>
          <w:i/>
          <w:color w:val="000000"/>
          <w:sz w:val="20"/>
          <w:lang w:val="en-US" w:eastAsia="en-US" w:bidi="ar-SA"/>
        </w:rPr>
        <w:t>Court Order Interest Act</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R.S.B.C. 1996, c. 79</w:t>
      </w:r>
      <w:r>
        <w:rPr>
          <w:rFonts w:ascii="arial" w:eastAsia="arial" w:hAnsi="arial" w:cs="arial"/>
          <w:color w:val="000000"/>
          <w:sz w:val="20"/>
          <w:lang w:val="en-US" w:eastAsia="en-US" w:bidi="ar-SA"/>
        </w:rPr>
        <w:t>;</w:t>
      </w:r>
    </w:p>
    <w:p>
      <w:pPr>
        <w:numPr>
          <w:numId w:val="19"/>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an order for termination of the leases;</w:t>
      </w:r>
    </w:p>
    <w:p>
      <w:pPr>
        <w:numPr>
          <w:numId w:val="20"/>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mesne profits for the wrongful possession of the apartment units at issue from June 30, 2010 onward; and</w:t>
      </w:r>
    </w:p>
    <w:p>
      <w:pPr>
        <w:numPr>
          <w:numId w:val="21"/>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costs.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I set out in further detail the procedural history of this matter up to the hearing of the summary trial for Action #2 in my reasons for judgment: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[44] The history of this case involves two separate proceedings that have spanned the past two years. The initial action was actually brought by the defendants to this matter.</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[45] On August 19, 2010, the leaseholders filed a notice of civil claim against the owners [Action #1]. ...</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[47] Over the course of late 2010 and early 2011, letters were exchanged between the parties on the issues of their availability for a hearing and the adequacy of the particulars pled.</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[48] On April 27, 2011, the owners filed a notice of application to strike or dismiss this action. The hearing of this application took place from May 11 - 13, 2011. In this hearing, the leaseholders relied on an unfiled proposed further amended notice of civil claim.</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[49] Mr. Justice Harris (as he then was) delivered his reasons for judgment on June 15, 2011 (</w:t>
      </w:r>
      <w:hyperlink r:id="rId733" w:history="1">
        <w:r>
          <w:rPr>
            <w:rFonts w:ascii="arial" w:eastAsia="arial" w:hAnsi="arial" w:cs="arial"/>
            <w:i/>
            <w:color w:val="0077CC"/>
            <w:sz w:val="20"/>
            <w:u w:val="single"/>
            <w:shd w:val="clear" w:color="auto" w:fill="FFFFFF"/>
            <w:lang w:val="en-US" w:eastAsia="en-US" w:bidi="ar-SA"/>
          </w:rPr>
          <w:t>2011 BCSC 778</w:t>
        </w:r>
      </w:hyperlink>
      <w:r>
        <w:rPr>
          <w:rFonts w:ascii="arial" w:eastAsia="arial" w:hAnsi="arial" w:cs="arial"/>
          <w:color w:val="000000"/>
          <w:sz w:val="20"/>
          <w:lang w:val="en-US" w:eastAsia="en-US" w:bidi="ar-SA"/>
        </w:rPr>
        <w:t>). The action as a whole was stayed, pending further court order and resolution of the best procedure to adjudicate the issues. He struck the claims for breach of fiduciary duty, negligent misrepresentation and breach of duty to warn in the amended notice of civil claim, but they were not dismissed.</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[50] Harris J. was not satisfied that there was no genuine issue for trial in respect of the allegation of negligent design and construction. The claims for breach of contract and negligent maintenance were stayed in the context of this action. He determined that it was wrong to reach conclusions on the remainder of the issues in this interlocutory context.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[51] On September 13, 2011, Harris J. granted leave to the owners to commence a new action. On September 20, 2011, the owners filed a notice of civil claim against the leaseholders [Action #2]. ...</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[53] The so-called majority defendants responded on October 19, 2011. They claimed that they did not owe any amount to the plaintiffs, either for the repairs, the special assessment or the operating expenses. This position was taken on the basis of allegations regarding the improper design and construction of the buildings, maintenance failures, imprudent and unreasonable operating expenses and failure to maintain an adequate contingency reserve fund.</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[54] Even if it was determined the defendants owed the plaintiffs either for the repairs, the special assessment or the operating expenses, the defendants claimed they were entitled to set off damages as a result of contractual, tortious and fiduciary duty breaches. They were also entitled to relief from forfeiture to their interests in Sussex Square pursuant to the </w:t>
      </w:r>
      <w:r>
        <w:rPr>
          <w:rFonts w:ascii="arial" w:eastAsia="arial" w:hAnsi="arial" w:cs="arial"/>
          <w:i/>
          <w:color w:val="000000"/>
          <w:sz w:val="20"/>
          <w:lang w:val="en-US" w:eastAsia="en-US" w:bidi="ar-SA"/>
        </w:rPr>
        <w:t>Law and Equity</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Act</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R.S.B.C. 1996, c. 253</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Law and Equity Act</w:t>
      </w:r>
      <w:r>
        <w:rPr>
          <w:rFonts w:ascii="arial" w:eastAsia="arial" w:hAnsi="arial" w:cs="arial"/>
          <w:color w:val="000000"/>
          <w:sz w:val="20"/>
          <w:lang w:val="en-US" w:eastAsia="en-US" w:bidi="ar-SA"/>
        </w:rPr>
        <w:t>) as well as a declaration that their leases has not yet expired.</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[55] On December 8, 2011, the plaintiffs advised the defendants of their intention to proceed by way of summary trial.</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[56] On December 20, 2011, the defendants filed an amended response to civil claim.</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[57] The plaintiffs filed a notice of application on January 16, 2012 for the amended response to civil claim to be dismissed or, in the alternative, struck, including the claims for breach of fiduciary duty,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breach of contract and failure to comply with regulatory requirements. They also requested an order that if the defendants sought to amend their pleadings again, that they would require consent of the parties or leave of the Court. In the alternative, the plaintiffs sought particulars for the nature and dates of the alleged breaches of duty and contract. They also sought summary judgment against several defendants.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[58] On February 13, 2012, the owners applied for an order and a declaration that each of the defendants was liable for breach of contract and that the owners were entitled to general damages and special damages.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[59] On April 18, 2012, Harris J. delivered his reasons (</w:t>
      </w:r>
      <w:hyperlink r:id="rId734" w:history="1">
        <w:r>
          <w:rPr>
            <w:rFonts w:ascii="arial" w:eastAsia="arial" w:hAnsi="arial" w:cs="arial"/>
            <w:i/>
            <w:color w:val="0077CC"/>
            <w:sz w:val="20"/>
            <w:u w:val="single"/>
            <w:shd w:val="clear" w:color="auto" w:fill="FFFFFF"/>
            <w:lang w:val="en-US" w:eastAsia="en-US" w:bidi="ar-SA"/>
          </w:rPr>
          <w:t>2012 BCSC 564</w:t>
        </w:r>
      </w:hyperlink>
      <w:r>
        <w:rPr>
          <w:rFonts w:ascii="arial" w:eastAsia="arial" w:hAnsi="arial" w:cs="arial"/>
          <w:color w:val="000000"/>
          <w:sz w:val="20"/>
          <w:lang w:val="en-US" w:eastAsia="en-US" w:bidi="ar-SA"/>
        </w:rPr>
        <w:t>) on the application for summary judgment brought by the plaintiffs for an order striking and dismissing the claims by the defendants.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[60] The defendants had consented to striking and dismissing breach of fiduciary duty, negligent design and failure to comply with regulatory requirements.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[61] In his reasons, Harris J. was of the view that a summary judgment was not an appropriate forum to resolve the difficult questions regarding the legal relationships between the parties and their effect on the claims. The matter was more appropriately resolved at the summary trial.</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[62] Harris J. dismissed the plaintiff's application that the claim for breach of contract be struck or dismissed. He also declined to strike alleged implied terms in the contract, in view of past warnings from the Court of Appeal against summary determination in the context of inherently complex litigation (citing as an example </w:t>
      </w:r>
      <w:r>
        <w:rPr>
          <w:rFonts w:ascii="arial" w:eastAsia="arial" w:hAnsi="arial" w:cs="arial"/>
          <w:i/>
          <w:color w:val="000000"/>
          <w:sz w:val="20"/>
          <w:lang w:val="en-US" w:eastAsia="en-US" w:bidi="ar-SA"/>
        </w:rPr>
        <w:t>Mayer v. Mayer</w:t>
      </w:r>
      <w:r>
        <w:rPr>
          <w:rFonts w:ascii="arial" w:eastAsia="arial" w:hAnsi="arial" w:cs="arial"/>
          <w:color w:val="000000"/>
          <w:sz w:val="20"/>
          <w:lang w:val="en-US" w:eastAsia="en-US" w:bidi="ar-SA"/>
        </w:rPr>
        <w:t xml:space="preserve">, </w:t>
      </w:r>
      <w:hyperlink r:id="rId735" w:history="1">
        <w:r>
          <w:rPr>
            <w:rFonts w:ascii="arial" w:eastAsia="arial" w:hAnsi="arial" w:cs="arial"/>
            <w:i/>
            <w:color w:val="0077CC"/>
            <w:sz w:val="20"/>
            <w:u w:val="single"/>
            <w:shd w:val="clear" w:color="auto" w:fill="FFFFFF"/>
            <w:lang w:val="en-US" w:eastAsia="en-US" w:bidi="ar-SA"/>
          </w:rPr>
          <w:t>2012 BCCA 77</w:t>
        </w:r>
      </w:hyperlink>
      <w:r>
        <w:rPr>
          <w:rFonts w:ascii="arial" w:eastAsia="arial" w:hAnsi="arial" w:cs="arial"/>
          <w:color w:val="000000"/>
          <w:sz w:val="20"/>
          <w:lang w:val="en-US" w:eastAsia="en-US" w:bidi="ar-SA"/>
        </w:rPr>
        <w:t>). Nor could he conclude that no genuine issue for trial arose out of whether a tortious duty existed to maintain the building. He was also of the view that it was too early to particularize the specifics of the alleged breaches given the potential length of time over which they had occurred.</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[63] Based on these findings, Harris J. concluded it was also premature and unjust to grant judgment.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[64] The application to strike the affidavits of Mr. Mazur, Mr. Veale and Mr. McArthur was brought by the plaintiffs on April 24, 2012. On that same day, the plaintiffs applied for the claims of set off in property damage, loss of rental income and relief from forfeiture be dismissed.</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[65] The majority defendants applied for Mr. Gallant and Ms. Williams to attend cross-examination and disclose all documents relating to their reports on April 30, 2012. They also requested that portions of the affidavits of Mr. Tolzmann, Mr. Rashid and Mr. Tartaglia be struck. On that same date, they withdrew their set off claim defences for loss of rental income, damages to personal property and loss in the value of their suites.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[66] Finally, on May 28, 2012, the majority defendants sought to re-open their case and amend their response to civil claim.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w:t>
      </w:r>
      <w:r>
        <w:rPr>
          <w:rFonts w:ascii="arial" w:eastAsia="arial" w:hAnsi="arial" w:cs="arial"/>
          <w:color w:val="000000"/>
          <w:sz w:val="20"/>
          <w:lang w:val="en-US" w:eastAsia="en-US" w:bidi="ar-SA"/>
        </w:rPr>
        <w:t>  The summary trial proceeded in May and June 2012.</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w:t>
      </w:r>
      <w:r>
        <w:rPr>
          <w:rFonts w:ascii="arial" w:eastAsia="arial" w:hAnsi="arial" w:cs="arial"/>
          <w:color w:val="000000"/>
          <w:sz w:val="20"/>
          <w:lang w:val="en-US" w:eastAsia="en-US" w:bidi="ar-SA"/>
        </w:rPr>
        <w:t>  I found for the plaintiffs and concluded the plaintiffs did not breach any express or implied duty to maintain or repair the buildings at Sussex Square. I was not convinced that there was a duty on a reasonable owner of a wood framed building with face-sealed or concealed barrier design constructed in the 1970s with no evidence of damage caused by water ingress to retain a building envelope specialist to perform an assessment. Nor was it proved that the plaintiffs breached this standard of care.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w:t>
      </w:r>
      <w:r>
        <w:rPr>
          <w:rFonts w:ascii="arial" w:eastAsia="arial" w:hAnsi="arial" w:cs="arial"/>
          <w:color w:val="000000"/>
          <w:sz w:val="20"/>
          <w:lang w:val="en-US" w:eastAsia="en-US" w:bidi="ar-SA"/>
        </w:rPr>
        <w:t>  The defendants failed to prove that the plaintiffs did not follow standard practice in maintaining the contingency reserve fund or that they breached any duty (express or implied) to maintain an adequate contingency reserve fund.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w:t>
      </w:r>
      <w:r>
        <w:rPr>
          <w:rFonts w:ascii="arial" w:eastAsia="arial" w:hAnsi="arial" w:cs="arial"/>
          <w:color w:val="000000"/>
          <w:sz w:val="20"/>
          <w:lang w:val="en-US" w:eastAsia="en-US" w:bidi="ar-SA"/>
        </w:rPr>
        <w:t>  The evidence upon which the defendants relied to prove that phase 1 costs were too high was based upon an estimate, as the majority defendants' expert Mr. McArthur acknowledged. That evidence could not support a conclusion that a significant amount should reasonably be deducted from the plaintiffs' claim for debt owed.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w:t>
      </w:r>
      <w:r>
        <w:rPr>
          <w:rFonts w:ascii="arial" w:eastAsia="arial" w:hAnsi="arial" w:cs="arial"/>
          <w:color w:val="000000"/>
          <w:sz w:val="20"/>
          <w:lang w:val="en-US" w:eastAsia="en-US" w:bidi="ar-SA"/>
        </w:rPr>
        <w:t>  In respect of the claim that some of the phase 1 work was being redone in phase 2, the evidence in support of that allegation was anecdotal and insufficient.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w:t>
      </w:r>
      <w:r>
        <w:rPr>
          <w:rFonts w:ascii="arial" w:eastAsia="arial" w:hAnsi="arial" w:cs="arial"/>
          <w:color w:val="000000"/>
          <w:sz w:val="20"/>
          <w:lang w:val="en-US" w:eastAsia="en-US" w:bidi="ar-SA"/>
        </w:rPr>
        <w:t>  I addressed the plaintiffs' debt claim in respect of phase 1 only and did not consider the set off claim for phase 1 costs against phase 2.</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Special Costs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Legal Framework</w:t>
      </w:r>
    </w:p>
    <w:p>
      <w:pPr>
        <w:spacing w:before="120" w:line="260" w:lineRule="atLeast"/>
        <w:ind w:left="1080"/>
        <w:rPr>
          <w:rFonts w:ascii="arial" w:eastAsia="arial" w:hAnsi="arial" w:cs="arial"/>
          <w:sz w:val="20"/>
          <w:lang w:val="en-US" w:eastAsia="en-US" w:bidi="ar-SA"/>
        </w:rPr>
      </w:pPr>
      <w:r>
        <w:rPr>
          <w:rFonts w:ascii="arial" w:eastAsia="arial" w:hAnsi="arial" w:cs="arial"/>
          <w:b/>
          <w:i/>
          <w:color w:val="000000"/>
          <w:sz w:val="20"/>
          <w:lang w:val="en-US" w:eastAsia="en-US" w:bidi="ar-SA"/>
        </w:rPr>
        <w:t>The Traditional Approach to Costs Awards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w:t>
      </w:r>
      <w:r>
        <w:rPr>
          <w:rFonts w:ascii="arial" w:eastAsia="arial" w:hAnsi="arial" w:cs="arial"/>
          <w:color w:val="000000"/>
          <w:sz w:val="20"/>
          <w:lang w:val="en-US" w:eastAsia="en-US" w:bidi="ar-SA"/>
        </w:rPr>
        <w:t xml:space="preserve">  The traditional rule for the award of costs is that costs should follow the event: </w:t>
      </w:r>
      <w:r>
        <w:rPr>
          <w:rFonts w:ascii="arial" w:eastAsia="arial" w:hAnsi="arial" w:cs="arial"/>
          <w:i/>
          <w:color w:val="000000"/>
          <w:sz w:val="20"/>
          <w:lang w:val="en-US" w:eastAsia="en-US" w:bidi="ar-SA"/>
        </w:rPr>
        <w:t>Catalyst Paper Corp. v. Companhia de Navegaço Norsul</w:t>
      </w:r>
      <w:r>
        <w:rPr>
          <w:rFonts w:ascii="arial" w:eastAsia="arial" w:hAnsi="arial" w:cs="arial"/>
          <w:color w:val="000000"/>
          <w:sz w:val="20"/>
          <w:lang w:val="en-US" w:eastAsia="en-US" w:bidi="ar-SA"/>
        </w:rPr>
        <w:t xml:space="preserve">, </w:t>
      </w:r>
      <w:hyperlink r:id="rId736" w:history="1">
        <w:r>
          <w:rPr>
            <w:rFonts w:ascii="arial" w:eastAsia="arial" w:hAnsi="arial" w:cs="arial"/>
            <w:i/>
            <w:color w:val="0077CC"/>
            <w:sz w:val="20"/>
            <w:u w:val="single"/>
            <w:shd w:val="clear" w:color="auto" w:fill="FFFFFF"/>
            <w:lang w:val="en-US" w:eastAsia="en-US" w:bidi="ar-SA"/>
          </w:rPr>
          <w:t>2009 BCCA 16</w:t>
        </w:r>
      </w:hyperlink>
      <w:r>
        <w:rPr>
          <w:rFonts w:ascii="arial" w:eastAsia="arial" w:hAnsi="arial" w:cs="arial"/>
          <w:color w:val="000000"/>
          <w:sz w:val="20"/>
          <w:lang w:val="en-US" w:eastAsia="en-US" w:bidi="ar-SA"/>
        </w:rPr>
        <w:t xml:space="preserve"> at para. 19. The policies that underpin this approach were discussed by the Supreme Court of Canada in </w:t>
      </w:r>
      <w:r>
        <w:rPr>
          <w:rFonts w:ascii="arial" w:eastAsia="arial" w:hAnsi="arial" w:cs="arial"/>
          <w:i/>
          <w:color w:val="000000"/>
          <w:sz w:val="20"/>
          <w:lang w:val="en-US" w:eastAsia="en-US" w:bidi="ar-SA"/>
        </w:rPr>
        <w:t>British Columbia (Minister of Forests) v. Okanagan Indian Band</w:t>
      </w:r>
      <w:r>
        <w:rPr>
          <w:rFonts w:ascii="arial" w:eastAsia="arial" w:hAnsi="arial" w:cs="arial"/>
          <w:color w:val="000000"/>
          <w:sz w:val="20"/>
          <w:lang w:val="en-US" w:eastAsia="en-US" w:bidi="ar-SA"/>
        </w:rPr>
        <w:t xml:space="preserve">, </w:t>
      </w:r>
      <w:hyperlink r:id="rId737" w:history="1">
        <w:r>
          <w:rPr>
            <w:rFonts w:ascii="arial" w:eastAsia="arial" w:hAnsi="arial" w:cs="arial"/>
            <w:i/>
            <w:color w:val="0077CC"/>
            <w:sz w:val="20"/>
            <w:u w:val="single"/>
            <w:shd w:val="clear" w:color="auto" w:fill="FFFFFF"/>
            <w:lang w:val="en-US" w:eastAsia="en-US" w:bidi="ar-SA"/>
          </w:rPr>
          <w:t>[2003] 3 S.C.R. 371</w:t>
        </w:r>
      </w:hyperlink>
      <w:r>
        <w:rPr>
          <w:rFonts w:ascii="arial" w:eastAsia="arial" w:hAnsi="arial" w:cs="arial"/>
          <w:color w:val="000000"/>
          <w:sz w:val="20"/>
          <w:lang w:val="en-US" w:eastAsia="en-US" w:bidi="ar-SA"/>
        </w:rPr>
        <w:t xml:space="preserve"> at para. 26:</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Indeed, the traditional approach to costs can also be viewed as being animated by the broad concern to ensure that the justice system works fairly and efficiently. Because costs awards transfer some of the winner's litigation expenses to the loser rather than leaving each party's expenses where they fall (as is done in jurisdictions without costs rules), they act as a disincentive to those who might be tempted to harass others with meritless claims. And because they offset to some extent the outlays incurred by the winner, they make the legal system more accessible to litigants who seek to vindicate a legally sound position. These effects of the traditional rules can be connected to the court's concern with overseeing its own process and ensuring that litigation is conducted in an efficient and just manner. In this sense it is a natural evolution in the law to recognize the related policy objectives that are served by the modern approach to costs.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w:t>
      </w:r>
      <w:r>
        <w:rPr>
          <w:rFonts w:ascii="arial" w:eastAsia="arial" w:hAnsi="arial" w:cs="arial"/>
          <w:color w:val="000000"/>
          <w:sz w:val="20"/>
          <w:lang w:val="en-US" w:eastAsia="en-US" w:bidi="ar-SA"/>
        </w:rPr>
        <w:t xml:space="preserve">  The </w:t>
      </w:r>
      <w:r>
        <w:rPr>
          <w:rFonts w:ascii="arial" w:eastAsia="arial" w:hAnsi="arial" w:cs="arial"/>
          <w:i/>
          <w:color w:val="000000"/>
          <w:sz w:val="20"/>
          <w:lang w:val="en-US" w:eastAsia="en-US" w:bidi="ar-SA"/>
        </w:rPr>
        <w:t>Supreme Court Civil Rules</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B.C. Reg. 168/2009</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Rules</w:t>
      </w:r>
      <w:r>
        <w:rPr>
          <w:rFonts w:ascii="arial" w:eastAsia="arial" w:hAnsi="arial" w:cs="arial"/>
          <w:color w:val="000000"/>
          <w:sz w:val="20"/>
          <w:lang w:val="en-US" w:eastAsia="en-US" w:bidi="ar-SA"/>
        </w:rPr>
        <w:t>] set out an overarching principle for the assessment of costs: what is considered proper and reasonably necessary to conduct the proceedings: R. 14-1(2)(a), and (3)(a).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w:t>
      </w:r>
      <w:r>
        <w:rPr>
          <w:rFonts w:ascii="arial" w:eastAsia="arial" w:hAnsi="arial" w:cs="arial"/>
          <w:color w:val="000000"/>
          <w:sz w:val="20"/>
          <w:lang w:val="en-US" w:eastAsia="en-US" w:bidi="ar-SA"/>
        </w:rPr>
        <w:t xml:space="preserve">  The assessment of costs is not a mathematical exercise: </w:t>
      </w:r>
      <w:r>
        <w:rPr>
          <w:rFonts w:ascii="arial" w:eastAsia="arial" w:hAnsi="arial" w:cs="arial"/>
          <w:i/>
          <w:color w:val="000000"/>
          <w:sz w:val="20"/>
          <w:lang w:val="en-US" w:eastAsia="en-US" w:bidi="ar-SA"/>
        </w:rPr>
        <w:t>Davies v. Clarington (Municipality)</w:t>
      </w:r>
      <w:r>
        <w:rPr>
          <w:rFonts w:ascii="arial" w:eastAsia="arial" w:hAnsi="arial" w:cs="arial"/>
          <w:color w:val="000000"/>
          <w:sz w:val="20"/>
          <w:lang w:val="en-US" w:eastAsia="en-US" w:bidi="ar-SA"/>
        </w:rPr>
        <w:t xml:space="preserve">, </w:t>
      </w:r>
      <w:hyperlink r:id="rId738" w:history="1">
        <w:r>
          <w:rPr>
            <w:rFonts w:ascii="arial" w:eastAsia="arial" w:hAnsi="arial" w:cs="arial"/>
            <w:i/>
            <w:color w:val="0077CC"/>
            <w:sz w:val="20"/>
            <w:u w:val="single"/>
            <w:shd w:val="clear" w:color="auto" w:fill="FFFFFF"/>
            <w:lang w:val="en-US" w:eastAsia="en-US" w:bidi="ar-SA"/>
          </w:rPr>
          <w:t>2009 ONCA 722</w:t>
        </w:r>
      </w:hyperlink>
      <w:r>
        <w:rPr>
          <w:rFonts w:ascii="arial" w:eastAsia="arial" w:hAnsi="arial" w:cs="arial"/>
          <w:color w:val="000000"/>
          <w:sz w:val="20"/>
          <w:lang w:val="en-US" w:eastAsia="en-US" w:bidi="ar-SA"/>
        </w:rPr>
        <w:t xml:space="preserve"> at para. 52.</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w:t>
      </w:r>
      <w:r>
        <w:rPr>
          <w:rFonts w:ascii="arial" w:eastAsia="arial" w:hAnsi="arial" w:cs="arial"/>
          <w:color w:val="000000"/>
          <w:sz w:val="20"/>
          <w:lang w:val="en-US" w:eastAsia="en-US" w:bidi="ar-SA"/>
        </w:rPr>
        <w:t>  Together, these principles ensure predictability in the award of costs, reasonableness in their assessment and efficiency in their disposition. Furthermore, it can be inferred from these principles that the disposition of costs was never intended to be the focus of litigation; costs are a secondary matter to the primary issues put before the court for consideration.</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i/>
          <w:color w:val="000000"/>
          <w:sz w:val="20"/>
          <w:lang w:val="en-US" w:eastAsia="en-US" w:bidi="ar-SA"/>
        </w:rPr>
        <w:t>The Court's Inherent Jurisdiction to Award Costs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w:t>
      </w:r>
      <w:r>
        <w:rPr>
          <w:rFonts w:ascii="arial" w:eastAsia="arial" w:hAnsi="arial" w:cs="arial"/>
          <w:color w:val="000000"/>
          <w:sz w:val="20"/>
          <w:lang w:val="en-US" w:eastAsia="en-US" w:bidi="ar-SA"/>
        </w:rPr>
        <w:t xml:space="preserve">  The award of costs falls within the court's inherent jurisdiction to control its process. This rule extends to special costs as well. The Court of Appeal held in </w:t>
      </w:r>
      <w:r>
        <w:rPr>
          <w:rFonts w:ascii="arial" w:eastAsia="arial" w:hAnsi="arial" w:cs="arial"/>
          <w:i/>
          <w:color w:val="000000"/>
          <w:sz w:val="20"/>
          <w:lang w:val="en-US" w:eastAsia="en-US" w:bidi="ar-SA"/>
        </w:rPr>
        <w:t>Harrington (Guardian ad litem of) v. Royal Inland Hospital</w:t>
      </w:r>
      <w:r>
        <w:rPr>
          <w:rFonts w:ascii="arial" w:eastAsia="arial" w:hAnsi="arial" w:cs="arial"/>
          <w:color w:val="000000"/>
          <w:sz w:val="20"/>
          <w:lang w:val="en-US" w:eastAsia="en-US" w:bidi="ar-SA"/>
        </w:rPr>
        <w:t xml:space="preserve"> </w:t>
      </w:r>
      <w:hyperlink r:id="rId739" w:history="1">
        <w:r>
          <w:rPr>
            <w:rFonts w:ascii="arial" w:eastAsia="arial" w:hAnsi="arial" w:cs="arial"/>
            <w:i/>
            <w:color w:val="0077CC"/>
            <w:sz w:val="20"/>
            <w:u w:val="single"/>
            <w:shd w:val="clear" w:color="auto" w:fill="FFFFFF"/>
            <w:lang w:val="en-US" w:eastAsia="en-US" w:bidi="ar-SA"/>
          </w:rPr>
          <w:t>(1995), 14 B.C.L.R. (3d) 201</w:t>
        </w:r>
      </w:hyperlink>
      <w:r>
        <w:rPr>
          <w:rFonts w:ascii="arial" w:eastAsia="arial" w:hAnsi="arial" w:cs="arial"/>
          <w:color w:val="000000"/>
          <w:sz w:val="20"/>
          <w:lang w:val="en-US" w:eastAsia="en-US" w:bidi="ar-SA"/>
        </w:rPr>
        <w:t xml:space="preserve"> (C.A.) at para. 218 that this jurisdiction is also found under what is now R. 14-1(1) of the </w:t>
      </w:r>
      <w:r>
        <w:rPr>
          <w:rFonts w:ascii="arial" w:eastAsia="arial" w:hAnsi="arial" w:cs="arial"/>
          <w:i/>
          <w:color w:val="000000"/>
          <w:sz w:val="20"/>
          <w:lang w:val="en-US" w:eastAsia="en-US" w:bidi="ar-SA"/>
        </w:rPr>
        <w:t>Rules</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w:t>
      </w:r>
      <w:r>
        <w:rPr>
          <w:rFonts w:ascii="arial" w:eastAsia="arial" w:hAnsi="arial" w:cs="arial"/>
          <w:color w:val="000000"/>
          <w:sz w:val="20"/>
          <w:lang w:val="en-US" w:eastAsia="en-US" w:bidi="ar-SA"/>
        </w:rPr>
        <w:t xml:space="preserve">  The trial judge further retains inherent jurisdiction to assess special costs, although it is to be exercised sparingly since it falls under the purview of the Registrar pursuant to the </w:t>
      </w:r>
      <w:r>
        <w:rPr>
          <w:rFonts w:ascii="arial" w:eastAsia="arial" w:hAnsi="arial" w:cs="arial"/>
          <w:i/>
          <w:color w:val="000000"/>
          <w:sz w:val="20"/>
          <w:lang w:val="en-US" w:eastAsia="en-US" w:bidi="ar-SA"/>
        </w:rPr>
        <w:t>Rules</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Buchan v. Moss Management Inc.</w:t>
      </w:r>
      <w:r>
        <w:rPr>
          <w:rFonts w:ascii="arial" w:eastAsia="arial" w:hAnsi="arial" w:cs="arial"/>
          <w:color w:val="000000"/>
          <w:sz w:val="20"/>
          <w:lang w:val="en-US" w:eastAsia="en-US" w:bidi="ar-SA"/>
        </w:rPr>
        <w:t xml:space="preserve">, </w:t>
      </w:r>
      <w:hyperlink r:id="rId740" w:history="1">
        <w:r>
          <w:rPr>
            <w:rFonts w:ascii="arial" w:eastAsia="arial" w:hAnsi="arial" w:cs="arial"/>
            <w:i/>
            <w:color w:val="0077CC"/>
            <w:sz w:val="20"/>
            <w:u w:val="single"/>
            <w:shd w:val="clear" w:color="auto" w:fill="FFFFFF"/>
            <w:lang w:val="en-US" w:eastAsia="en-US" w:bidi="ar-SA"/>
          </w:rPr>
          <w:t>2010 BCCA 393</w:t>
        </w:r>
      </w:hyperlink>
      <w:r>
        <w:rPr>
          <w:rFonts w:ascii="arial" w:eastAsia="arial" w:hAnsi="arial" w:cs="arial"/>
          <w:color w:val="000000"/>
          <w:sz w:val="20"/>
          <w:lang w:val="en-US" w:eastAsia="en-US" w:bidi="ar-SA"/>
        </w:rPr>
        <w:t xml:space="preserve"> at paras. 29 - 30.</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i/>
          <w:color w:val="000000"/>
          <w:sz w:val="20"/>
          <w:lang w:val="en-US" w:eastAsia="en-US" w:bidi="ar-SA"/>
        </w:rPr>
        <w:t>The Threshold for a Special Costs Award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w:t>
      </w:r>
      <w:r>
        <w:rPr>
          <w:rFonts w:ascii="arial" w:eastAsia="arial" w:hAnsi="arial" w:cs="arial"/>
          <w:color w:val="000000"/>
          <w:sz w:val="20"/>
          <w:lang w:val="en-US" w:eastAsia="en-US" w:bidi="ar-SA"/>
        </w:rPr>
        <w:t>  The award of special costs departs from the traditional approach to the award and assessment of costs.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w:t>
      </w:r>
      <w:r>
        <w:rPr>
          <w:rFonts w:ascii="arial" w:eastAsia="arial" w:hAnsi="arial" w:cs="arial"/>
          <w:color w:val="000000"/>
          <w:sz w:val="20"/>
          <w:lang w:val="en-US" w:eastAsia="en-US" w:bidi="ar-SA"/>
        </w:rPr>
        <w:t xml:space="preserve">  The leading authority for special costs in British Columbia is the Court of Appeal's decision </w:t>
      </w:r>
      <w:r>
        <w:rPr>
          <w:rFonts w:ascii="arial" w:eastAsia="arial" w:hAnsi="arial" w:cs="arial"/>
          <w:i/>
          <w:color w:val="000000"/>
          <w:sz w:val="20"/>
          <w:lang w:val="en-US" w:eastAsia="en-US" w:bidi="ar-SA"/>
        </w:rPr>
        <w:t>Garcia v. Crestbrook Forest Industries Ltd</w:t>
      </w:r>
      <w:r>
        <w:rPr>
          <w:rFonts w:ascii="arial" w:eastAsia="arial" w:hAnsi="arial" w:cs="arial"/>
          <w:color w:val="000000"/>
          <w:sz w:val="20"/>
          <w:lang w:val="en-US" w:eastAsia="en-US" w:bidi="ar-SA"/>
        </w:rPr>
        <w:t xml:space="preserve">. </w:t>
      </w:r>
      <w:hyperlink r:id="rId741" w:history="1">
        <w:r>
          <w:rPr>
            <w:rFonts w:ascii="arial" w:eastAsia="arial" w:hAnsi="arial" w:cs="arial"/>
            <w:i/>
            <w:color w:val="0077CC"/>
            <w:sz w:val="20"/>
            <w:u w:val="single"/>
            <w:shd w:val="clear" w:color="auto" w:fill="FFFFFF"/>
            <w:lang w:val="en-US" w:eastAsia="en-US" w:bidi="ar-SA"/>
          </w:rPr>
          <w:t>(1994), 9 B.C.L.R. (3d) 242</w:t>
        </w:r>
      </w:hyperlink>
      <w:r>
        <w:rPr>
          <w:rFonts w:ascii="arial" w:eastAsia="arial" w:hAnsi="arial" w:cs="arial"/>
          <w:color w:val="000000"/>
          <w:sz w:val="20"/>
          <w:lang w:val="en-US" w:eastAsia="en-US" w:bidi="ar-SA"/>
        </w:rPr>
        <w:t xml:space="preserve"> (C.A.). There, Mr. Justice Lambert, writing for the court, determined that the threshold for awarding special costs is "reprehensible" conduct.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w:t>
      </w:r>
      <w:r>
        <w:rPr>
          <w:rFonts w:ascii="arial" w:eastAsia="arial" w:hAnsi="arial" w:cs="arial"/>
          <w:color w:val="000000"/>
          <w:sz w:val="20"/>
          <w:lang w:val="en-US" w:eastAsia="en-US" w:bidi="ar-SA"/>
        </w:rPr>
        <w:t>  </w:t>
      </w:r>
      <w:r>
        <w:rPr>
          <w:rFonts w:ascii="arial" w:eastAsia="arial" w:hAnsi="arial" w:cs="arial"/>
          <w:i/>
          <w:color w:val="000000"/>
          <w:sz w:val="20"/>
          <w:lang w:val="en-US" w:eastAsia="en-US" w:bidi="ar-SA"/>
        </w:rPr>
        <w:t>Garcia</w:t>
      </w:r>
      <w:r>
        <w:rPr>
          <w:rFonts w:ascii="arial" w:eastAsia="arial" w:hAnsi="arial" w:cs="arial"/>
          <w:color w:val="000000"/>
          <w:sz w:val="20"/>
          <w:lang w:val="en-US" w:eastAsia="en-US" w:bidi="ar-SA"/>
        </w:rPr>
        <w:t xml:space="preserve"> was a wrongful dismissal case. The issues before the trial judge were the reasonable length of notice and whether exemplary or punitive damages should be awarded to Mr. Garcia on the basis that Crestbrook failed to pay the minimum statutory severance payment required. The trial judge held the reasonable notice period was eleven months, which Crestbrook appealed. The appeal was dismissed and the Court of Appeal invited the parties to make submissions on whether special costs ought to be awarded to Mr. Garcia.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w:t>
      </w:r>
      <w:r>
        <w:rPr>
          <w:rFonts w:ascii="arial" w:eastAsia="arial" w:hAnsi="arial" w:cs="arial"/>
          <w:color w:val="000000"/>
          <w:sz w:val="20"/>
          <w:lang w:val="en-US" w:eastAsia="en-US" w:bidi="ar-SA"/>
        </w:rPr>
        <w:t xml:space="preserve">  In the decision on special costs, Lambert J.A. noted that different terms had been used to describe the appropriate circumstances for awarding special costs. In particular, he drew attention to the finding of Madam Justice McLachlin (as she then was) in the Supreme Court of Canada decision </w:t>
      </w:r>
      <w:r>
        <w:rPr>
          <w:rFonts w:ascii="arial" w:eastAsia="arial" w:hAnsi="arial" w:cs="arial"/>
          <w:i/>
          <w:color w:val="000000"/>
          <w:sz w:val="20"/>
          <w:lang w:val="en-US" w:eastAsia="en-US" w:bidi="ar-SA"/>
        </w:rPr>
        <w:t>Young v. Young</w:t>
      </w:r>
      <w:r>
        <w:rPr>
          <w:rFonts w:ascii="arial" w:eastAsia="arial" w:hAnsi="arial" w:cs="arial"/>
          <w:color w:val="000000"/>
          <w:sz w:val="20"/>
          <w:lang w:val="en-US" w:eastAsia="en-US" w:bidi="ar-SA"/>
        </w:rPr>
        <w:t xml:space="preserve">, </w:t>
      </w:r>
      <w:hyperlink r:id="rId742" w:history="1">
        <w:r>
          <w:rPr>
            <w:rFonts w:ascii="arial" w:eastAsia="arial" w:hAnsi="arial" w:cs="arial"/>
            <w:i/>
            <w:color w:val="0077CC"/>
            <w:sz w:val="20"/>
            <w:u w:val="single"/>
            <w:shd w:val="clear" w:color="auto" w:fill="FFFFFF"/>
            <w:lang w:val="en-US" w:eastAsia="en-US" w:bidi="ar-SA"/>
          </w:rPr>
          <w:t>[1993] 4 S.C.R. 3</w:t>
        </w:r>
      </w:hyperlink>
      <w:r>
        <w:rPr>
          <w:rFonts w:ascii="arial" w:eastAsia="arial" w:hAnsi="arial" w:cs="arial"/>
          <w:color w:val="000000"/>
          <w:sz w:val="20"/>
          <w:lang w:val="en-US" w:eastAsia="en-US" w:bidi="ar-SA"/>
        </w:rPr>
        <w:t xml:space="preserve"> in regard to costs (with which the majority concurred) at 134:</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Solicitor-client costs are generally awarded only where there has been reprehensible, scandalous or outrageous conduct on the part of one of the parties.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w:t>
      </w:r>
      <w:r>
        <w:rPr>
          <w:rFonts w:ascii="arial" w:eastAsia="arial" w:hAnsi="arial" w:cs="arial"/>
          <w:color w:val="000000"/>
          <w:sz w:val="20"/>
          <w:lang w:val="en-US" w:eastAsia="en-US" w:bidi="ar-SA"/>
        </w:rPr>
        <w:t xml:space="preserve">  Lambert J.A. reviewed other decisions as well. He noted the discussion in </w:t>
      </w:r>
      <w:r>
        <w:rPr>
          <w:rFonts w:ascii="arial" w:eastAsia="arial" w:hAnsi="arial" w:cs="arial"/>
          <w:i/>
          <w:color w:val="000000"/>
          <w:sz w:val="20"/>
          <w:lang w:val="en-US" w:eastAsia="en-US" w:bidi="ar-SA"/>
        </w:rPr>
        <w:t>Leung v. Leung</w:t>
      </w:r>
      <w:r>
        <w:rPr>
          <w:rFonts w:ascii="arial" w:eastAsia="arial" w:hAnsi="arial" w:cs="arial"/>
          <w:color w:val="000000"/>
          <w:sz w:val="20"/>
          <w:lang w:val="en-US" w:eastAsia="en-US" w:bidi="ar-SA"/>
        </w:rPr>
        <w:t xml:space="preserve"> </w:t>
      </w:r>
      <w:hyperlink r:id="rId743" w:history="1">
        <w:r>
          <w:rPr>
            <w:rFonts w:ascii="arial" w:eastAsia="arial" w:hAnsi="arial" w:cs="arial"/>
            <w:i/>
            <w:color w:val="0077CC"/>
            <w:sz w:val="20"/>
            <w:u w:val="single"/>
            <w:shd w:val="clear" w:color="auto" w:fill="FFFFFF"/>
            <w:lang w:val="en-US" w:eastAsia="en-US" w:bidi="ar-SA"/>
          </w:rPr>
          <w:t>(1993), 77 B.C.L.R. (2d) 314</w:t>
        </w:r>
      </w:hyperlink>
      <w:r>
        <w:rPr>
          <w:rFonts w:ascii="arial" w:eastAsia="arial" w:hAnsi="arial" w:cs="arial"/>
          <w:color w:val="000000"/>
          <w:sz w:val="20"/>
          <w:lang w:val="en-US" w:eastAsia="en-US" w:bidi="ar-SA"/>
        </w:rPr>
        <w:t xml:space="preserve"> (S.C.) at para. 5, where Chief Justice Esson (as he then was) observed that the term "reprehensible" was of wide meaning, capturing both scandalous and outrageous conduct as well as milder forms of misconduct deserving of rebuke. He also considered </w:t>
      </w:r>
      <w:r>
        <w:rPr>
          <w:rFonts w:ascii="arial" w:eastAsia="arial" w:hAnsi="arial" w:cs="arial"/>
          <w:i/>
          <w:color w:val="000000"/>
          <w:sz w:val="20"/>
          <w:lang w:val="en-US" w:eastAsia="en-US" w:bidi="ar-SA"/>
        </w:rPr>
        <w:t>Fullerton v. Matsqui (District)</w:t>
      </w:r>
      <w:r>
        <w:rPr>
          <w:rFonts w:ascii="arial" w:eastAsia="arial" w:hAnsi="arial" w:cs="arial"/>
          <w:color w:val="000000"/>
          <w:sz w:val="20"/>
          <w:lang w:val="en-US" w:eastAsia="en-US" w:bidi="ar-SA"/>
        </w:rPr>
        <w:t xml:space="preserve"> </w:t>
      </w:r>
      <w:hyperlink r:id="rId744" w:history="1">
        <w:r>
          <w:rPr>
            <w:rFonts w:ascii="arial" w:eastAsia="arial" w:hAnsi="arial" w:cs="arial"/>
            <w:i/>
            <w:color w:val="0077CC"/>
            <w:sz w:val="20"/>
            <w:u w:val="single"/>
            <w:shd w:val="clear" w:color="auto" w:fill="FFFFFF"/>
            <w:lang w:val="en-US" w:eastAsia="en-US" w:bidi="ar-SA"/>
          </w:rPr>
          <w:t>(1992), 74 B.C.L.R. (2d) 305</w:t>
        </w:r>
      </w:hyperlink>
      <w:r>
        <w:rPr>
          <w:rFonts w:ascii="arial" w:eastAsia="arial" w:hAnsi="arial" w:cs="arial"/>
          <w:color w:val="000000"/>
          <w:sz w:val="20"/>
          <w:lang w:val="en-US" w:eastAsia="en-US" w:bidi="ar-SA"/>
        </w:rPr>
        <w:t xml:space="preserve"> (C.A.) at 309, which applied the standard of "misbehaviour in the conduct of this litigation" that made the award of special costs a "desirable ... form of chastisement".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w:t>
      </w:r>
      <w:r>
        <w:rPr>
          <w:rFonts w:ascii="arial" w:eastAsia="arial" w:hAnsi="arial" w:cs="arial"/>
          <w:color w:val="000000"/>
          <w:sz w:val="20"/>
          <w:lang w:val="en-US" w:eastAsia="en-US" w:bidi="ar-SA"/>
        </w:rPr>
        <w:t>  Lambert J.A. decided to introduce clarity into the law of special costs by synthesizing the different variations on the standard for a special costs award into a single standard, that of reprehensible conduct. He held at para. 17:</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Having regard to the terminology adopted by Madam Justice McLachlin in </w:t>
      </w:r>
      <w:r>
        <w:rPr>
          <w:rFonts w:ascii="arial" w:eastAsia="arial" w:hAnsi="arial" w:cs="arial"/>
          <w:i/>
          <w:color w:val="000000"/>
          <w:sz w:val="20"/>
          <w:lang w:val="en-US" w:eastAsia="en-US" w:bidi="ar-SA"/>
        </w:rPr>
        <w:t>Young v. Young</w:t>
      </w:r>
      <w:r>
        <w:rPr>
          <w:rFonts w:ascii="arial" w:eastAsia="arial" w:hAnsi="arial" w:cs="arial"/>
          <w:color w:val="000000"/>
          <w:sz w:val="20"/>
          <w:lang w:val="en-US" w:eastAsia="en-US" w:bidi="ar-SA"/>
        </w:rPr>
        <w:t xml:space="preserve">, to the terminology adopted by Mr. Justice Cumming in </w:t>
      </w:r>
      <w:r>
        <w:rPr>
          <w:rFonts w:ascii="arial" w:eastAsia="arial" w:hAnsi="arial" w:cs="arial"/>
          <w:i/>
          <w:color w:val="000000"/>
          <w:sz w:val="20"/>
          <w:lang w:val="en-US" w:eastAsia="en-US" w:bidi="ar-SA"/>
        </w:rPr>
        <w:t>Fullerton v. Matsqui (District)</w:t>
      </w:r>
      <w:r>
        <w:rPr>
          <w:rFonts w:ascii="arial" w:eastAsia="arial" w:hAnsi="arial" w:cs="arial"/>
          <w:color w:val="000000"/>
          <w:sz w:val="20"/>
          <w:lang w:val="en-US" w:eastAsia="en-US" w:bidi="ar-SA"/>
        </w:rPr>
        <w:t xml:space="preserve">, and to the application of the standard of "reprehensible conduct" by Chief Justice Esson in </w:t>
      </w:r>
      <w:r>
        <w:rPr>
          <w:rFonts w:ascii="arial" w:eastAsia="arial" w:hAnsi="arial" w:cs="arial"/>
          <w:i/>
          <w:color w:val="000000"/>
          <w:sz w:val="20"/>
          <w:lang w:val="en-US" w:eastAsia="en-US" w:bidi="ar-SA"/>
        </w:rPr>
        <w:t>Leung v. Leung</w:t>
      </w:r>
      <w:r>
        <w:rPr>
          <w:rFonts w:ascii="arial" w:eastAsia="arial" w:hAnsi="arial" w:cs="arial"/>
          <w:color w:val="000000"/>
          <w:sz w:val="20"/>
          <w:lang w:val="en-US" w:eastAsia="en-US" w:bidi="ar-SA"/>
        </w:rPr>
        <w:t xml:space="preserve"> in awarding special costs in circumstances where he had explicitly found that the conduct in question was neither scandalous nor outrageous, but could only be categorized as one of the "milder forms of misconduct" which could simply be said to be "deserving of reproof or rebuke", it is my opinion that the single standard for the awarding of special costs is that the conduct in question properly be categorized as "reprehensible". As Chief Justice Esson said in </w:t>
      </w:r>
      <w:r>
        <w:rPr>
          <w:rFonts w:ascii="arial" w:eastAsia="arial" w:hAnsi="arial" w:cs="arial"/>
          <w:i/>
          <w:color w:val="000000"/>
          <w:sz w:val="20"/>
          <w:lang w:val="en-US" w:eastAsia="en-US" w:bidi="ar-SA"/>
        </w:rPr>
        <w:t>Leung v. Leung</w:t>
      </w:r>
      <w:r>
        <w:rPr>
          <w:rFonts w:ascii="arial" w:eastAsia="arial" w:hAnsi="arial" w:cs="arial"/>
          <w:color w:val="000000"/>
          <w:sz w:val="20"/>
          <w:lang w:val="en-US" w:eastAsia="en-US" w:bidi="ar-SA"/>
        </w:rPr>
        <w:t>, the word reprehensible is a word of wide meaning. It encompasses scandalous or outrageous conduct but it also encompasses milder forms of misconduct deserving of reproof or rebuke. Accordingly, the standard represented by the word reprehensible, taken in that sense, must represent a general and all-encompassing expression of the applicable standard for the award of special costs.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w:t>
      </w:r>
      <w:r>
        <w:rPr>
          <w:rFonts w:ascii="arial" w:eastAsia="arial" w:hAnsi="arial" w:cs="arial"/>
          <w:color w:val="000000"/>
          <w:sz w:val="20"/>
          <w:lang w:val="en-US" w:eastAsia="en-US" w:bidi="ar-SA"/>
        </w:rPr>
        <w:t>  Lambert J.A. recognized that the meaning of "reprehensible" conduct was still quite broad. In order for a special costs award to be justified, the circumstances had to be exceptional. He continued at paras. 23 and 25:</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However, the fact that an action or an appeal "has little merit" is not in itself a reason for awarding special costs. ... </w:t>
      </w:r>
      <w:r>
        <w:rPr>
          <w:rFonts w:ascii="arial" w:eastAsia="arial" w:hAnsi="arial" w:cs="arial"/>
          <w:color w:val="000000"/>
          <w:sz w:val="20"/>
          <w:u w:val="single"/>
          <w:lang w:val="en-US" w:eastAsia="en-US" w:bidi="ar-SA"/>
        </w:rPr>
        <w:t>Something more is required</w:t>
      </w:r>
      <w:r>
        <w:rPr>
          <w:rFonts w:ascii="arial" w:eastAsia="arial" w:hAnsi="arial" w:cs="arial"/>
          <w:color w:val="000000"/>
          <w:sz w:val="20"/>
          <w:lang w:val="en-US" w:eastAsia="en-US" w:bidi="ar-SA"/>
        </w:rPr>
        <w:t>, such as improper allegations of fraud, or an improper motive for bringing the proceedings, or improper conduct of the proceedings themselves, before the conduct becomes sufficiently reprehensible to require an award of special costs.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If the proceedings are taken, not in the reasonable expectation of a satisfactory outcome, but in order to impose the burden of the proceedings themselves on the opposing party in circumstances where one party is financially much stronger than the other, then the absence of merit, coupled with the improper motive, is in my opinion a combination which may well amount to reprehensible conduct sufficient to require an award of special costs.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[Emphasis added.]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34</w:t>
      </w:r>
      <w:r>
        <w:rPr>
          <w:rFonts w:ascii="arial" w:eastAsia="arial" w:hAnsi="arial" w:cs="arial"/>
          <w:color w:val="000000"/>
          <w:sz w:val="20"/>
          <w:lang w:val="en-US" w:eastAsia="en-US" w:bidi="ar-SA"/>
        </w:rPr>
        <w:t>  Lambert J.A. identified a number of factors that together gave rise to the conclusion that Crestbrook had acted reprehensibly. The appeal had no prospect of success, yet the appellant had pursued it anyway. The appellant knew the litigation was a financial drain for the respondent. The appellant had also failed to promptly pay Mr. Garcia's termination payment and provide him with his record of employment, as required by law. The appellant also stalled in paying compensation to Mr. Garcia for his lost wages.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35</w:t>
      </w:r>
      <w:r>
        <w:rPr>
          <w:rFonts w:ascii="arial" w:eastAsia="arial" w:hAnsi="arial" w:cs="arial"/>
          <w:color w:val="000000"/>
          <w:sz w:val="20"/>
          <w:lang w:val="en-US" w:eastAsia="en-US" w:bidi="ar-SA"/>
        </w:rPr>
        <w:t>  Mr. Garcia was awarded special costs.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36</w:t>
      </w:r>
      <w:r>
        <w:rPr>
          <w:rFonts w:ascii="arial" w:eastAsia="arial" w:hAnsi="arial" w:cs="arial"/>
          <w:color w:val="000000"/>
          <w:sz w:val="20"/>
          <w:lang w:val="en-US" w:eastAsia="en-US" w:bidi="ar-SA"/>
        </w:rPr>
        <w:t xml:space="preserve">  In light of the factors considered in justifying the award of special costs in </w:t>
      </w:r>
      <w:r>
        <w:rPr>
          <w:rFonts w:ascii="arial" w:eastAsia="arial" w:hAnsi="arial" w:cs="arial"/>
          <w:i/>
          <w:color w:val="000000"/>
          <w:sz w:val="20"/>
          <w:lang w:val="en-US" w:eastAsia="en-US" w:bidi="ar-SA"/>
        </w:rPr>
        <w:t>Garcia</w:t>
      </w:r>
      <w:r>
        <w:rPr>
          <w:rFonts w:ascii="arial" w:eastAsia="arial" w:hAnsi="arial" w:cs="arial"/>
          <w:color w:val="000000"/>
          <w:sz w:val="20"/>
          <w:lang w:val="en-US" w:eastAsia="en-US" w:bidi="ar-SA"/>
        </w:rPr>
        <w:t>, both pre-litigation conduct and conduct in the course of litigation will be considered when determining whether to award special costs. Nevertheless, awarding special costs for pre-litigation conduct has proved to be a somewhat unsettled issue in the case law post-</w:t>
      </w:r>
      <w:r>
        <w:rPr>
          <w:rFonts w:ascii="arial" w:eastAsia="arial" w:hAnsi="arial" w:cs="arial"/>
          <w:i/>
          <w:color w:val="000000"/>
          <w:sz w:val="20"/>
          <w:lang w:val="en-US" w:eastAsia="en-US" w:bidi="ar-SA"/>
        </w:rPr>
        <w:t>Garcia</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Evergreen Building Ltd. v. IBI Leaseholds Ltd.</w:t>
      </w:r>
      <w:r>
        <w:rPr>
          <w:rFonts w:ascii="arial" w:eastAsia="arial" w:hAnsi="arial" w:cs="arial"/>
          <w:color w:val="000000"/>
          <w:sz w:val="20"/>
          <w:lang w:val="en-US" w:eastAsia="en-US" w:bidi="ar-SA"/>
        </w:rPr>
        <w:t xml:space="preserve">, </w:t>
      </w:r>
      <w:hyperlink r:id="rId745" w:history="1">
        <w:r>
          <w:rPr>
            <w:rFonts w:ascii="arial" w:eastAsia="arial" w:hAnsi="arial" w:cs="arial"/>
            <w:i/>
            <w:color w:val="0077CC"/>
            <w:sz w:val="20"/>
            <w:u w:val="single"/>
            <w:shd w:val="clear" w:color="auto" w:fill="FFFFFF"/>
            <w:lang w:val="en-US" w:eastAsia="en-US" w:bidi="ar-SA"/>
          </w:rPr>
          <w:t>2009 BCCA 275</w:t>
        </w:r>
      </w:hyperlink>
      <w:r>
        <w:rPr>
          <w:rFonts w:ascii="arial" w:eastAsia="arial" w:hAnsi="arial" w:cs="arial"/>
          <w:color w:val="000000"/>
          <w:sz w:val="20"/>
          <w:lang w:val="en-US" w:eastAsia="en-US" w:bidi="ar-SA"/>
        </w:rPr>
        <w:t xml:space="preserve"> confirmed the general rule that special costs are awarded only with respect to misbehaviour in the conduct of litigation, although there may be circumstances where special costs will be awarded for reprehensible conduct giving rise to the litigation. In that latter circumstance, the conduct must be capable of founding a cause of action (para. 30).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37</w:t>
      </w:r>
      <w:r>
        <w:rPr>
          <w:rFonts w:ascii="arial" w:eastAsia="arial" w:hAnsi="arial" w:cs="arial"/>
          <w:color w:val="000000"/>
          <w:sz w:val="20"/>
          <w:lang w:val="en-US" w:eastAsia="en-US" w:bidi="ar-SA"/>
        </w:rPr>
        <w:t>  More importantly,</w:t>
      </w:r>
      <w:r>
        <w:rPr>
          <w:rFonts w:ascii="arial" w:eastAsia="arial" w:hAnsi="arial" w:cs="arial"/>
          <w:i/>
          <w:color w:val="000000"/>
          <w:sz w:val="20"/>
          <w:lang w:val="en-US" w:eastAsia="en-US" w:bidi="ar-SA"/>
        </w:rPr>
        <w:t xml:space="preserve"> Garcia</w:t>
      </w:r>
      <w:r>
        <w:rPr>
          <w:rFonts w:ascii="arial" w:eastAsia="arial" w:hAnsi="arial" w:cs="arial"/>
          <w:color w:val="000000"/>
          <w:sz w:val="20"/>
          <w:lang w:val="en-US" w:eastAsia="en-US" w:bidi="ar-SA"/>
        </w:rPr>
        <w:t xml:space="preserve"> emphasizes that the purpose of a special costs award is to chastise a litigant. By rebuking reprehensible conduct, the court punishes bad behaviour and deters it. It also serves to distance the court from the conduct at issue.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i/>
          <w:color w:val="000000"/>
          <w:sz w:val="20"/>
          <w:lang w:val="en-US" w:eastAsia="en-US" w:bidi="ar-SA"/>
        </w:rPr>
        <w:t>Application of the Reprehensible Standard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38</w:t>
      </w:r>
      <w:r>
        <w:rPr>
          <w:rFonts w:ascii="arial" w:eastAsia="arial" w:hAnsi="arial" w:cs="arial"/>
          <w:color w:val="000000"/>
          <w:sz w:val="20"/>
          <w:lang w:val="en-US" w:eastAsia="en-US" w:bidi="ar-SA"/>
        </w:rPr>
        <w:t xml:space="preserve">  Despite Lambert J.A.'s effort to clearly articulate the threshold for awarding special costs in </w:t>
      </w:r>
      <w:r>
        <w:rPr>
          <w:rFonts w:ascii="arial" w:eastAsia="arial" w:hAnsi="arial" w:cs="arial"/>
          <w:i/>
          <w:color w:val="000000"/>
          <w:sz w:val="20"/>
          <w:lang w:val="en-US" w:eastAsia="en-US" w:bidi="ar-SA"/>
        </w:rPr>
        <w:t>Garcia</w:t>
      </w:r>
      <w:r>
        <w:rPr>
          <w:rFonts w:ascii="arial" w:eastAsia="arial" w:hAnsi="arial" w:cs="arial"/>
          <w:color w:val="000000"/>
          <w:sz w:val="20"/>
          <w:lang w:val="en-US" w:eastAsia="en-US" w:bidi="ar-SA"/>
        </w:rPr>
        <w:t>, it is at times difficult to apply this standard. As the legal concept of "reprehensibility" captures such a wide range of misconduct, and special costs awards are determined on a case by case basis, it is sometimes challenging to pinpoint the outer limits of what is reprehensible. Consequently, special costs jurisprudence has become quite unwieldy, in my view. I consider that some of the cases where special costs have been awarded do not exhibit the exceptional element required.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39</w:t>
      </w:r>
      <w:r>
        <w:rPr>
          <w:rFonts w:ascii="arial" w:eastAsia="arial" w:hAnsi="arial" w:cs="arial"/>
          <w:color w:val="000000"/>
          <w:sz w:val="20"/>
          <w:lang w:val="en-US" w:eastAsia="en-US" w:bidi="ar-SA"/>
        </w:rPr>
        <w:t>  Nevertheless, the British Columbia Court of Appeal has generally been consistent in finding that awards of special costs are limited to exceptional circumstances. It is this exceptional element ("something more") that can bring the law of special costs into focus.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40</w:t>
      </w:r>
      <w:r>
        <w:rPr>
          <w:rFonts w:ascii="arial" w:eastAsia="arial" w:hAnsi="arial" w:cs="arial"/>
          <w:color w:val="000000"/>
          <w:sz w:val="20"/>
          <w:lang w:val="en-US" w:eastAsia="en-US" w:bidi="ar-SA"/>
        </w:rPr>
        <w:t>  I have identified and summarized a number of Court of Appeal decisions as well as several decisions of this court to justify this proposition and to aid the court in determining whether special costs are merited in the circumstances.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41</w:t>
      </w:r>
      <w:r>
        <w:rPr>
          <w:rFonts w:ascii="arial" w:eastAsia="arial" w:hAnsi="arial" w:cs="arial"/>
          <w:color w:val="000000"/>
          <w:sz w:val="20"/>
          <w:lang w:val="en-US" w:eastAsia="en-US" w:bidi="ar-SA"/>
        </w:rPr>
        <w:t>  I have attempted to review this jurisprudence in thematic groups. These thematic groups do not attempt to impose a categorical approach upon special costs awards, although it may be helpful as a guide when faced with similar factual circumstances.</w:t>
      </w:r>
      <w:r>
        <w:rPr>
          <w:rFonts w:ascii="arial" w:eastAsia="arial" w:hAnsi="arial" w:cs="arial"/>
          <w:sz w:val="20"/>
          <w:lang w:val="en-US" w:eastAsia="en-US" w:bidi="ar-SA"/>
        </w:rPr>
        <w:cr/>
      </w:r>
    </w:p>
    <w:p>
      <w:pPr>
        <w:numPr>
          <w:numId w:val="22"/>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u w:val="single"/>
          <w:lang w:val="en-US" w:eastAsia="en-US" w:bidi="ar-SA"/>
        </w:rPr>
        <w:t xml:space="preserve">Meritless Claims </w:t>
      </w:r>
      <w:r>
        <w:rPr>
          <w:rFonts w:ascii="arial" w:eastAsia="arial" w:hAnsi="arial" w:cs="arial"/>
          <w:i/>
          <w:color w:val="000000"/>
          <w:sz w:val="20"/>
          <w:u w:val="single"/>
          <w:lang w:val="en-US" w:eastAsia="en-US" w:bidi="ar-SA"/>
        </w:rPr>
        <w:t>and</w:t>
      </w:r>
      <w:r>
        <w:rPr>
          <w:rFonts w:ascii="arial" w:eastAsia="arial" w:hAnsi="arial" w:cs="arial"/>
          <w:color w:val="000000"/>
          <w:sz w:val="20"/>
          <w:u w:val="single"/>
          <w:lang w:val="en-US" w:eastAsia="en-US" w:bidi="ar-SA"/>
        </w:rPr>
        <w:t xml:space="preserve"> Improper Motive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42</w:t>
      </w:r>
      <w:r>
        <w:rPr>
          <w:rFonts w:ascii="arial" w:eastAsia="arial" w:hAnsi="arial" w:cs="arial"/>
          <w:color w:val="000000"/>
          <w:sz w:val="20"/>
          <w:lang w:val="en-US" w:eastAsia="en-US" w:bidi="ar-SA"/>
        </w:rPr>
        <w:t xml:space="preserve">  Meritless claims alone will not attract special costs. This proposition was affirmed in the Supreme Court of Canada decision </w:t>
      </w:r>
      <w:r>
        <w:rPr>
          <w:rFonts w:ascii="arial" w:eastAsia="arial" w:hAnsi="arial" w:cs="arial"/>
          <w:i/>
          <w:color w:val="000000"/>
          <w:sz w:val="20"/>
          <w:lang w:val="en-US" w:eastAsia="en-US" w:bidi="ar-SA"/>
        </w:rPr>
        <w:t>Hamilton v. Open Window Bakery Ltd.</w:t>
      </w:r>
      <w:r>
        <w:rPr>
          <w:rFonts w:ascii="arial" w:eastAsia="arial" w:hAnsi="arial" w:cs="arial"/>
          <w:color w:val="000000"/>
          <w:sz w:val="20"/>
          <w:lang w:val="en-US" w:eastAsia="en-US" w:bidi="ar-SA"/>
        </w:rPr>
        <w:t xml:space="preserve">, </w:t>
      </w:r>
      <w:hyperlink r:id="rId746" w:history="1">
        <w:r>
          <w:rPr>
            <w:rFonts w:ascii="arial" w:eastAsia="arial" w:hAnsi="arial" w:cs="arial"/>
            <w:i/>
            <w:color w:val="0077CC"/>
            <w:sz w:val="20"/>
            <w:u w:val="single"/>
            <w:shd w:val="clear" w:color="auto" w:fill="FFFFFF"/>
            <w:lang w:val="en-US" w:eastAsia="en-US" w:bidi="ar-SA"/>
          </w:rPr>
          <w:t>2004 SCC 9</w:t>
        </w:r>
      </w:hyperlink>
      <w:r>
        <w:rPr>
          <w:rFonts w:ascii="arial" w:eastAsia="arial" w:hAnsi="arial" w:cs="arial"/>
          <w:color w:val="000000"/>
          <w:sz w:val="20"/>
          <w:lang w:val="en-US" w:eastAsia="en-US" w:bidi="ar-SA"/>
        </w:rPr>
        <w:t>. Madam Justice Arbour, writing for the Court, held that an unsuccessful attempt to prove fraud or dishonesty does not inexorably lead to the conclusion that the unsuccessful party should be held liable for solicitor-client costs (para. 26).</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43</w:t>
      </w:r>
      <w:r>
        <w:rPr>
          <w:rFonts w:ascii="arial" w:eastAsia="arial" w:hAnsi="arial" w:cs="arial"/>
          <w:color w:val="000000"/>
          <w:sz w:val="20"/>
          <w:lang w:val="en-US" w:eastAsia="en-US" w:bidi="ar-SA"/>
        </w:rPr>
        <w:t>  However, meritless claims that are pursued for some improper motive have generally attracted special costs.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44</w:t>
      </w:r>
      <w:r>
        <w:rPr>
          <w:rFonts w:ascii="arial" w:eastAsia="arial" w:hAnsi="arial" w:cs="arial"/>
          <w:color w:val="000000"/>
          <w:sz w:val="20"/>
          <w:lang w:val="en-US" w:eastAsia="en-US" w:bidi="ar-SA"/>
        </w:rPr>
        <w:t>  In</w:t>
      </w:r>
      <w:r>
        <w:rPr>
          <w:rFonts w:ascii="arial" w:eastAsia="arial" w:hAnsi="arial" w:cs="arial"/>
          <w:i/>
          <w:color w:val="000000"/>
          <w:sz w:val="20"/>
          <w:lang w:val="en-US" w:eastAsia="en-US" w:bidi="ar-SA"/>
        </w:rPr>
        <w:t xml:space="preserve"> Mattson v. ALC Airlift Canada Inc.</w:t>
      </w:r>
      <w:r>
        <w:rPr>
          <w:rFonts w:ascii="arial" w:eastAsia="arial" w:hAnsi="arial" w:cs="arial"/>
          <w:color w:val="000000"/>
          <w:sz w:val="20"/>
          <w:lang w:val="en-US" w:eastAsia="en-US" w:bidi="ar-SA"/>
        </w:rPr>
        <w:t xml:space="preserve"> </w:t>
      </w:r>
      <w:hyperlink r:id="rId747" w:history="1">
        <w:r>
          <w:rPr>
            <w:rFonts w:ascii="arial" w:eastAsia="arial" w:hAnsi="arial" w:cs="arial"/>
            <w:i/>
            <w:color w:val="0077CC"/>
            <w:sz w:val="20"/>
            <w:u w:val="single"/>
            <w:shd w:val="clear" w:color="auto" w:fill="FFFFFF"/>
            <w:lang w:val="en-US" w:eastAsia="en-US" w:bidi="ar-SA"/>
          </w:rPr>
          <w:t>(1996), 68 B.C.A.C. 228</w:t>
        </w:r>
      </w:hyperlink>
      <w:r>
        <w:rPr>
          <w:rFonts w:ascii="arial" w:eastAsia="arial" w:hAnsi="arial" w:cs="arial"/>
          <w:color w:val="000000"/>
          <w:sz w:val="20"/>
          <w:lang w:val="en-US" w:eastAsia="en-US" w:bidi="ar-SA"/>
        </w:rPr>
        <w:t>, the court declined to vary a special costs award in the third party's favour in view of the defendant corporation's misconduct. The court found there were ample grounds to conclude special costs were justified in the circumstances. The defendant had pursued baseless third party claims even after its own corporate officer had expressed support for the opposing party's position. These claims unnecessarily prolonged the trial and imposed substantial legal costs on the third party. The defendant had also litigated the issue of taxing special costs, forcing the third party to hire fresh counsel.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45</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Solex Developments Co. v. Taylor (District)</w:t>
      </w:r>
      <w:r>
        <w:rPr>
          <w:rFonts w:ascii="arial" w:eastAsia="arial" w:hAnsi="arial" w:cs="arial"/>
          <w:color w:val="000000"/>
          <w:sz w:val="20"/>
          <w:lang w:val="en-US" w:eastAsia="en-US" w:bidi="ar-SA"/>
        </w:rPr>
        <w:t xml:space="preserve"> </w:t>
      </w:r>
      <w:hyperlink r:id="rId748" w:history="1">
        <w:r>
          <w:rPr>
            <w:rFonts w:ascii="arial" w:eastAsia="arial" w:hAnsi="arial" w:cs="arial"/>
            <w:i/>
            <w:color w:val="0077CC"/>
            <w:sz w:val="20"/>
            <w:u w:val="single"/>
            <w:shd w:val="clear" w:color="auto" w:fill="FFFFFF"/>
            <w:lang w:val="en-US" w:eastAsia="en-US" w:bidi="ar-SA"/>
          </w:rPr>
          <w:t>(1998), 60 B.C.L.R. (3d) 53</w:t>
        </w:r>
      </w:hyperlink>
      <w:r>
        <w:rPr>
          <w:rFonts w:ascii="arial" w:eastAsia="arial" w:hAnsi="arial" w:cs="arial"/>
          <w:color w:val="000000"/>
          <w:sz w:val="20"/>
          <w:lang w:val="en-US" w:eastAsia="en-US" w:bidi="ar-SA"/>
        </w:rPr>
        <w:t xml:space="preserve"> (C.A.), Madam Justice Southin upheld the order of special costs but not for the reasons found by the trial judge, </w:t>
      </w:r>
      <w:hyperlink r:id="rId749" w:history="1">
        <w:r>
          <w:rPr>
            <w:rFonts w:ascii="arial" w:eastAsia="arial" w:hAnsi="arial" w:cs="arial"/>
            <w:i/>
            <w:color w:val="0077CC"/>
            <w:sz w:val="20"/>
            <w:u w:val="single"/>
            <w:shd w:val="clear" w:color="auto" w:fill="FFFFFF"/>
            <w:lang w:val="en-US" w:eastAsia="en-US" w:bidi="ar-SA"/>
          </w:rPr>
          <w:t>[1997] B.C.J. No. 2125</w:t>
        </w:r>
      </w:hyperlink>
      <w:r>
        <w:rPr>
          <w:rFonts w:ascii="arial" w:eastAsia="arial" w:hAnsi="arial" w:cs="arial"/>
          <w:color w:val="000000"/>
          <w:sz w:val="20"/>
          <w:lang w:val="en-US" w:eastAsia="en-US" w:bidi="ar-SA"/>
        </w:rPr>
        <w:t>. The trial judge held that Solex had "surreptitiously" collected evidence with the object of enjoining the construction and operation of the defendant's plant. In Southin J.A.'s view, persisting with a judicial review claim which affects someone's private right that is bound to fail may amount to "misconduct in litigation" (para. 27). This misconduct, combined with "material non-disclosure" to the trial judge, was sufficient to justify the order of special costs (para. 28).</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46</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Olson (Guardian ad litem) v. Hoar</w:t>
      </w:r>
      <w:r>
        <w:rPr>
          <w:rFonts w:ascii="arial" w:eastAsia="arial" w:hAnsi="arial" w:cs="arial"/>
          <w:color w:val="000000"/>
          <w:sz w:val="20"/>
          <w:lang w:val="en-US" w:eastAsia="en-US" w:bidi="ar-SA"/>
        </w:rPr>
        <w:t xml:space="preserve">, </w:t>
      </w:r>
      <w:hyperlink r:id="rId750" w:history="1">
        <w:r>
          <w:rPr>
            <w:rFonts w:ascii="arial" w:eastAsia="arial" w:hAnsi="arial" w:cs="arial"/>
            <w:i/>
            <w:color w:val="0077CC"/>
            <w:sz w:val="20"/>
            <w:u w:val="single"/>
            <w:shd w:val="clear" w:color="auto" w:fill="FFFFFF"/>
            <w:lang w:val="en-US" w:eastAsia="en-US" w:bidi="ar-SA"/>
          </w:rPr>
          <w:t>2009 BCCA 533</w:t>
        </w:r>
      </w:hyperlink>
      <w:r>
        <w:rPr>
          <w:rFonts w:ascii="arial" w:eastAsia="arial" w:hAnsi="arial" w:cs="arial"/>
          <w:color w:val="000000"/>
          <w:sz w:val="20"/>
          <w:lang w:val="en-US" w:eastAsia="en-US" w:bidi="ar-SA"/>
        </w:rPr>
        <w:t xml:space="preserve">, the Court of Appeal found there was no error in principle and no injustice resulting from the trial judge's award of special costs, </w:t>
      </w:r>
      <w:hyperlink r:id="rId751" w:history="1">
        <w:r>
          <w:rPr>
            <w:rFonts w:ascii="arial" w:eastAsia="arial" w:hAnsi="arial" w:cs="arial"/>
            <w:i/>
            <w:color w:val="0077CC"/>
            <w:sz w:val="20"/>
            <w:u w:val="single"/>
            <w:shd w:val="clear" w:color="auto" w:fill="FFFFFF"/>
            <w:lang w:val="en-US" w:eastAsia="en-US" w:bidi="ar-SA"/>
          </w:rPr>
          <w:t>[2008] B.C.J. No. 1034</w:t>
        </w:r>
      </w:hyperlink>
      <w:r>
        <w:rPr>
          <w:rFonts w:ascii="arial" w:eastAsia="arial" w:hAnsi="arial" w:cs="arial"/>
          <w:color w:val="000000"/>
          <w:sz w:val="20"/>
          <w:lang w:val="en-US" w:eastAsia="en-US" w:bidi="ar-SA"/>
        </w:rPr>
        <w:t>. The trial judge found that the allegations of fraud and misconduct against the health practitioners and the Office of the Attorney General were made without foundation. The trial judge also found that the lawsuit was a collateral attack to discredit the DNA findings made by a laboratory with the aim of bolstering the plaintiff's claim in relation to a paternity dispute.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47</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Ahluwalia v. Richmond Cabs Ltd</w:t>
      </w:r>
      <w:r>
        <w:rPr>
          <w:rFonts w:ascii="arial" w:eastAsia="arial" w:hAnsi="arial" w:cs="arial"/>
          <w:color w:val="000000"/>
          <w:sz w:val="20"/>
          <w:lang w:val="en-US" w:eastAsia="en-US" w:bidi="ar-SA"/>
        </w:rPr>
        <w:t xml:space="preserve">., </w:t>
      </w:r>
      <w:hyperlink r:id="rId752" w:history="1">
        <w:r>
          <w:rPr>
            <w:rFonts w:ascii="arial" w:eastAsia="arial" w:hAnsi="arial" w:cs="arial"/>
            <w:i/>
            <w:color w:val="0077CC"/>
            <w:sz w:val="20"/>
            <w:u w:val="single"/>
            <w:shd w:val="clear" w:color="auto" w:fill="FFFFFF"/>
            <w:lang w:val="en-US" w:eastAsia="en-US" w:bidi="ar-SA"/>
          </w:rPr>
          <w:t>[1994] B.C.J. No. 1552</w:t>
        </w:r>
      </w:hyperlink>
      <w:r>
        <w:rPr>
          <w:rFonts w:ascii="arial" w:eastAsia="arial" w:hAnsi="arial" w:cs="arial"/>
          <w:color w:val="000000"/>
          <w:sz w:val="20"/>
          <w:lang w:val="en-US" w:eastAsia="en-US" w:bidi="ar-SA"/>
        </w:rPr>
        <w:t xml:space="preserve">, </w:t>
      </w:r>
      <w:hyperlink r:id="rId752" w:history="1">
        <w:r>
          <w:rPr>
            <w:rFonts w:ascii="arial" w:eastAsia="arial" w:hAnsi="arial" w:cs="arial"/>
            <w:i/>
            <w:color w:val="0077CC"/>
            <w:sz w:val="20"/>
            <w:u w:val="single"/>
            <w:shd w:val="clear" w:color="auto" w:fill="FFFFFF"/>
            <w:lang w:val="en-US" w:eastAsia="en-US" w:bidi="ar-SA"/>
          </w:rPr>
          <w:t>28 C.P.C. (3d) 226</w:t>
        </w:r>
      </w:hyperlink>
      <w:r>
        <w:rPr>
          <w:rFonts w:ascii="arial" w:eastAsia="arial" w:hAnsi="arial" w:cs="arial"/>
          <w:color w:val="000000"/>
          <w:sz w:val="20"/>
          <w:lang w:val="en-US" w:eastAsia="en-US" w:bidi="ar-SA"/>
        </w:rPr>
        <w:t xml:space="preserve"> (S.C.), Madam Justice Newbury (as she then was) framed the question as follows: "whether, on a consideration of the substantive conduct of the party making the allegation, and the conduct of the litigation itself, the person or persons against whom the order is sought, has acted in a manner that is sufficiently reprehensible to warrant chastisement by the court" (para. 5). She held that a special costs order was warranted in the circumstances, noting that 18 plaintiffs had advanced allegations of fraud and deceit and testified to facts that were found to be untrue. They had delayed the process, had exerted pressure on the defendant outside the courtroom and had refused to abide by the orders and rules of the court. Newbury J. characterized their conduct as an abuse of the court's process (para. 8).</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48</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Hung v. Gardiner</w:t>
      </w:r>
      <w:r>
        <w:rPr>
          <w:rFonts w:ascii="arial" w:eastAsia="arial" w:hAnsi="arial" w:cs="arial"/>
          <w:color w:val="000000"/>
          <w:sz w:val="20"/>
          <w:lang w:val="en-US" w:eastAsia="en-US" w:bidi="ar-SA"/>
        </w:rPr>
        <w:t xml:space="preserve">, </w:t>
      </w:r>
      <w:hyperlink r:id="rId753" w:history="1">
        <w:r>
          <w:rPr>
            <w:rFonts w:ascii="arial" w:eastAsia="arial" w:hAnsi="arial" w:cs="arial"/>
            <w:i/>
            <w:color w:val="0077CC"/>
            <w:sz w:val="20"/>
            <w:u w:val="single"/>
            <w:shd w:val="clear" w:color="auto" w:fill="FFFFFF"/>
            <w:lang w:val="en-US" w:eastAsia="en-US" w:bidi="ar-SA"/>
          </w:rPr>
          <w:t>2003 BCSC 285</w:t>
        </w:r>
      </w:hyperlink>
      <w:r>
        <w:rPr>
          <w:rFonts w:ascii="arial" w:eastAsia="arial" w:hAnsi="arial" w:cs="arial"/>
          <w:color w:val="000000"/>
          <w:sz w:val="20"/>
          <w:lang w:val="en-US" w:eastAsia="en-US" w:bidi="ar-SA"/>
        </w:rPr>
        <w:t>, Mr. Justice Joyce expounded upon the necessary proof for establishing reprehensible conduct: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[16] In order to justify an award of special costs, it is not sufficient simply to establish that the plaintiff's allegations of bad faith and malice were not proven. It is necessary to show that the plaintiff acted improperly in making or maintaining the allegations in this proceeding or otherwise acted improperly in the manner in which she conducted the litigation before special costs will be awarded. It must be shown, not just that the allegation was wrong, but that it was obviously unfounded, reckless or made out of malice. The matter must be considered from the point of view of the plaintiff at the time she made or maintained the allegations: [citations omitted.]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49</w:t>
      </w:r>
      <w:r>
        <w:rPr>
          <w:rFonts w:ascii="arial" w:eastAsia="arial" w:hAnsi="arial" w:cs="arial"/>
          <w:color w:val="000000"/>
          <w:sz w:val="20"/>
          <w:lang w:val="en-US" w:eastAsia="en-US" w:bidi="ar-SA"/>
        </w:rPr>
        <w:t>  Joyce J. dismissed the claim for special costs, holding the plaintiff had not pursued her claims for an improper motive. (</w:t>
      </w:r>
      <w:r>
        <w:rPr>
          <w:rFonts w:ascii="arial" w:eastAsia="arial" w:hAnsi="arial" w:cs="arial"/>
          <w:i/>
          <w:color w:val="000000"/>
          <w:sz w:val="20"/>
          <w:lang w:val="en-US" w:eastAsia="en-US" w:bidi="ar-SA"/>
        </w:rPr>
        <w:t>Hung</w:t>
      </w:r>
      <w:r>
        <w:rPr>
          <w:rFonts w:ascii="arial" w:eastAsia="arial" w:hAnsi="arial" w:cs="arial"/>
          <w:color w:val="000000"/>
          <w:sz w:val="20"/>
          <w:lang w:val="en-US" w:eastAsia="en-US" w:bidi="ar-SA"/>
        </w:rPr>
        <w:t xml:space="preserve"> was relied upon in </w:t>
      </w:r>
      <w:r>
        <w:rPr>
          <w:rFonts w:ascii="arial" w:eastAsia="arial" w:hAnsi="arial" w:cs="arial"/>
          <w:i/>
          <w:color w:val="000000"/>
          <w:sz w:val="20"/>
          <w:lang w:val="en-US" w:eastAsia="en-US" w:bidi="ar-SA"/>
        </w:rPr>
        <w:t>Cimolai v. Hall</w:t>
      </w:r>
      <w:r>
        <w:rPr>
          <w:rFonts w:ascii="arial" w:eastAsia="arial" w:hAnsi="arial" w:cs="arial"/>
          <w:color w:val="000000"/>
          <w:sz w:val="20"/>
          <w:lang w:val="en-US" w:eastAsia="en-US" w:bidi="ar-SA"/>
        </w:rPr>
        <w:t xml:space="preserve">, </w:t>
      </w:r>
      <w:hyperlink r:id="rId754" w:history="1">
        <w:r>
          <w:rPr>
            <w:rFonts w:ascii="arial" w:eastAsia="arial" w:hAnsi="arial" w:cs="arial"/>
            <w:i/>
            <w:color w:val="0077CC"/>
            <w:sz w:val="20"/>
            <w:u w:val="single"/>
            <w:shd w:val="clear" w:color="auto" w:fill="FFFFFF"/>
            <w:lang w:val="en-US" w:eastAsia="en-US" w:bidi="ar-SA"/>
          </w:rPr>
          <w:t>2007 BCCA 225</w:t>
        </w:r>
      </w:hyperlink>
      <w:r>
        <w:rPr>
          <w:rFonts w:ascii="arial" w:eastAsia="arial" w:hAnsi="arial" w:cs="arial"/>
          <w:color w:val="000000"/>
          <w:sz w:val="20"/>
          <w:lang w:val="en-US" w:eastAsia="en-US" w:bidi="ar-SA"/>
        </w:rPr>
        <w:t xml:space="preserve"> at para. 68).</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50</w:t>
      </w:r>
      <w:r>
        <w:rPr>
          <w:rFonts w:ascii="arial" w:eastAsia="arial" w:hAnsi="arial" w:cs="arial"/>
          <w:color w:val="000000"/>
          <w:sz w:val="20"/>
          <w:lang w:val="en-US" w:eastAsia="en-US" w:bidi="ar-SA"/>
        </w:rPr>
        <w:t xml:space="preserve">  A case that exemplifies what I consider to be the "milder" end of the spectrum of reprehensible conduct is </w:t>
      </w:r>
      <w:r>
        <w:rPr>
          <w:rFonts w:ascii="arial" w:eastAsia="arial" w:hAnsi="arial" w:cs="arial"/>
          <w:i/>
          <w:color w:val="000000"/>
          <w:sz w:val="20"/>
          <w:lang w:val="en-US" w:eastAsia="en-US" w:bidi="ar-SA"/>
        </w:rPr>
        <w:t>Crown West Steel Fabricators v. Capri Insurance Services Ltd.</w:t>
      </w:r>
      <w:r>
        <w:rPr>
          <w:rFonts w:ascii="arial" w:eastAsia="arial" w:hAnsi="arial" w:cs="arial"/>
          <w:color w:val="000000"/>
          <w:sz w:val="20"/>
          <w:lang w:val="en-US" w:eastAsia="en-US" w:bidi="ar-SA"/>
        </w:rPr>
        <w:t xml:space="preserve">, </w:t>
      </w:r>
      <w:hyperlink r:id="rId755" w:history="1">
        <w:r>
          <w:rPr>
            <w:rFonts w:ascii="arial" w:eastAsia="arial" w:hAnsi="arial" w:cs="arial"/>
            <w:i/>
            <w:color w:val="0077CC"/>
            <w:sz w:val="20"/>
            <w:u w:val="single"/>
            <w:shd w:val="clear" w:color="auto" w:fill="FFFFFF"/>
            <w:lang w:val="en-US" w:eastAsia="en-US" w:bidi="ar-SA"/>
          </w:rPr>
          <w:t>2003 BCCA 268</w:t>
        </w:r>
      </w:hyperlink>
      <w:r>
        <w:rPr>
          <w:rFonts w:ascii="arial" w:eastAsia="arial" w:hAnsi="arial" w:cs="arial"/>
          <w:color w:val="000000"/>
          <w:sz w:val="20"/>
          <w:lang w:val="en-US" w:eastAsia="en-US" w:bidi="ar-SA"/>
        </w:rPr>
        <w:t xml:space="preserve">. This case involved steel fabricating facilities that were destroyed by fire. The plaintiffs were the tenant and the owner of the facilities. They sued the insurance broker and its employee responsible for their account for failing to recommend adequate insurance coverage. The plaintiffs for the most part succeeded at trial: the insurance company and the employee were found contributorily negligent. The tenant plaintiff, however, was also found contributorily negligent and appealed the contributory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apportionment of its damages. The defendants cross-appealed the trial judge's conclusion, </w:t>
      </w:r>
      <w:hyperlink r:id="rId756" w:history="1">
        <w:r>
          <w:rPr>
            <w:rFonts w:ascii="arial" w:eastAsia="arial" w:hAnsi="arial" w:cs="arial"/>
            <w:i/>
            <w:color w:val="0077CC"/>
            <w:sz w:val="20"/>
            <w:u w:val="single"/>
            <w:shd w:val="clear" w:color="auto" w:fill="FFFFFF"/>
            <w:lang w:val="en-US" w:eastAsia="en-US" w:bidi="ar-SA"/>
          </w:rPr>
          <w:t>[2001] B.C.J. No. 638</w:t>
        </w:r>
      </w:hyperlink>
      <w:r>
        <w:rPr>
          <w:rFonts w:ascii="arial" w:eastAsia="arial" w:hAnsi="arial" w:cs="arial"/>
          <w:color w:val="000000"/>
          <w:sz w:val="20"/>
          <w:lang w:val="en-US" w:eastAsia="en-US" w:bidi="ar-SA"/>
        </w:rPr>
        <w:t xml:space="preserve">, that the owner had suffered uninsured demolition and debris removal costs and expense as there was no evidence to support such a finding. The appeal was dismissed and the cross-appeal allowed, referring the matter back to the trial judge for the parties to tender further evidence on whether the owner sustained uninsured costs ( </w:t>
      </w:r>
      <w:hyperlink r:id="rId757" w:history="1">
        <w:r>
          <w:rPr>
            <w:rFonts w:ascii="arial" w:eastAsia="arial" w:hAnsi="arial" w:cs="arial"/>
            <w:i/>
            <w:color w:val="0077CC"/>
            <w:sz w:val="20"/>
            <w:u w:val="single"/>
            <w:shd w:val="clear" w:color="auto" w:fill="FFFFFF"/>
            <w:lang w:val="en-US" w:eastAsia="en-US" w:bidi="ar-SA"/>
          </w:rPr>
          <w:t>2002 BCCA 417</w:t>
        </w:r>
      </w:hyperlink>
      <w:r>
        <w:rPr>
          <w:rFonts w:ascii="arial" w:eastAsia="arial" w:hAnsi="arial" w:cs="arial"/>
          <w:color w:val="000000"/>
          <w:sz w:val="20"/>
          <w:lang w:val="en-US" w:eastAsia="en-US" w:bidi="ar-SA"/>
        </w:rPr>
        <w:t>). After the appeal was decided, the plaintiff owner consented to the dismissal of its claim in respect of debris removal costs. The defendants sought special costs in a separate application to the Court of Appeal on the basis the claim was unfounded. The Court of Appeal found that the plaintiffs had an obligation to discover some evidence to support the claim before advancing it (para. 5). Special costs were awarded to the defendants.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51</w:t>
      </w:r>
      <w:r>
        <w:rPr>
          <w:rFonts w:ascii="arial" w:eastAsia="arial" w:hAnsi="arial" w:cs="arial"/>
          <w:color w:val="000000"/>
          <w:sz w:val="20"/>
          <w:lang w:val="en-US" w:eastAsia="en-US" w:bidi="ar-SA"/>
        </w:rPr>
        <w:t xml:space="preserve">  An ill-informed position will not always attract special costs. An extreme example is </w:t>
      </w:r>
      <w:r>
        <w:rPr>
          <w:rFonts w:ascii="arial" w:eastAsia="arial" w:hAnsi="arial" w:cs="arial"/>
          <w:i/>
          <w:color w:val="000000"/>
          <w:sz w:val="20"/>
          <w:lang w:val="en-US" w:eastAsia="en-US" w:bidi="ar-SA"/>
        </w:rPr>
        <w:t>Webber v. Dulai Roofing Ltd.</w:t>
      </w:r>
      <w:r>
        <w:rPr>
          <w:rFonts w:ascii="arial" w:eastAsia="arial" w:hAnsi="arial" w:cs="arial"/>
          <w:color w:val="000000"/>
          <w:sz w:val="20"/>
          <w:lang w:val="en-US" w:eastAsia="en-US" w:bidi="ar-SA"/>
        </w:rPr>
        <w:t xml:space="preserve">, </w:t>
      </w:r>
      <w:hyperlink r:id="rId758" w:history="1">
        <w:r>
          <w:rPr>
            <w:rFonts w:ascii="arial" w:eastAsia="arial" w:hAnsi="arial" w:cs="arial"/>
            <w:i/>
            <w:color w:val="0077CC"/>
            <w:sz w:val="20"/>
            <w:u w:val="single"/>
            <w:shd w:val="clear" w:color="auto" w:fill="FFFFFF"/>
            <w:lang w:val="en-US" w:eastAsia="en-US" w:bidi="ar-SA"/>
          </w:rPr>
          <w:t>2006 BCCA 501</w:t>
        </w:r>
      </w:hyperlink>
      <w:r>
        <w:rPr>
          <w:rFonts w:ascii="arial" w:eastAsia="arial" w:hAnsi="arial" w:cs="arial"/>
          <w:color w:val="000000"/>
          <w:sz w:val="20"/>
          <w:lang w:val="en-US" w:eastAsia="en-US" w:bidi="ar-SA"/>
        </w:rPr>
        <w:t xml:space="preserve">. The brothers, Singh and Jhajj, owned property together. Dulai Roofing obtained judgment against the brothers, which was registered against their interest in the property. Singh and Jhajj subsequently entered into an agreement with the plaintiffs to sell the property. Dulai refused to cancel the registration of its judgment against the interest in the property. The plaintiffs then sought their deposit back, which Singh and Jhajj refused. The plaintiffs commenced an action, naming the brothers and Dulai as defendants. However, no claim in fact lay against Dulai; the claim properly lay against the brothers. Dulai appeared at the summary trial and maintained that it was entitled to the full satisfaction of its judgment out of the sale. The trial judge found in favour of the plaintiffs, </w:t>
      </w:r>
      <w:hyperlink r:id="rId759" w:history="1">
        <w:r>
          <w:rPr>
            <w:rFonts w:ascii="arial" w:eastAsia="arial" w:hAnsi="arial" w:cs="arial"/>
            <w:i/>
            <w:color w:val="0077CC"/>
            <w:sz w:val="20"/>
            <w:u w:val="single"/>
            <w:shd w:val="clear" w:color="auto" w:fill="FFFFFF"/>
            <w:lang w:val="en-US" w:eastAsia="en-US" w:bidi="ar-SA"/>
          </w:rPr>
          <w:t>[2005] B.C.J. No. 346</w:t>
        </w:r>
      </w:hyperlink>
      <w:r>
        <w:rPr>
          <w:rFonts w:ascii="arial" w:eastAsia="arial" w:hAnsi="arial" w:cs="arial"/>
          <w:color w:val="000000"/>
          <w:sz w:val="20"/>
          <w:lang w:val="en-US" w:eastAsia="en-US" w:bidi="ar-SA"/>
        </w:rPr>
        <w:t>. He awarded special costs to the plaintiffs against the brothers and Dulai, apportioning 40% of those costs against Dulai. He also ordered that Dulai's judgment against the brothers' interest in the property be cancelled and that an amount of the proceeds of sale be paid into court to secure Dulai's claim. Dulai appealed.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52</w:t>
      </w:r>
      <w:r>
        <w:rPr>
          <w:rFonts w:ascii="arial" w:eastAsia="arial" w:hAnsi="arial" w:cs="arial"/>
          <w:color w:val="000000"/>
          <w:sz w:val="20"/>
          <w:lang w:val="en-US" w:eastAsia="en-US" w:bidi="ar-SA"/>
        </w:rPr>
        <w:t>  Mr. Justice Lowry for the Court of Appeal commented that the award of special costs against the brothers was unusual given that neither had opposed the relief sought. He further noted that the trial judge had awarded special costs on the basis that Singh, Jhajj and Dulai caused the plaintiffs' expense and inconvenience, without going so far as to characterize that conduct as reprehensible. No cause of action lay against Dulai, even though it did appear at the hearing of the matter. Lowry J.A. continued: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[18] Certainly, the mere fact that Dulai took a position that proved to be legally ill-founded and that it sought to challenge Jhajj's rather unique 1/100 registered interest as being his true beneficial interest was in no way conduct that was reprehensible and deserving of rebuke. The three authorities on which the judge relied in particular speak to the situation where litigants are careless or indifferent with respect to the facts on which they have advanced unmeritorious positions with serious repercussions. The considerations in this case are not the same where, with the benefit of legal advice, Dulai simply took a position that proved not to be sound. There is nothing in its conduct justifying an award of special costs against it.</w:t>
      </w:r>
    </w:p>
    <w:p>
      <w:pPr>
        <w:numPr>
          <w:numId w:val="2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u w:val="single"/>
          <w:lang w:val="en-US" w:eastAsia="en-US" w:bidi="ar-SA"/>
        </w:rPr>
        <w:t>Abuse of the Court's Process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53</w:t>
      </w:r>
      <w:r>
        <w:rPr>
          <w:rFonts w:ascii="arial" w:eastAsia="arial" w:hAnsi="arial" w:cs="arial"/>
          <w:color w:val="000000"/>
          <w:sz w:val="20"/>
          <w:lang w:val="en-US" w:eastAsia="en-US" w:bidi="ar-SA"/>
        </w:rPr>
        <w:t>  Abusing the court's process will amount to reprehensible conduct.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54</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Chudy v. Merchant Law Group</w:t>
      </w:r>
      <w:r>
        <w:rPr>
          <w:rFonts w:ascii="arial" w:eastAsia="arial" w:hAnsi="arial" w:cs="arial"/>
          <w:color w:val="000000"/>
          <w:sz w:val="20"/>
          <w:lang w:val="en-US" w:eastAsia="en-US" w:bidi="ar-SA"/>
        </w:rPr>
        <w:t xml:space="preserve">, </w:t>
      </w:r>
      <w:hyperlink r:id="rId760" w:history="1">
        <w:r>
          <w:rPr>
            <w:rFonts w:ascii="arial" w:eastAsia="arial" w:hAnsi="arial" w:cs="arial"/>
            <w:i/>
            <w:color w:val="0077CC"/>
            <w:sz w:val="20"/>
            <w:u w:val="single"/>
            <w:shd w:val="clear" w:color="auto" w:fill="FFFFFF"/>
            <w:lang w:val="en-US" w:eastAsia="en-US" w:bidi="ar-SA"/>
          </w:rPr>
          <w:t>2009 BCCA 93</w:t>
        </w:r>
      </w:hyperlink>
      <w:r>
        <w:rPr>
          <w:rFonts w:ascii="arial" w:eastAsia="arial" w:hAnsi="arial" w:cs="arial"/>
          <w:color w:val="000000"/>
          <w:sz w:val="20"/>
          <w:lang w:val="en-US" w:eastAsia="en-US" w:bidi="ar-SA"/>
        </w:rPr>
        <w:t xml:space="preserve">, the Court of Appeal upheld the trial judge's decision, </w:t>
      </w:r>
      <w:hyperlink r:id="rId761" w:history="1">
        <w:r>
          <w:rPr>
            <w:rFonts w:ascii="arial" w:eastAsia="arial" w:hAnsi="arial" w:cs="arial"/>
            <w:i/>
            <w:color w:val="0077CC"/>
            <w:sz w:val="20"/>
            <w:u w:val="single"/>
            <w:shd w:val="clear" w:color="auto" w:fill="FFFFFF"/>
            <w:lang w:val="en-US" w:eastAsia="en-US" w:bidi="ar-SA"/>
          </w:rPr>
          <w:t>[2007] B.C.J. No. 398</w:t>
        </w:r>
      </w:hyperlink>
      <w:r>
        <w:rPr>
          <w:rFonts w:ascii="arial" w:eastAsia="arial" w:hAnsi="arial" w:cs="arial"/>
          <w:color w:val="000000"/>
          <w:sz w:val="20"/>
          <w:lang w:val="en-US" w:eastAsia="en-US" w:bidi="ar-SA"/>
        </w:rPr>
        <w:t>, to award special costs for the following reasons: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[9] The appellant has not demonstrated error on the part of the trial judge in his conclusion that the conduct of the appellant during this litigation, both pre-trial and during the trial, was reprehensible as that term is used in Garcia. The evidence abundantly supports the conclusion. The appellant brought pre-trial motions that were without merit; it brought a specious application, based in part on false evidence, challenging the jurisdiction of the court to try the matter; it avoided a peremptory trial date by adding Mr. Shaw as a third party but did not require him to file a defence, did not examine him for discovery, did not cross examine him at trial with respect to its allegations against him, and in a lengthy written submission at the end of the trial, did not refer to its claim over against Mr. Shaw (the trial judge tersely dismissed the third party claim); it brought a motion (returnable on the date scheduled for the hearing of a R. 18A application for a summary trial brought by the respondents) for removal of the respondents' counsel on ridiculous grounds, a tactic which the trial judge at para. 236 stated, with the benefit of his unique perspective of the appellant's entire conduct, "was not only without merit but was calculated to prevent the Rule 18A application from proceeding as ordered"; on the hearing of the respondents' R. 18A motion, Mr. Merchant produced a large number of documents, not previously disclosed and not sworn to, in support of his position that the action could not be determined on a summary basis; and, finally but of most significance, Mr. Merchant offered evidence at trial that the trial judge determined was false and misleading.</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[10] As to the final point, the respondents refer to Brown v. Lowe, </w:t>
      </w:r>
      <w:hyperlink r:id="rId762" w:history="1">
        <w:r>
          <w:rPr>
            <w:rFonts w:ascii="arial" w:eastAsia="arial" w:hAnsi="arial" w:cs="arial"/>
            <w:i/>
            <w:color w:val="0077CC"/>
            <w:sz w:val="20"/>
            <w:u w:val="single"/>
            <w:shd w:val="clear" w:color="auto" w:fill="FFFFFF"/>
            <w:lang w:val="en-US" w:eastAsia="en-US" w:bidi="ar-SA"/>
          </w:rPr>
          <w:t>2002 BCCA 7</w:t>
        </w:r>
      </w:hyperlink>
      <w:r>
        <w:rPr>
          <w:rFonts w:ascii="arial" w:eastAsia="arial" w:hAnsi="arial" w:cs="arial"/>
          <w:color w:val="000000"/>
          <w:sz w:val="20"/>
          <w:lang w:val="en-US" w:eastAsia="en-US" w:bidi="ar-SA"/>
        </w:rPr>
        <w:t>, in which Southin J.A. said (at para. 149): "To give false evidence relating to the matters in question at any stage of the proceedings is a grave matter. By "false", I do not mean "erroneous"; I mean knowingly untrue." The falsity of Mr. Merchant's evidence is commented on by the trial judge at several points in his judgment and is referenced by the majority judgment in this court. There is no need to particularize it here.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[11] The evidence as a whole clearly supports the conclusion of the trial judge that the legal basis for the awarding of special costs was established in this case.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55</w:t>
      </w:r>
      <w:r>
        <w:rPr>
          <w:rFonts w:ascii="arial" w:eastAsia="arial" w:hAnsi="arial" w:cs="arial"/>
          <w:color w:val="000000"/>
          <w:sz w:val="20"/>
          <w:lang w:val="en-US" w:eastAsia="en-US" w:bidi="ar-SA"/>
        </w:rPr>
        <w:t>  </w:t>
      </w:r>
      <w:r>
        <w:rPr>
          <w:rFonts w:ascii="arial" w:eastAsia="arial" w:hAnsi="arial" w:cs="arial"/>
          <w:i/>
          <w:color w:val="000000"/>
          <w:sz w:val="20"/>
          <w:lang w:val="en-US" w:eastAsia="en-US" w:bidi="ar-SA"/>
        </w:rPr>
        <w:t>Chudy</w:t>
      </w:r>
      <w:r>
        <w:rPr>
          <w:rFonts w:ascii="arial" w:eastAsia="arial" w:hAnsi="arial" w:cs="arial"/>
          <w:color w:val="000000"/>
          <w:sz w:val="20"/>
          <w:lang w:val="en-US" w:eastAsia="en-US" w:bidi="ar-SA"/>
        </w:rPr>
        <w:t xml:space="preserve"> could fall under any of the thematic categories for special costs awards as an example of outrageous conduct.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56</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Holland (Guardian ad litem of) v. Marshall</w:t>
      </w:r>
      <w:r>
        <w:rPr>
          <w:rFonts w:ascii="arial" w:eastAsia="arial" w:hAnsi="arial" w:cs="arial"/>
          <w:color w:val="000000"/>
          <w:sz w:val="20"/>
          <w:lang w:val="en-US" w:eastAsia="en-US" w:bidi="ar-SA"/>
        </w:rPr>
        <w:t xml:space="preserve">, </w:t>
      </w:r>
      <w:hyperlink r:id="rId763" w:history="1">
        <w:r>
          <w:rPr>
            <w:rFonts w:ascii="arial" w:eastAsia="arial" w:hAnsi="arial" w:cs="arial"/>
            <w:i/>
            <w:color w:val="0077CC"/>
            <w:sz w:val="20"/>
            <w:u w:val="single"/>
            <w:shd w:val="clear" w:color="auto" w:fill="FFFFFF"/>
            <w:lang w:val="en-US" w:eastAsia="en-US" w:bidi="ar-SA"/>
          </w:rPr>
          <w:t>2010 BCCA 562</w:t>
        </w:r>
      </w:hyperlink>
      <w:r>
        <w:rPr>
          <w:rFonts w:ascii="arial" w:eastAsia="arial" w:hAnsi="arial" w:cs="arial"/>
          <w:color w:val="000000"/>
          <w:sz w:val="20"/>
          <w:lang w:val="en-US" w:eastAsia="en-US" w:bidi="ar-SA"/>
        </w:rPr>
        <w:t>, the court considered an application for review of an appellate chambers order declaring the appellant and her son to be vexatious litigants. In dismissing the application, the court awarded special costs, noting the appellant's "spurious allegations" against the chambers judge, an expert witness and counsel as well as her efforts to seek recusal of members of the division on "specious grounds".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57</w:t>
      </w:r>
      <w:r>
        <w:rPr>
          <w:rFonts w:ascii="arial" w:eastAsia="arial" w:hAnsi="arial" w:cs="arial"/>
          <w:color w:val="000000"/>
          <w:sz w:val="20"/>
          <w:lang w:val="en-US" w:eastAsia="en-US" w:bidi="ar-SA"/>
        </w:rPr>
        <w:t xml:space="preserve">  Contempt orders have also consistently been held to attract special costs. A special costs award serves the purpose of chastising the contemnor and providing indemnity for the complainant: </w:t>
      </w:r>
      <w:r>
        <w:rPr>
          <w:rFonts w:ascii="arial" w:eastAsia="arial" w:hAnsi="arial" w:cs="arial"/>
          <w:i/>
          <w:color w:val="000000"/>
          <w:sz w:val="20"/>
          <w:lang w:val="en-US" w:eastAsia="en-US" w:bidi="ar-SA"/>
        </w:rPr>
        <w:t>Telus Communications Inc. v. Telecommunications Workers Union</w:t>
      </w:r>
      <w:r>
        <w:rPr>
          <w:rFonts w:ascii="arial" w:eastAsia="arial" w:hAnsi="arial" w:cs="arial"/>
          <w:color w:val="000000"/>
          <w:sz w:val="20"/>
          <w:lang w:val="en-US" w:eastAsia="en-US" w:bidi="ar-SA"/>
        </w:rPr>
        <w:t xml:space="preserve">, </w:t>
      </w:r>
      <w:hyperlink r:id="rId764" w:history="1">
        <w:r>
          <w:rPr>
            <w:rFonts w:ascii="arial" w:eastAsia="arial" w:hAnsi="arial" w:cs="arial"/>
            <w:i/>
            <w:color w:val="0077CC"/>
            <w:sz w:val="20"/>
            <w:u w:val="single"/>
            <w:shd w:val="clear" w:color="auto" w:fill="FFFFFF"/>
            <w:lang w:val="en-US" w:eastAsia="en-US" w:bidi="ar-SA"/>
          </w:rPr>
          <w:t>2008 BCCA 144</w:t>
        </w:r>
      </w:hyperlink>
      <w:r>
        <w:rPr>
          <w:rFonts w:ascii="arial" w:eastAsia="arial" w:hAnsi="arial" w:cs="arial"/>
          <w:color w:val="000000"/>
          <w:sz w:val="20"/>
          <w:lang w:val="en-US" w:eastAsia="en-US" w:bidi="ar-SA"/>
        </w:rPr>
        <w:t xml:space="preserve"> at paras. 30 - 31.</w:t>
      </w:r>
      <w:r>
        <w:rPr>
          <w:rFonts w:ascii="arial" w:eastAsia="arial" w:hAnsi="arial" w:cs="arial"/>
          <w:sz w:val="20"/>
          <w:lang w:val="en-US" w:eastAsia="en-US" w:bidi="ar-SA"/>
        </w:rPr>
        <w:cr/>
      </w:r>
    </w:p>
    <w:p>
      <w:pPr>
        <w:numPr>
          <w:numId w:val="24"/>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u w:val="single"/>
          <w:lang w:val="en-US" w:eastAsia="en-US" w:bidi="ar-SA"/>
        </w:rPr>
        <w:t>Sharp Practice Derogating from the Rules of Professional Conduct and the Rules of Court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58</w:t>
      </w:r>
      <w:r>
        <w:rPr>
          <w:rFonts w:ascii="arial" w:eastAsia="arial" w:hAnsi="arial" w:cs="arial"/>
          <w:color w:val="000000"/>
          <w:sz w:val="20"/>
          <w:lang w:val="en-US" w:eastAsia="en-US" w:bidi="ar-SA"/>
        </w:rPr>
        <w:t>  Similar to meritless claims, sharp practice alone will not result in an award of special costs.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59</w:t>
      </w:r>
      <w:r>
        <w:rPr>
          <w:rFonts w:ascii="arial" w:eastAsia="arial" w:hAnsi="arial" w:cs="arial"/>
          <w:color w:val="000000"/>
          <w:sz w:val="20"/>
          <w:lang w:val="en-US" w:eastAsia="en-US" w:bidi="ar-SA"/>
        </w:rPr>
        <w:t>  In</w:t>
      </w:r>
      <w:r>
        <w:rPr>
          <w:rFonts w:ascii="arial" w:eastAsia="arial" w:hAnsi="arial" w:cs="arial"/>
          <w:i/>
          <w:color w:val="000000"/>
          <w:sz w:val="20"/>
          <w:lang w:val="en-US" w:eastAsia="en-US" w:bidi="ar-SA"/>
        </w:rPr>
        <w:t xml:space="preserve"> Canadian Resort Development Corp. v. Swaneset Bay Golf Course Ltd</w:t>
      </w:r>
      <w:r>
        <w:rPr>
          <w:rFonts w:ascii="arial" w:eastAsia="arial" w:hAnsi="arial" w:cs="arial"/>
          <w:color w:val="000000"/>
          <w:sz w:val="20"/>
          <w:lang w:val="en-US" w:eastAsia="en-US" w:bidi="ar-SA"/>
        </w:rPr>
        <w:t xml:space="preserve">., </w:t>
      </w:r>
      <w:hyperlink r:id="rId765" w:history="1">
        <w:r>
          <w:rPr>
            <w:rFonts w:ascii="arial" w:eastAsia="arial" w:hAnsi="arial" w:cs="arial"/>
            <w:i/>
            <w:color w:val="0077CC"/>
            <w:sz w:val="20"/>
            <w:u w:val="single"/>
            <w:shd w:val="clear" w:color="auto" w:fill="FFFFFF"/>
            <w:lang w:val="en-US" w:eastAsia="en-US" w:bidi="ar-SA"/>
          </w:rPr>
          <w:t>2000 BCCA 597</w:t>
        </w:r>
      </w:hyperlink>
      <w:r>
        <w:rPr>
          <w:rFonts w:ascii="arial" w:eastAsia="arial" w:hAnsi="arial" w:cs="arial"/>
          <w:color w:val="000000"/>
          <w:sz w:val="20"/>
          <w:lang w:val="en-US" w:eastAsia="en-US" w:bidi="ar-SA"/>
        </w:rPr>
        <w:t xml:space="preserve">, the Court of Appeal set aside the trial judge's award of special costs, </w:t>
      </w:r>
      <w:hyperlink r:id="rId766" w:history="1">
        <w:r>
          <w:rPr>
            <w:rFonts w:ascii="arial" w:eastAsia="arial" w:hAnsi="arial" w:cs="arial"/>
            <w:i/>
            <w:color w:val="0077CC"/>
            <w:sz w:val="20"/>
            <w:u w:val="single"/>
            <w:shd w:val="clear" w:color="auto" w:fill="FFFFFF"/>
            <w:lang w:val="en-US" w:eastAsia="en-US" w:bidi="ar-SA"/>
          </w:rPr>
          <w:t>[1999] B.C.J. No. 1029</w:t>
        </w:r>
      </w:hyperlink>
      <w:r>
        <w:rPr>
          <w:rFonts w:ascii="arial" w:eastAsia="arial" w:hAnsi="arial" w:cs="arial"/>
          <w:color w:val="000000"/>
          <w:sz w:val="20"/>
          <w:lang w:val="en-US" w:eastAsia="en-US" w:bidi="ar-SA"/>
        </w:rPr>
        <w:t>. The basis for the special costs award was the defendants' failure to withdraw allegations until the second day of trial. The trial judge found that those allegations were in "the nature of dishonesty" and that there was no evidentiary basis for them. The trial judge also inferred that this was a tactical maneuver to intimidate the plaintiff and deter him from prosecuting his claim. The Court of Appeal held that the evidence only suggested confusion on the part of counsel, not improper motive. Failure to withdraw in a clear and timely fashion alone was insufficient to merit an award of special costs.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60</w:t>
      </w:r>
      <w:r>
        <w:rPr>
          <w:rFonts w:ascii="arial" w:eastAsia="arial" w:hAnsi="arial" w:cs="arial"/>
          <w:color w:val="000000"/>
          <w:sz w:val="20"/>
          <w:lang w:val="en-US" w:eastAsia="en-US" w:bidi="ar-SA"/>
        </w:rPr>
        <w:t xml:space="preserve">  In contrast, sharp practice did merit special costs in </w:t>
      </w:r>
      <w:r>
        <w:rPr>
          <w:rFonts w:ascii="arial" w:eastAsia="arial" w:hAnsi="arial" w:cs="arial"/>
          <w:i/>
          <w:color w:val="000000"/>
          <w:sz w:val="20"/>
          <w:lang w:val="en-US" w:eastAsia="en-US" w:bidi="ar-SA"/>
        </w:rPr>
        <w:t>Johal v. Dosang</w:t>
      </w:r>
      <w:r>
        <w:rPr>
          <w:rFonts w:ascii="arial" w:eastAsia="arial" w:hAnsi="arial" w:cs="arial"/>
          <w:color w:val="000000"/>
          <w:sz w:val="20"/>
          <w:lang w:val="en-US" w:eastAsia="en-US" w:bidi="ar-SA"/>
        </w:rPr>
        <w:t xml:space="preserve"> </w:t>
      </w:r>
      <w:hyperlink r:id="rId767" w:history="1">
        <w:r>
          <w:rPr>
            <w:rFonts w:ascii="arial" w:eastAsia="arial" w:hAnsi="arial" w:cs="arial"/>
            <w:i/>
            <w:color w:val="0077CC"/>
            <w:sz w:val="20"/>
            <w:u w:val="single"/>
            <w:shd w:val="clear" w:color="auto" w:fill="FFFFFF"/>
            <w:lang w:val="en-US" w:eastAsia="en-US" w:bidi="ar-SA"/>
          </w:rPr>
          <w:t>(1998), 48 B.C.L.R. (3d) 236</w:t>
        </w:r>
      </w:hyperlink>
      <w:r>
        <w:rPr>
          <w:rFonts w:ascii="arial" w:eastAsia="arial" w:hAnsi="arial" w:cs="arial"/>
          <w:color w:val="000000"/>
          <w:sz w:val="20"/>
          <w:lang w:val="en-US" w:eastAsia="en-US" w:bidi="ar-SA"/>
        </w:rPr>
        <w:t xml:space="preserve"> (C.A.). The Insurance Corporation of British Columbia (ICBC) served as counsel for the defendant in a motor vehicle collision. On the day before the trial was to begin, ICBC filed third party notice, alleging the defendant had failed to cooperate with ICBC in defending the action. It also filed a new statement of defence denying liability, unlike the initial statement of defence which admitted liability. That notice had not yet been served on the defendant as of the first day of trial. It was also evident that ICBC had not taken any steps to meet with the defendant beforehand, which was particularly problematic given the defendant's first language was not English. On the first day of trial, ICBC sought to withdraw as counsel for the defendant on the basis of its third party notice. The trial judge adjourned the trial and discharged the jury panel. He also awarded special costs in favour of the plaintiff for the costs thrown away by reason of the adjournment. In doing so, he found ICBC's actions were "high-handed" and "unreasonable". ICBC appealed, alleging that the trial judge had misapprehended the standard for an award of special costs. The Court of Appeal rejected that argument as an excessively literal reading of the trial judge's decision. Considering the whole of the trial judge's reasons, the Court of Appeal found the trial judge was justified in finding ICBC's conduct merited an award of special costs.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61</w:t>
      </w:r>
      <w:r>
        <w:rPr>
          <w:rFonts w:ascii="arial" w:eastAsia="arial" w:hAnsi="arial" w:cs="arial"/>
          <w:color w:val="000000"/>
          <w:sz w:val="20"/>
          <w:lang w:val="en-US" w:eastAsia="en-US" w:bidi="ar-SA"/>
        </w:rPr>
        <w:t xml:space="preserve">  The distinctive factor in </w:t>
      </w:r>
      <w:r>
        <w:rPr>
          <w:rFonts w:ascii="arial" w:eastAsia="arial" w:hAnsi="arial" w:cs="arial"/>
          <w:i/>
          <w:color w:val="000000"/>
          <w:sz w:val="20"/>
          <w:lang w:val="en-US" w:eastAsia="en-US" w:bidi="ar-SA"/>
        </w:rPr>
        <w:t>Johal</w:t>
      </w:r>
      <w:r>
        <w:rPr>
          <w:rFonts w:ascii="arial" w:eastAsia="arial" w:hAnsi="arial" w:cs="arial"/>
          <w:color w:val="000000"/>
          <w:sz w:val="20"/>
          <w:lang w:val="en-US" w:eastAsia="en-US" w:bidi="ar-SA"/>
        </w:rPr>
        <w:t xml:space="preserve"> is that the conduct of counsel was aimed at prejudicing the defendant. The derogation from the rules of court was also more egregious.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62</w:t>
      </w:r>
      <w:r>
        <w:rPr>
          <w:rFonts w:ascii="arial" w:eastAsia="arial" w:hAnsi="arial" w:cs="arial"/>
          <w:color w:val="000000"/>
          <w:sz w:val="20"/>
          <w:lang w:val="en-US" w:eastAsia="en-US" w:bidi="ar-SA"/>
        </w:rPr>
        <w:t xml:space="preserve">  A similar result was reached in </w:t>
      </w:r>
      <w:r>
        <w:rPr>
          <w:rFonts w:ascii="arial" w:eastAsia="arial" w:hAnsi="arial" w:cs="arial"/>
          <w:i/>
          <w:color w:val="000000"/>
          <w:sz w:val="20"/>
          <w:lang w:val="en-US" w:eastAsia="en-US" w:bidi="ar-SA"/>
        </w:rPr>
        <w:t>Grewal v. Nijjer</w:t>
      </w:r>
      <w:r>
        <w:rPr>
          <w:rFonts w:ascii="arial" w:eastAsia="arial" w:hAnsi="arial" w:cs="arial"/>
          <w:color w:val="000000"/>
          <w:sz w:val="20"/>
          <w:lang w:val="en-US" w:eastAsia="en-US" w:bidi="ar-SA"/>
        </w:rPr>
        <w:t xml:space="preserve">, </w:t>
      </w:r>
      <w:hyperlink r:id="rId768" w:history="1">
        <w:r>
          <w:rPr>
            <w:rFonts w:ascii="arial" w:eastAsia="arial" w:hAnsi="arial" w:cs="arial"/>
            <w:i/>
            <w:color w:val="0077CC"/>
            <w:sz w:val="20"/>
            <w:u w:val="single"/>
            <w:shd w:val="clear" w:color="auto" w:fill="FFFFFF"/>
            <w:lang w:val="en-US" w:eastAsia="en-US" w:bidi="ar-SA"/>
          </w:rPr>
          <w:t>2011 BCCA 505</w:t>
        </w:r>
      </w:hyperlink>
      <w:r>
        <w:rPr>
          <w:rFonts w:ascii="arial" w:eastAsia="arial" w:hAnsi="arial" w:cs="arial"/>
          <w:color w:val="000000"/>
          <w:sz w:val="20"/>
          <w:lang w:val="en-US" w:eastAsia="en-US" w:bidi="ar-SA"/>
        </w:rPr>
        <w:t xml:space="preserve">. In that case, the court upheld the trial judge's special costs award against the appellants, </w:t>
      </w:r>
      <w:hyperlink r:id="rId769" w:history="1">
        <w:r>
          <w:rPr>
            <w:rFonts w:ascii="arial" w:eastAsia="arial" w:hAnsi="arial" w:cs="arial"/>
            <w:i/>
            <w:color w:val="0077CC"/>
            <w:sz w:val="20"/>
            <w:u w:val="single"/>
            <w:shd w:val="clear" w:color="auto" w:fill="FFFFFF"/>
            <w:lang w:val="en-US" w:eastAsia="en-US" w:bidi="ar-SA"/>
          </w:rPr>
          <w:t>[2011] B.C.J. No. 442</w:t>
        </w:r>
      </w:hyperlink>
      <w:r>
        <w:rPr>
          <w:rFonts w:ascii="arial" w:eastAsia="arial" w:hAnsi="arial" w:cs="arial"/>
          <w:color w:val="000000"/>
          <w:sz w:val="20"/>
          <w:lang w:val="en-US" w:eastAsia="en-US" w:bidi="ar-SA"/>
        </w:rPr>
        <w:t>, finding at para. 17: "[t]he Nijjers put Mr. Grewal to much trouble and expense in striving to obtain proper document discovery and particulars, only to be met with what the judge found to be 'ongoing delay and obfuscation'".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63</w:t>
      </w:r>
      <w:r>
        <w:rPr>
          <w:rFonts w:ascii="arial" w:eastAsia="arial" w:hAnsi="arial" w:cs="arial"/>
          <w:color w:val="000000"/>
          <w:sz w:val="20"/>
          <w:lang w:val="en-US" w:eastAsia="en-US" w:bidi="ar-SA"/>
        </w:rPr>
        <w:t xml:space="preserve">  Another example is </w:t>
      </w:r>
      <w:r>
        <w:rPr>
          <w:rFonts w:ascii="arial" w:eastAsia="arial" w:hAnsi="arial" w:cs="arial"/>
          <w:i/>
          <w:color w:val="000000"/>
          <w:sz w:val="20"/>
          <w:lang w:val="en-US" w:eastAsia="en-US" w:bidi="ar-SA"/>
        </w:rPr>
        <w:t>Commonwealth Trust Co. (Re)</w:t>
      </w:r>
      <w:r>
        <w:rPr>
          <w:rFonts w:ascii="arial" w:eastAsia="arial" w:hAnsi="arial" w:cs="arial"/>
          <w:color w:val="000000"/>
          <w:sz w:val="20"/>
          <w:lang w:val="en-US" w:eastAsia="en-US" w:bidi="ar-SA"/>
        </w:rPr>
        <w:t xml:space="preserve">, </w:t>
      </w:r>
      <w:hyperlink r:id="rId770" w:history="1">
        <w:r>
          <w:rPr>
            <w:rFonts w:ascii="arial" w:eastAsia="arial" w:hAnsi="arial" w:cs="arial"/>
            <w:i/>
            <w:color w:val="0077CC"/>
            <w:sz w:val="20"/>
            <w:u w:val="single"/>
            <w:shd w:val="clear" w:color="auto" w:fill="FFFFFF"/>
            <w:lang w:val="en-US" w:eastAsia="en-US" w:bidi="ar-SA"/>
          </w:rPr>
          <w:t>2012 BCCA 138</w:t>
        </w:r>
      </w:hyperlink>
      <w:r>
        <w:rPr>
          <w:rFonts w:ascii="arial" w:eastAsia="arial" w:hAnsi="arial" w:cs="arial"/>
          <w:color w:val="000000"/>
          <w:sz w:val="20"/>
          <w:lang w:val="en-US" w:eastAsia="en-US" w:bidi="ar-SA"/>
        </w:rPr>
        <w:t xml:space="preserve">, where the court upheld the award of special costs against the appellants. The chambers judge, </w:t>
      </w:r>
      <w:hyperlink r:id="rId771" w:history="1">
        <w:r>
          <w:rPr>
            <w:rFonts w:ascii="arial" w:eastAsia="arial" w:hAnsi="arial" w:cs="arial"/>
            <w:i/>
            <w:color w:val="0077CC"/>
            <w:sz w:val="20"/>
            <w:u w:val="single"/>
            <w:shd w:val="clear" w:color="auto" w:fill="FFFFFF"/>
            <w:lang w:val="en-US" w:eastAsia="en-US" w:bidi="ar-SA"/>
          </w:rPr>
          <w:t>[2011] B.C.J. No. 926</w:t>
        </w:r>
      </w:hyperlink>
      <w:r>
        <w:rPr>
          <w:rFonts w:ascii="arial" w:eastAsia="arial" w:hAnsi="arial" w:cs="arial"/>
          <w:color w:val="000000"/>
          <w:sz w:val="20"/>
          <w:lang w:val="en-US" w:eastAsia="en-US" w:bidi="ar-SA"/>
        </w:rPr>
        <w:t>, had awarded special costs, considering a number of factors. The appellants had made allegations of serious professional misconduct against the liquidator and its counsel, including breach of trust and misleading the court. The appellants had also argued the respondents were not entitled to fees. The appellants wasted the court's time in cross examination, raised trivial issues and mischaracterized the evidence. The chambers judge further based her decision to award special costs on the Registrar's finding that the delay in the liquidation was solely attributable to the appellants.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64</w:t>
      </w:r>
      <w:r>
        <w:rPr>
          <w:rFonts w:ascii="arial" w:eastAsia="arial" w:hAnsi="arial" w:cs="arial"/>
          <w:color w:val="000000"/>
          <w:sz w:val="20"/>
          <w:lang w:val="en-US" w:eastAsia="en-US" w:bidi="ar-SA"/>
        </w:rPr>
        <w:t xml:space="preserve">  Poor advocacy alone will not attract special costs. In </w:t>
      </w:r>
      <w:r>
        <w:rPr>
          <w:rFonts w:ascii="arial" w:eastAsia="arial" w:hAnsi="arial" w:cs="arial"/>
          <w:i/>
          <w:color w:val="000000"/>
          <w:sz w:val="20"/>
          <w:lang w:val="en-US" w:eastAsia="en-US" w:bidi="ar-SA"/>
        </w:rPr>
        <w:t>Gichuru v. Smith</w:t>
      </w:r>
      <w:r>
        <w:rPr>
          <w:rFonts w:ascii="arial" w:eastAsia="arial" w:hAnsi="arial" w:cs="arial"/>
          <w:color w:val="000000"/>
          <w:sz w:val="20"/>
          <w:lang w:val="en-US" w:eastAsia="en-US" w:bidi="ar-SA"/>
        </w:rPr>
        <w:t xml:space="preserve">, </w:t>
      </w:r>
      <w:hyperlink r:id="rId772" w:history="1">
        <w:r>
          <w:rPr>
            <w:rFonts w:ascii="arial" w:eastAsia="arial" w:hAnsi="arial" w:cs="arial"/>
            <w:i/>
            <w:color w:val="0077CC"/>
            <w:sz w:val="20"/>
            <w:u w:val="single"/>
            <w:shd w:val="clear" w:color="auto" w:fill="FFFFFF"/>
            <w:lang w:val="en-US" w:eastAsia="en-US" w:bidi="ar-SA"/>
          </w:rPr>
          <w:t>2010 BCCA 352</w:t>
        </w:r>
      </w:hyperlink>
      <w:r>
        <w:rPr>
          <w:rFonts w:ascii="arial" w:eastAsia="arial" w:hAnsi="arial" w:cs="arial"/>
          <w:color w:val="000000"/>
          <w:sz w:val="20"/>
          <w:lang w:val="en-US" w:eastAsia="en-US" w:bidi="ar-SA"/>
        </w:rPr>
        <w:t xml:space="preserve">, the Court of Appeal allowed the appeal of a special costs order against the plaintiff, granted on the basis of the "woeful inadequacy" of the plaintiff's pleadings and, consequently, the defendants had to bring an application to strike and dismiss the claims. The chambers judge, </w:t>
      </w:r>
      <w:hyperlink r:id="rId773" w:history="1">
        <w:r>
          <w:rPr>
            <w:rFonts w:ascii="arial" w:eastAsia="arial" w:hAnsi="arial" w:cs="arial"/>
            <w:i/>
            <w:color w:val="0077CC"/>
            <w:sz w:val="20"/>
            <w:u w:val="single"/>
            <w:shd w:val="clear" w:color="auto" w:fill="FFFFFF"/>
            <w:lang w:val="en-US" w:eastAsia="en-US" w:bidi="ar-SA"/>
          </w:rPr>
          <w:t>[2010] B.C.J. No. 320</w:t>
        </w:r>
      </w:hyperlink>
      <w:r>
        <w:rPr>
          <w:rFonts w:ascii="arial" w:eastAsia="arial" w:hAnsi="arial" w:cs="arial"/>
          <w:color w:val="000000"/>
          <w:sz w:val="20"/>
          <w:lang w:val="en-US" w:eastAsia="en-US" w:bidi="ar-SA"/>
        </w:rPr>
        <w:t>, had found that as the plaintiff was a lawyer and was capable of drafting proper pleadings, he should bear the full cost burden of the defendants. In overturning this decision, the Court of Appeal noted the chambers judge had not made any reference to the law of special costs; she had merely granted a lump sum cost award that amounted to special costs. Nor had she referred to Mr. Gichuru's conduct as reprehensible. The Court of Appeal concluded the conduct of the appellant was not reprehensible and the fact that his pleadings were "woefully inadequate" did not justify an award of special costs (para. 25).</w:t>
      </w:r>
      <w:r>
        <w:rPr>
          <w:rFonts w:ascii="arial" w:eastAsia="arial" w:hAnsi="arial" w:cs="arial"/>
          <w:sz w:val="20"/>
          <w:lang w:val="en-US" w:eastAsia="en-US" w:bidi="ar-SA"/>
        </w:rPr>
        <w:cr/>
      </w:r>
    </w:p>
    <w:p>
      <w:pPr>
        <w:numPr>
          <w:numId w:val="2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u w:val="single"/>
          <w:lang w:val="en-US" w:eastAsia="en-US" w:bidi="ar-SA"/>
        </w:rPr>
        <w:t>Misleading the Court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65</w:t>
      </w:r>
      <w:r>
        <w:rPr>
          <w:rFonts w:ascii="arial" w:eastAsia="arial" w:hAnsi="arial" w:cs="arial"/>
          <w:color w:val="000000"/>
          <w:sz w:val="20"/>
          <w:lang w:val="en-US" w:eastAsia="en-US" w:bidi="ar-SA"/>
        </w:rPr>
        <w:t>  Fraudulent claims and untruthful testimony are a particularly reprehensible form of conduct deserving of rebuke.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66</w:t>
      </w:r>
      <w:r>
        <w:rPr>
          <w:rFonts w:ascii="arial" w:eastAsia="arial" w:hAnsi="arial" w:cs="arial"/>
          <w:color w:val="000000"/>
          <w:sz w:val="20"/>
          <w:lang w:val="en-US" w:eastAsia="en-US" w:bidi="ar-SA"/>
        </w:rPr>
        <w:t xml:space="preserve">  An example of fraud is </w:t>
      </w:r>
      <w:r>
        <w:rPr>
          <w:rFonts w:ascii="arial" w:eastAsia="arial" w:hAnsi="arial" w:cs="arial"/>
          <w:i/>
          <w:color w:val="000000"/>
          <w:sz w:val="20"/>
          <w:lang w:val="en-US" w:eastAsia="en-US" w:bidi="ar-SA"/>
        </w:rPr>
        <w:t>Insurance Corporation of British Columbia v. Katinic</w:t>
      </w:r>
      <w:r>
        <w:rPr>
          <w:rFonts w:ascii="arial" w:eastAsia="arial" w:hAnsi="arial" w:cs="arial"/>
          <w:color w:val="000000"/>
          <w:sz w:val="20"/>
          <w:lang w:val="en-US" w:eastAsia="en-US" w:bidi="ar-SA"/>
        </w:rPr>
        <w:t xml:space="preserve">, </w:t>
      </w:r>
      <w:hyperlink r:id="rId774" w:history="1">
        <w:r>
          <w:rPr>
            <w:rFonts w:ascii="arial" w:eastAsia="arial" w:hAnsi="arial" w:cs="arial"/>
            <w:i/>
            <w:color w:val="0077CC"/>
            <w:sz w:val="20"/>
            <w:u w:val="single"/>
            <w:shd w:val="clear" w:color="auto" w:fill="FFFFFF"/>
            <w:lang w:val="en-US" w:eastAsia="en-US" w:bidi="ar-SA"/>
          </w:rPr>
          <w:t>2003 BCCA 147</w:t>
        </w:r>
      </w:hyperlink>
      <w:r>
        <w:rPr>
          <w:rFonts w:ascii="arial" w:eastAsia="arial" w:hAnsi="arial" w:cs="arial"/>
          <w:color w:val="000000"/>
          <w:sz w:val="20"/>
          <w:lang w:val="en-US" w:eastAsia="en-US" w:bidi="ar-SA"/>
        </w:rPr>
        <w:t xml:space="preserve">. The plaintiffs brought personal injury claims for motor vehicle accidents, which were tried by a judge and jury. ICBC brought a separate action alleging that various persons had been party to deceiving the court with fraudulent claims for accidents that did not happen. The trial judge, </w:t>
      </w:r>
      <w:hyperlink r:id="rId775" w:history="1">
        <w:r>
          <w:rPr>
            <w:rFonts w:ascii="arial" w:eastAsia="arial" w:hAnsi="arial" w:cs="arial"/>
            <w:i/>
            <w:color w:val="0077CC"/>
            <w:sz w:val="20"/>
            <w:u w:val="single"/>
            <w:shd w:val="clear" w:color="auto" w:fill="FFFFFF"/>
            <w:lang w:val="en-US" w:eastAsia="en-US" w:bidi="ar-SA"/>
          </w:rPr>
          <w:t>[2000] B.C.J. No. 1453</w:t>
        </w:r>
      </w:hyperlink>
      <w:r>
        <w:rPr>
          <w:rFonts w:ascii="arial" w:eastAsia="arial" w:hAnsi="arial" w:cs="arial"/>
          <w:color w:val="000000"/>
          <w:sz w:val="20"/>
          <w:lang w:val="en-US" w:eastAsia="en-US" w:bidi="ar-SA"/>
        </w:rPr>
        <w:t xml:space="preserve">, awarded special costs in ICBC's fraud actions but declined to award special costs in the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actions commenced by the plaintiffs.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67</w:t>
      </w:r>
      <w:r>
        <w:rPr>
          <w:rFonts w:ascii="arial" w:eastAsia="arial" w:hAnsi="arial" w:cs="arial"/>
          <w:color w:val="000000"/>
          <w:sz w:val="20"/>
          <w:lang w:val="en-US" w:eastAsia="en-US" w:bidi="ar-SA"/>
        </w:rPr>
        <w:t xml:space="preserve">  ICBC appealed, seeking special costs for the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claims as well. The Court of Appeal held that the fraudulent foundation of the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claims was sufficient to attract an order of special costs. By commencing fraudulent proceedings, the plaintiffs were engaged in conduct that perverted justice. The court further found it was unnecessary for there to be some other form of reprehensible conduct in addition to the fraudulent basis of those claims to justify an award of special costs.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68</w:t>
      </w:r>
      <w:r>
        <w:rPr>
          <w:rFonts w:ascii="arial" w:eastAsia="arial" w:hAnsi="arial" w:cs="arial"/>
          <w:color w:val="000000"/>
          <w:sz w:val="20"/>
          <w:lang w:val="en-US" w:eastAsia="en-US" w:bidi="ar-SA"/>
        </w:rPr>
        <w:t>  Another example of deceiving the courts is found in</w:t>
      </w:r>
      <w:r>
        <w:rPr>
          <w:rFonts w:ascii="arial" w:eastAsia="arial" w:hAnsi="arial" w:cs="arial"/>
          <w:i/>
          <w:color w:val="000000"/>
          <w:sz w:val="20"/>
          <w:lang w:val="en-US" w:eastAsia="en-US" w:bidi="ar-SA"/>
        </w:rPr>
        <w:t xml:space="preserve"> Le Soleil Hospitality Inc. v. Louie</w:t>
      </w:r>
      <w:r>
        <w:rPr>
          <w:rFonts w:ascii="arial" w:eastAsia="arial" w:hAnsi="arial" w:cs="arial"/>
          <w:color w:val="000000"/>
          <w:sz w:val="20"/>
          <w:lang w:val="en-US" w:eastAsia="en-US" w:bidi="ar-SA"/>
        </w:rPr>
        <w:t xml:space="preserve">, </w:t>
      </w:r>
      <w:hyperlink r:id="rId776" w:history="1">
        <w:r>
          <w:rPr>
            <w:rFonts w:ascii="arial" w:eastAsia="arial" w:hAnsi="arial" w:cs="arial"/>
            <w:i/>
            <w:color w:val="0077CC"/>
            <w:sz w:val="20"/>
            <w:u w:val="single"/>
            <w:shd w:val="clear" w:color="auto" w:fill="FFFFFF"/>
            <w:lang w:val="en-US" w:eastAsia="en-US" w:bidi="ar-SA"/>
          </w:rPr>
          <w:t>2011 BCCA 305</w:t>
        </w:r>
      </w:hyperlink>
      <w:r>
        <w:rPr>
          <w:rFonts w:ascii="arial" w:eastAsia="arial" w:hAnsi="arial" w:cs="arial"/>
          <w:color w:val="000000"/>
          <w:sz w:val="20"/>
          <w:lang w:val="en-US" w:eastAsia="en-US" w:bidi="ar-SA"/>
        </w:rPr>
        <w:t xml:space="preserve"> (leave to appeal refused, </w:t>
      </w:r>
      <w:hyperlink r:id="rId777" w:history="1">
        <w:r>
          <w:rPr>
            <w:rFonts w:ascii="arial" w:eastAsia="arial" w:hAnsi="arial" w:cs="arial"/>
            <w:i/>
            <w:color w:val="0077CC"/>
            <w:sz w:val="20"/>
            <w:u w:val="single"/>
            <w:shd w:val="clear" w:color="auto" w:fill="FFFFFF"/>
            <w:lang w:val="en-US" w:eastAsia="en-US" w:bidi="ar-SA"/>
          </w:rPr>
          <w:t>[2011] S.C.C.A. No. 442</w:t>
        </w:r>
      </w:hyperlink>
      <w:r>
        <w:rPr>
          <w:rFonts w:ascii="arial" w:eastAsia="arial" w:hAnsi="arial" w:cs="arial"/>
          <w:color w:val="000000"/>
          <w:sz w:val="20"/>
          <w:lang w:val="en-US" w:eastAsia="en-US" w:bidi="ar-SA"/>
        </w:rPr>
        <w:t>). This case involved a complex series of actions in relation to a hotel in Vancouver. The hotel went into receivership and a group of investors incorporated to protect their investment. A struggle ensued regarding who owned portions of the hotel. In one action, the plaintiff sought specific performance of the terms of a settlement agreement it had reached with Dr. Louie to exercise an option to purchase some of the units in the hotel he owned. A second action was commenced by the Nomani Company for a declaration that it owned a valid leasehold and right of first refusal to Dr. Louie's units. The plaintiff filed a counterclaim that Mr. Nomani had induced Dr. Louie to breach the settlement agreement and that Mr. Nomani and Dr. Louie had conspired with one another. In the settlement agreement action, the court ordered specific performance of the option to purchase the lots owned by Dr. Louie and for Dr. Louie to pay damages. Special costs were awarded against Mr. Nomani and his company. Special costs were also awarded against Mr. Nomani and his company in the second action.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69</w:t>
      </w:r>
      <w:r>
        <w:rPr>
          <w:rFonts w:ascii="arial" w:eastAsia="arial" w:hAnsi="arial" w:cs="arial"/>
          <w:color w:val="000000"/>
          <w:sz w:val="20"/>
          <w:lang w:val="en-US" w:eastAsia="en-US" w:bidi="ar-SA"/>
        </w:rPr>
        <w:t>  One of the grounds of Mr. Nomani's appeal was that special costs could not have been awarded against him and his company in the first action as they had not been parties to that action. The Court of Appeal held that the court enjoys inherent jurisdiction to award special costs against a non-party. It further observed that a person "who attempts to perpetrate a deceit on the court is guilty of reprehensible conduct" (para. 125). The court noted that the trial judge justified the award of special costs on the basis that Mr. Nomani was primarily responsible for manipulating the evidence to mislead the court with respect to the issue of whether the right of first refusal agreements were formed before the settlement agreement. Furthermore, he was found to have attempted to hide Dr. Louie's funding of four separate actions commenced separately against the plaintiff. The Court of Appeal held that the two actions were "inextricably linked" and that the fabrication of the right of first refusal agreements was central to both actions, justifying an award of special costs in each action.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70</w:t>
      </w:r>
      <w:r>
        <w:rPr>
          <w:rFonts w:ascii="arial" w:eastAsia="arial" w:hAnsi="arial" w:cs="arial"/>
          <w:color w:val="000000"/>
          <w:sz w:val="20"/>
          <w:lang w:val="en-US" w:eastAsia="en-US" w:bidi="ar-SA"/>
        </w:rPr>
        <w:t xml:space="preserve">  The Court of Appeal has cautioned that an untruthful witness will not always attract an award of special costs. In </w:t>
      </w:r>
      <w:r>
        <w:rPr>
          <w:rFonts w:ascii="arial" w:eastAsia="arial" w:hAnsi="arial" w:cs="arial"/>
          <w:i/>
          <w:color w:val="000000"/>
          <w:sz w:val="20"/>
          <w:lang w:val="en-US" w:eastAsia="en-US" w:bidi="ar-SA"/>
        </w:rPr>
        <w:t>Unternaher v. Wheat Sheaf Inn Ltd</w:t>
      </w:r>
      <w:r>
        <w:rPr>
          <w:rFonts w:ascii="arial" w:eastAsia="arial" w:hAnsi="arial" w:cs="arial"/>
          <w:color w:val="000000"/>
          <w:sz w:val="20"/>
          <w:lang w:val="en-US" w:eastAsia="en-US" w:bidi="ar-SA"/>
        </w:rPr>
        <w:t xml:space="preserve">. </w:t>
      </w:r>
      <w:hyperlink r:id="rId778" w:history="1">
        <w:r>
          <w:rPr>
            <w:rFonts w:ascii="arial" w:eastAsia="arial" w:hAnsi="arial" w:cs="arial"/>
            <w:i/>
            <w:color w:val="0077CC"/>
            <w:sz w:val="20"/>
            <w:u w:val="single"/>
            <w:shd w:val="clear" w:color="auto" w:fill="FFFFFF"/>
            <w:lang w:val="en-US" w:eastAsia="en-US" w:bidi="ar-SA"/>
          </w:rPr>
          <w:t>(1999), 114 B.C.A.C. 299</w:t>
        </w:r>
      </w:hyperlink>
      <w:r>
        <w:rPr>
          <w:rFonts w:ascii="arial" w:eastAsia="arial" w:hAnsi="arial" w:cs="arial"/>
          <w:color w:val="000000"/>
          <w:sz w:val="20"/>
          <w:lang w:val="en-US" w:eastAsia="en-US" w:bidi="ar-SA"/>
        </w:rPr>
        <w:t xml:space="preserve">, the court allowed the appeal of the trial judge's decision, </w:t>
      </w:r>
      <w:hyperlink r:id="rId779" w:history="1">
        <w:r>
          <w:rPr>
            <w:rFonts w:ascii="arial" w:eastAsia="arial" w:hAnsi="arial" w:cs="arial"/>
            <w:i/>
            <w:color w:val="0077CC"/>
            <w:sz w:val="20"/>
            <w:u w:val="single"/>
            <w:shd w:val="clear" w:color="auto" w:fill="FFFFFF"/>
            <w:lang w:val="en-US" w:eastAsia="en-US" w:bidi="ar-SA"/>
          </w:rPr>
          <w:t>[1997] B.C.J. No. 1428</w:t>
        </w:r>
      </w:hyperlink>
      <w:r>
        <w:rPr>
          <w:rFonts w:ascii="arial" w:eastAsia="arial" w:hAnsi="arial" w:cs="arial"/>
          <w:color w:val="000000"/>
          <w:sz w:val="20"/>
          <w:lang w:val="en-US" w:eastAsia="en-US" w:bidi="ar-SA"/>
        </w:rPr>
        <w:t>, to decline to award special costs. The trial judge had found that while the defendant's employees had concocted their evidence on issues that directly impacted the question of liability, the defendant had not acted reprehensibly. The Court of Appeal cautioned that its decision was not to be taken as authority for the proposition that special costs should be awarded simply because a witness is untruthful, although in this particular case it was merited as the testimony was designed to defeat the plaintiff's claim. I extract from this reasoning that there must be evidence of some improper motive at play.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71</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Marchen v. Dams Ford Lincoln Sales Ltd</w:t>
      </w:r>
      <w:r>
        <w:rPr>
          <w:rFonts w:ascii="arial" w:eastAsia="arial" w:hAnsi="arial" w:cs="arial"/>
          <w:color w:val="000000"/>
          <w:sz w:val="20"/>
          <w:lang w:val="en-US" w:eastAsia="en-US" w:bidi="ar-SA"/>
        </w:rPr>
        <w:t xml:space="preserve">., </w:t>
      </w:r>
      <w:hyperlink r:id="rId780" w:history="1">
        <w:r>
          <w:rPr>
            <w:rFonts w:ascii="arial" w:eastAsia="arial" w:hAnsi="arial" w:cs="arial"/>
            <w:i/>
            <w:color w:val="0077CC"/>
            <w:sz w:val="20"/>
            <w:u w:val="single"/>
            <w:shd w:val="clear" w:color="auto" w:fill="FFFFFF"/>
            <w:lang w:val="en-US" w:eastAsia="en-US" w:bidi="ar-SA"/>
          </w:rPr>
          <w:t>2010 BCCA 29</w:t>
        </w:r>
      </w:hyperlink>
      <w:r>
        <w:rPr>
          <w:rFonts w:ascii="arial" w:eastAsia="arial" w:hAnsi="arial" w:cs="arial"/>
          <w:color w:val="000000"/>
          <w:sz w:val="20"/>
          <w:lang w:val="en-US" w:eastAsia="en-US" w:bidi="ar-SA"/>
        </w:rPr>
        <w:t xml:space="preserve">, the Court of Appeal upheld a special costs award made on the basis that shortly after termination, the employer began to lay the groundwork for a false defence and persisted with this defence throughout the trial, which was ultimately rejected by the trial judge, </w:t>
      </w:r>
      <w:hyperlink r:id="rId781" w:history="1">
        <w:r>
          <w:rPr>
            <w:rFonts w:ascii="arial" w:eastAsia="arial" w:hAnsi="arial" w:cs="arial"/>
            <w:i/>
            <w:color w:val="0077CC"/>
            <w:sz w:val="20"/>
            <w:u w:val="single"/>
            <w:shd w:val="clear" w:color="auto" w:fill="FFFFFF"/>
            <w:lang w:val="en-US" w:eastAsia="en-US" w:bidi="ar-SA"/>
          </w:rPr>
          <w:t>[2009] B.C.J. No. 585</w:t>
        </w:r>
      </w:hyperlink>
      <w:r>
        <w:rPr>
          <w:rFonts w:ascii="arial" w:eastAsia="arial" w:hAnsi="arial" w:cs="arial"/>
          <w:color w:val="000000"/>
          <w:sz w:val="20"/>
          <w:lang w:val="en-US" w:eastAsia="en-US" w:bidi="ar-SA"/>
        </w:rPr>
        <w:t>. The Court of Appeal rejected the appellant's submission that an award of special costs has a chilling effect on the ability of a defendant to advance a legitimate defence. It found there was no question that a defendant is entitled to advance a defence in good faith. In this case, the defence advanced was designed to mislead the trial judge.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72</w:t>
      </w:r>
      <w:r>
        <w:rPr>
          <w:rFonts w:ascii="arial" w:eastAsia="arial" w:hAnsi="arial" w:cs="arial"/>
          <w:color w:val="000000"/>
          <w:sz w:val="20"/>
          <w:lang w:val="en-US" w:eastAsia="en-US" w:bidi="ar-SA"/>
        </w:rPr>
        <w:t xml:space="preserve">  In contrast, in </w:t>
      </w:r>
      <w:r>
        <w:rPr>
          <w:rFonts w:ascii="arial" w:eastAsia="arial" w:hAnsi="arial" w:cs="arial"/>
          <w:i/>
          <w:color w:val="000000"/>
          <w:sz w:val="20"/>
          <w:lang w:val="en-US" w:eastAsia="en-US" w:bidi="ar-SA"/>
        </w:rPr>
        <w:t>Grewal v. Sandhu</w:t>
      </w:r>
      <w:r>
        <w:rPr>
          <w:rFonts w:ascii="arial" w:eastAsia="arial" w:hAnsi="arial" w:cs="arial"/>
          <w:color w:val="000000"/>
          <w:sz w:val="20"/>
          <w:lang w:val="en-US" w:eastAsia="en-US" w:bidi="ar-SA"/>
        </w:rPr>
        <w:t xml:space="preserve">, </w:t>
      </w:r>
      <w:hyperlink r:id="rId782" w:history="1">
        <w:r>
          <w:rPr>
            <w:rFonts w:ascii="arial" w:eastAsia="arial" w:hAnsi="arial" w:cs="arial"/>
            <w:i/>
            <w:color w:val="0077CC"/>
            <w:sz w:val="20"/>
            <w:u w:val="single"/>
            <w:shd w:val="clear" w:color="auto" w:fill="FFFFFF"/>
            <w:lang w:val="en-US" w:eastAsia="en-US" w:bidi="ar-SA"/>
          </w:rPr>
          <w:t>2012 BCCA 26</w:t>
        </w:r>
      </w:hyperlink>
      <w:r>
        <w:rPr>
          <w:rFonts w:ascii="arial" w:eastAsia="arial" w:hAnsi="arial" w:cs="arial"/>
          <w:color w:val="000000"/>
          <w:sz w:val="20"/>
          <w:lang w:val="en-US" w:eastAsia="en-US" w:bidi="ar-SA"/>
        </w:rPr>
        <w:t xml:space="preserve"> (leave to appeal refused, </w:t>
      </w:r>
      <w:hyperlink r:id="rId783" w:history="1">
        <w:r>
          <w:rPr>
            <w:rFonts w:ascii="arial" w:eastAsia="arial" w:hAnsi="arial" w:cs="arial"/>
            <w:i/>
            <w:color w:val="0077CC"/>
            <w:sz w:val="20"/>
            <w:u w:val="single"/>
            <w:shd w:val="clear" w:color="auto" w:fill="FFFFFF"/>
            <w:lang w:val="en-US" w:eastAsia="en-US" w:bidi="ar-SA"/>
          </w:rPr>
          <w:t>[2012] S.C.C.A. No. 120</w:t>
        </w:r>
      </w:hyperlink>
      <w:r>
        <w:rPr>
          <w:rFonts w:ascii="arial" w:eastAsia="arial" w:hAnsi="arial" w:cs="arial"/>
          <w:color w:val="000000"/>
          <w:sz w:val="20"/>
          <w:lang w:val="en-US" w:eastAsia="en-US" w:bidi="ar-SA"/>
        </w:rPr>
        <w:t xml:space="preserve">), the defendant appealed the award of special costs against him. The trial judge, </w:t>
      </w:r>
      <w:hyperlink r:id="rId784" w:history="1">
        <w:r>
          <w:rPr>
            <w:rFonts w:ascii="arial" w:eastAsia="arial" w:hAnsi="arial" w:cs="arial"/>
            <w:i/>
            <w:color w:val="0077CC"/>
            <w:sz w:val="20"/>
            <w:u w:val="single"/>
            <w:shd w:val="clear" w:color="auto" w:fill="FFFFFF"/>
            <w:lang w:val="en-US" w:eastAsia="en-US" w:bidi="ar-SA"/>
          </w:rPr>
          <w:t>[2010] B.C.J. No. 2263</w:t>
        </w:r>
      </w:hyperlink>
      <w:r>
        <w:rPr>
          <w:rFonts w:ascii="arial" w:eastAsia="arial" w:hAnsi="arial" w:cs="arial"/>
          <w:color w:val="000000"/>
          <w:sz w:val="20"/>
          <w:lang w:val="en-US" w:eastAsia="en-US" w:bidi="ar-SA"/>
        </w:rPr>
        <w:t>, had been satisfied that an award of special costs was appropriate on the bases that the defendant had ignored his professional and fiduciary duties, that the plaintiff could not be fully compensated otherwise and that the defendant had lacked candour and had attempted to conceal evidence. The Court of Appeal found this award to be an error in principle. Special costs are not compensatory - rather, they serve a punitive purpose (para. 106). The Court of Appeal noted that two awards of special costs had already been made against the defendant in respect of his pre-trial conduct. The Court of Appeal further held that it was improper to base a special costs award on the acceptance or rejection of testimony, reasoning at para. 107: "[i]f it were otherwise, instead of being an extraordinary measure, special costs could be imposed whenever credibility was in issue."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i/>
          <w:color w:val="000000"/>
          <w:sz w:val="20"/>
          <w:lang w:val="en-US" w:eastAsia="en-US" w:bidi="ar-SA"/>
        </w:rPr>
        <w:t>Discussion of the Law of Special Costs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73</w:t>
      </w:r>
      <w:r>
        <w:rPr>
          <w:rFonts w:ascii="arial" w:eastAsia="arial" w:hAnsi="arial" w:cs="arial"/>
          <w:color w:val="000000"/>
          <w:sz w:val="20"/>
          <w:lang w:val="en-US" w:eastAsia="en-US" w:bidi="ar-SA"/>
        </w:rPr>
        <w:t>  I have undertaken a thorough review of the cases involving special costs. Having examined the authorities provided by both sides, it is apparent to me that the courts have been somewhat inconsistent in their determination of what amounts to reprehensible conduct and that those authorities must be reconciled. Based upon my review of the authorities, I have derived the following principles for awarding special costs:</w:t>
      </w:r>
      <w:r>
        <w:rPr>
          <w:rFonts w:ascii="arial" w:eastAsia="arial" w:hAnsi="arial" w:cs="arial"/>
          <w:sz w:val="20"/>
          <w:lang w:val="en-US" w:eastAsia="en-US" w:bidi="ar-SA"/>
        </w:rPr>
        <w:cr/>
      </w:r>
    </w:p>
    <w:p>
      <w:pPr>
        <w:numPr>
          <w:numId w:val="2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court must exercise restraint in awarding specials costs;</w:t>
      </w:r>
    </w:p>
    <w:p>
      <w:pPr>
        <w:numPr>
          <w:numId w:val="2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party seeking special costs must demonstrate exceptional circumstances to justify a special costs order;</w:t>
      </w:r>
    </w:p>
    <w:p>
      <w:pPr>
        <w:numPr>
          <w:numId w:val="2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simply because the legal concept of "reprehensibility" captures different kinds of misconduct does not mean that all forms of misconduct are encompassed by this term;</w:t>
      </w:r>
    </w:p>
    <w:p>
      <w:pPr>
        <w:numPr>
          <w:numId w:val="32"/>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reprehensibility will likely be found in circumstances where there is evidence of improper motive, abuse of the court's process, misleading the court and persistent breaches of the rules of professional conduct and the rules of court that prejudice the applicant;</w:t>
      </w:r>
    </w:p>
    <w:p>
      <w:pPr>
        <w:numPr>
          <w:numId w:val="33"/>
        </w:numPr>
        <w:tabs>
          <w:tab w:val="clear" w:pos="112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special costs can be ordered against parties and non-parties alike; and</w:t>
      </w:r>
    </w:p>
    <w:p>
      <w:pPr>
        <w:numPr>
          <w:numId w:val="34"/>
        </w:numPr>
        <w:tabs>
          <w:tab w:val="clear" w:pos="112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the successful litigant is entitled to costs in accordance with the general rule that costs follow the event. Special costs are not awarded to a successful party as a "bonus" or further compensation for that success.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74</w:t>
      </w:r>
      <w:r>
        <w:rPr>
          <w:rFonts w:ascii="arial" w:eastAsia="arial" w:hAnsi="arial" w:cs="arial"/>
          <w:color w:val="000000"/>
          <w:sz w:val="20"/>
          <w:lang w:val="en-US" w:eastAsia="en-US" w:bidi="ar-SA"/>
        </w:rPr>
        <w:t>  I will also comment upon the procedure of special costs applications.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75</w:t>
      </w:r>
      <w:r>
        <w:rPr>
          <w:rFonts w:ascii="arial" w:eastAsia="arial" w:hAnsi="arial" w:cs="arial"/>
          <w:color w:val="000000"/>
          <w:sz w:val="20"/>
          <w:lang w:val="en-US" w:eastAsia="en-US" w:bidi="ar-SA"/>
        </w:rPr>
        <w:t xml:space="preserve">  The object of the </w:t>
      </w:r>
      <w:r>
        <w:rPr>
          <w:rFonts w:ascii="arial" w:eastAsia="arial" w:hAnsi="arial" w:cs="arial"/>
          <w:i/>
          <w:color w:val="000000"/>
          <w:sz w:val="20"/>
          <w:lang w:val="en-US" w:eastAsia="en-US" w:bidi="ar-SA"/>
        </w:rPr>
        <w:t>Rules</w:t>
      </w:r>
      <w:r>
        <w:rPr>
          <w:rFonts w:ascii="arial" w:eastAsia="arial" w:hAnsi="arial" w:cs="arial"/>
          <w:color w:val="000000"/>
          <w:sz w:val="20"/>
          <w:lang w:val="en-US" w:eastAsia="en-US" w:bidi="ar-SA"/>
        </w:rPr>
        <w:t xml:space="preserve"> is to secure the just, speedy and inexpensive determination of every proceeding on its merits: R. 1-3(1). This includes, so far as practicable, that the proceeding be conducted in a manner that is proportionate to the amount involved, the importance of the issues in dispute and the complexity of the proceeding. Costs are not the central focus of litigation. The disposition of costs should be conducted in a manner that recognizes their secondary importance. As such, the court's examination of whether to award special costs ought not to require, as an example, a detailed examination of the correspondence record between the parties to determine whether they conducted themselves properly.</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Position of the Parties</w:t>
      </w:r>
    </w:p>
    <w:p>
      <w:pPr>
        <w:spacing w:before="120" w:line="260" w:lineRule="atLeast"/>
        <w:ind w:left="1080"/>
        <w:rPr>
          <w:rFonts w:ascii="arial" w:eastAsia="arial" w:hAnsi="arial" w:cs="arial"/>
          <w:sz w:val="20"/>
          <w:lang w:val="en-US" w:eastAsia="en-US" w:bidi="ar-SA"/>
        </w:rPr>
      </w:pPr>
      <w:r>
        <w:rPr>
          <w:rFonts w:ascii="arial" w:eastAsia="arial" w:hAnsi="arial" w:cs="arial"/>
          <w:b/>
          <w:i/>
          <w:color w:val="000000"/>
          <w:sz w:val="20"/>
          <w:lang w:val="en-US" w:eastAsia="en-US" w:bidi="ar-SA"/>
        </w:rPr>
        <w:t>The Plaintiffs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76</w:t>
      </w:r>
      <w:r>
        <w:rPr>
          <w:rFonts w:ascii="arial" w:eastAsia="arial" w:hAnsi="arial" w:cs="arial"/>
          <w:color w:val="000000"/>
          <w:sz w:val="20"/>
          <w:lang w:val="en-US" w:eastAsia="en-US" w:bidi="ar-SA"/>
        </w:rPr>
        <w:t>  The plaintiffs provided a lengthy argument, along with substantial affidavits and exhibits, to demonstrate the conduct of the litigation. I have summarized their position but I do not intend to address the details of their submission.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77</w:t>
      </w:r>
      <w:r>
        <w:rPr>
          <w:rFonts w:ascii="arial" w:eastAsia="arial" w:hAnsi="arial" w:cs="arial"/>
          <w:color w:val="000000"/>
          <w:sz w:val="20"/>
          <w:lang w:val="en-US" w:eastAsia="en-US" w:bidi="ar-SA"/>
        </w:rPr>
        <w:t>  As noted, the plaintiffs assert that the majority defendants' conduct throughout this litigation has and continues to be reprehensible. Specifically, the plaintiffs assert that:</w:t>
      </w:r>
      <w:r>
        <w:rPr>
          <w:rFonts w:ascii="arial" w:eastAsia="arial" w:hAnsi="arial" w:cs="arial"/>
          <w:sz w:val="20"/>
          <w:lang w:val="en-US" w:eastAsia="en-US" w:bidi="ar-SA"/>
        </w:rPr>
        <w:cr/>
      </w:r>
    </w:p>
    <w:p>
      <w:pPr>
        <w:numPr>
          <w:numId w:val="35"/>
        </w:numPr>
        <w:tabs>
          <w:tab w:val="clear" w:pos="112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the majority defendants advanced unmeritorious cross-claims and proceeded with an indifference to the deficiency of the cross-claims throughout the litigation of the dispute. They ignored and disregarded the plaintiffs' repeated warnings regarding those deficiencies. They also ignored the plaintiffs' warnings that they intended to seek special costs if the majority defendants proceeded with such claims;</w:t>
      </w:r>
    </w:p>
    <w:p>
      <w:pPr>
        <w:numPr>
          <w:numId w:val="35"/>
        </w:numPr>
        <w:tabs>
          <w:tab w:val="clear" w:pos="112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the majority defendants advanced and proceeded with claims for which there was no evidence; and</w:t>
      </w:r>
    </w:p>
    <w:p>
      <w:pPr>
        <w:numPr>
          <w:numId w:val="35"/>
        </w:numPr>
        <w:tabs>
          <w:tab w:val="clear" w:pos="112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the majority defendants conducted the litigation in a manner that delayed and greatly increased the cost of defending the invalid cross-claims by engaging in the following reprehensible, obstructive and improper conduct:</w:t>
      </w:r>
    </w:p>
    <w:p>
      <w:pPr>
        <w:numPr>
          <w:numId w:val="36"/>
        </w:numPr>
        <w:tabs>
          <w:tab w:val="clear" w:pos="112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reprehensible pre-litigation conduct;</w:t>
      </w:r>
    </w:p>
    <w:p>
      <w:pPr>
        <w:numPr>
          <w:numId w:val="37"/>
        </w:numPr>
        <w:tabs>
          <w:tab w:val="clear" w:pos="112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unreasonably refusing to make admissions;</w:t>
      </w:r>
    </w:p>
    <w:p>
      <w:pPr>
        <w:numPr>
          <w:numId w:val="3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relying on improper, misleading and unsatisfactory affidavits;</w:t>
      </w:r>
    </w:p>
    <w:p>
      <w:pPr>
        <w:numPr>
          <w:numId w:val="3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refusing to provide proper document disclosure; and</w:t>
      </w:r>
    </w:p>
    <w:p>
      <w:pPr>
        <w:numPr>
          <w:numId w:val="40"/>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refusing to attend examinations for discovery and respond to outstanding requests from examination for discovery.</w:t>
      </w:r>
    </w:p>
    <w:p>
      <w:pPr>
        <w:spacing w:before="120" w:line="260" w:lineRule="atLeast"/>
        <w:ind w:left="1080"/>
        <w:rPr>
          <w:rFonts w:ascii="arial" w:eastAsia="arial" w:hAnsi="arial" w:cs="arial"/>
          <w:sz w:val="20"/>
          <w:lang w:val="en-US" w:eastAsia="en-US" w:bidi="ar-SA"/>
        </w:rPr>
      </w:pPr>
      <w:r>
        <w:rPr>
          <w:rFonts w:ascii="arial" w:eastAsia="arial" w:hAnsi="arial" w:cs="arial"/>
          <w:b/>
          <w:i/>
          <w:color w:val="000000"/>
          <w:sz w:val="20"/>
          <w:lang w:val="en-US" w:eastAsia="en-US" w:bidi="ar-SA"/>
        </w:rPr>
        <w:t>The Majority Defendants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78</w:t>
      </w:r>
      <w:r>
        <w:rPr>
          <w:rFonts w:ascii="arial" w:eastAsia="arial" w:hAnsi="arial" w:cs="arial"/>
          <w:color w:val="000000"/>
          <w:sz w:val="20"/>
          <w:lang w:val="en-US" w:eastAsia="en-US" w:bidi="ar-SA"/>
        </w:rPr>
        <w:t>  The majority defendants assert that they did not conduct themselves in an outrageous, scandalous or reprehensible manner. There is nothing in the majority defendants' conduct that warrants the chastisement or punishment of the Court. This is not a case where the Court should exercise its discretion to award special costs.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Are the Plaintiffs Entitled to Special Costs?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79</w:t>
      </w:r>
      <w:r>
        <w:rPr>
          <w:rFonts w:ascii="arial" w:eastAsia="arial" w:hAnsi="arial" w:cs="arial"/>
          <w:color w:val="000000"/>
          <w:sz w:val="20"/>
          <w:lang w:val="en-US" w:eastAsia="en-US" w:bidi="ar-SA"/>
        </w:rPr>
        <w:t>  The plaintiffs have demonstrated that the majority defendants may have contributed to some delay, resulting in an increase in the costs in these proceedings, but I am not convinced that their conduct is reprehensible.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80</w:t>
      </w:r>
      <w:r>
        <w:rPr>
          <w:rFonts w:ascii="arial" w:eastAsia="arial" w:hAnsi="arial" w:cs="arial"/>
          <w:color w:val="000000"/>
          <w:sz w:val="20"/>
          <w:lang w:val="en-US" w:eastAsia="en-US" w:bidi="ar-SA"/>
        </w:rPr>
        <w:t>  I found that, on the evidence, the majority defendants' cross-claims were not proven but I do not consider their conduct in pursuing those cross-claims meets the threshold of reprehensibility. It is well-settled that meritless claims alone will not justify an award of special costs. The majority defendants' claims were not obviously unfounded, reckless, made out of malice or an improper motive. They did not engage in a collateral attack.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81</w:t>
      </w:r>
      <w:r>
        <w:rPr>
          <w:rFonts w:ascii="arial" w:eastAsia="arial" w:hAnsi="arial" w:cs="arial"/>
          <w:color w:val="000000"/>
          <w:sz w:val="20"/>
          <w:lang w:val="en-US" w:eastAsia="en-US" w:bidi="ar-SA"/>
        </w:rPr>
        <w:t>  Evidence may have been lacking with some of the allegations. I cannot find that this deficiency in the majority defendants' claim merits an award of special costs with respect to the conduct of Action #2. In part, that is why the procedure of summary trial was pursued.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82</w:t>
      </w:r>
      <w:r>
        <w:rPr>
          <w:rFonts w:ascii="arial" w:eastAsia="arial" w:hAnsi="arial" w:cs="arial"/>
          <w:color w:val="000000"/>
          <w:sz w:val="20"/>
          <w:lang w:val="en-US" w:eastAsia="en-US" w:bidi="ar-SA"/>
        </w:rPr>
        <w:t>  The plaintiffs also point to withheld admissions, denied facts, delayed pre-trial procedure, non-attendance at examination for discovery and deficient document production. These issues do not necessarily give rise to the inference of obstructive conduct. Given the number of parties involved, these issues could have easily arisen from problems of communication and scheduling on both sides. Significantly, none of these alleged procedural deficiencies resulted in "material non-disclosure".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83</w:t>
      </w:r>
      <w:r>
        <w:rPr>
          <w:rFonts w:ascii="arial" w:eastAsia="arial" w:hAnsi="arial" w:cs="arial"/>
          <w:color w:val="000000"/>
          <w:sz w:val="20"/>
          <w:lang w:val="en-US" w:eastAsia="en-US" w:bidi="ar-SA"/>
        </w:rPr>
        <w:t>  The plaintiffs point to affidavit evidence containing hearsay. They further allege that the affiant lacked knowledge of the facts sworn to and failed to understand the meaning of some of the terms in their sworn affidavit. The plaintiffs characterize these issues as "misleading". Based on the case law reviewed, the meaning of misleading bears a far more sinister meaning, where the party intentionally seeks to affect the outcome of the litigation by falsifying evidence or committing perjury, as examples.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84</w:t>
      </w:r>
      <w:r>
        <w:rPr>
          <w:rFonts w:ascii="arial" w:eastAsia="arial" w:hAnsi="arial" w:cs="arial"/>
          <w:color w:val="000000"/>
          <w:sz w:val="20"/>
          <w:lang w:val="en-US" w:eastAsia="en-US" w:bidi="ar-SA"/>
        </w:rPr>
        <w:t>  Nor do I find the majority defendants conducted themselves in a manner that was reprehensible or deserving of rebuke. There is no basis for an assertion that the majority defendants conducted the litigation fraudulently or dishonestly. They did not engage in misconduct.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85</w:t>
      </w:r>
      <w:r>
        <w:rPr>
          <w:rFonts w:ascii="arial" w:eastAsia="arial" w:hAnsi="arial" w:cs="arial"/>
          <w:color w:val="000000"/>
          <w:sz w:val="20"/>
          <w:lang w:val="en-US" w:eastAsia="en-US" w:bidi="ar-SA"/>
        </w:rPr>
        <w:t>  The majority of defendants did not abuse the court's process. They did not conduct themselves in a high handed or unreasonable manner. They did not engage in obfuscation. They did not waste time by raising trivial issues or mischaracterizing the evidence. They did not perpetuate a deceit on the Court or mislead the Court. Any errors on their part were purely procedural and did not create any substantial prejudice for the plaintiffs.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86</w:t>
      </w:r>
      <w:r>
        <w:rPr>
          <w:rFonts w:ascii="arial" w:eastAsia="arial" w:hAnsi="arial" w:cs="arial"/>
          <w:color w:val="000000"/>
          <w:sz w:val="20"/>
          <w:lang w:val="en-US" w:eastAsia="en-US" w:bidi="ar-SA"/>
        </w:rPr>
        <w:t xml:space="preserve">  The plaintiffs' submission in respect of special costs demonstrates exasperation and frustration with the majority defendants' positions but this too is not a foundation for awarding of special costs. Expense and inconvenience are not sufficient to attract an award of special costs. As stated in </w:t>
      </w:r>
      <w:r>
        <w:rPr>
          <w:rFonts w:ascii="arial" w:eastAsia="arial" w:hAnsi="arial" w:cs="arial"/>
          <w:i/>
          <w:color w:val="000000"/>
          <w:sz w:val="20"/>
          <w:lang w:val="en-US" w:eastAsia="en-US" w:bidi="ar-SA"/>
        </w:rPr>
        <w:t>Garcia</w:t>
      </w:r>
      <w:r>
        <w:rPr>
          <w:rFonts w:ascii="arial" w:eastAsia="arial" w:hAnsi="arial" w:cs="arial"/>
          <w:color w:val="000000"/>
          <w:sz w:val="20"/>
          <w:lang w:val="en-US" w:eastAsia="en-US" w:bidi="ar-SA"/>
        </w:rPr>
        <w:t>, something more would be required to justify special costs.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87</w:t>
      </w:r>
      <w:r>
        <w:rPr>
          <w:rFonts w:ascii="arial" w:eastAsia="arial" w:hAnsi="arial" w:cs="arial"/>
          <w:color w:val="000000"/>
          <w:sz w:val="20"/>
          <w:lang w:val="en-US" w:eastAsia="en-US" w:bidi="ar-SA"/>
        </w:rPr>
        <w:t>  The plaintiffs were successful in summary trial. Costs address that success, not special costs.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88</w:t>
      </w:r>
      <w:r>
        <w:rPr>
          <w:rFonts w:ascii="arial" w:eastAsia="arial" w:hAnsi="arial" w:cs="arial"/>
          <w:color w:val="000000"/>
          <w:sz w:val="20"/>
          <w:lang w:val="en-US" w:eastAsia="en-US" w:bidi="ar-SA"/>
        </w:rPr>
        <w:t>  The plaintiffs' application for special costs is dismissed.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Costs at Scale C</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Legal Framework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89</w:t>
      </w:r>
      <w:r>
        <w:rPr>
          <w:rFonts w:ascii="arial" w:eastAsia="arial" w:hAnsi="arial" w:cs="arial"/>
          <w:color w:val="000000"/>
          <w:sz w:val="20"/>
          <w:lang w:val="en-US" w:eastAsia="en-US" w:bidi="ar-SA"/>
        </w:rPr>
        <w:t xml:space="preserve">  Appendix B of the </w:t>
      </w:r>
      <w:r>
        <w:rPr>
          <w:rFonts w:ascii="arial" w:eastAsia="arial" w:hAnsi="arial" w:cs="arial"/>
          <w:i/>
          <w:color w:val="000000"/>
          <w:sz w:val="20"/>
          <w:lang w:val="en-US" w:eastAsia="en-US" w:bidi="ar-SA"/>
        </w:rPr>
        <w:t>Rules</w:t>
      </w:r>
      <w:r>
        <w:rPr>
          <w:rFonts w:ascii="arial" w:eastAsia="arial" w:hAnsi="arial" w:cs="arial"/>
          <w:color w:val="000000"/>
          <w:sz w:val="20"/>
          <w:lang w:val="en-US" w:eastAsia="en-US" w:bidi="ar-SA"/>
        </w:rPr>
        <w:t xml:space="preserve"> sets out the parameters for awarding costs pursuant to scale A, B or C, scales which relate to the level of difficulty of the matter litigated. Subsections 2(2) and (3) provide:</w:t>
      </w:r>
      <w:r>
        <w:rPr>
          <w:rFonts w:ascii="arial" w:eastAsia="arial" w:hAnsi="arial" w:cs="arial"/>
          <w:sz w:val="20"/>
          <w:lang w:val="en-US" w:eastAsia="en-US" w:bidi="ar-SA"/>
        </w:rPr>
        <w:cr/>
      </w:r>
    </w:p>
    <w:p>
      <w:pPr>
        <w:numPr>
          <w:numId w:val="4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In fixing the scale of costs, the court must have regard to the following principles:</w:t>
      </w:r>
    </w:p>
    <w:p>
      <w:pPr>
        <w:numPr>
          <w:numId w:val="42"/>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Scale A is for matter of little or less than ordinary difficulty;</w:t>
      </w:r>
    </w:p>
    <w:p>
      <w:pPr>
        <w:numPr>
          <w:numId w:val="42"/>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Scale B is for matters of ordinary difficulty;</w:t>
      </w:r>
    </w:p>
    <w:p>
      <w:pPr>
        <w:numPr>
          <w:numId w:val="42"/>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Scale C is for matters of more than ordinary difficulty.</w:t>
      </w:r>
    </w:p>
    <w:p>
      <w:pPr>
        <w:numPr>
          <w:numId w:val="4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In fixing the appropriate scale under which costs will be assessed, the court may take into account the following:</w:t>
      </w:r>
    </w:p>
    <w:p>
      <w:pPr>
        <w:numPr>
          <w:numId w:val="4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whether a difficult issue of law, fact or construction is involved;</w:t>
      </w:r>
    </w:p>
    <w:p>
      <w:pPr>
        <w:numPr>
          <w:numId w:val="4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whether an issue is of importance to a class or body of persons, or is of general interest;</w:t>
      </w:r>
    </w:p>
    <w:p>
      <w:pPr>
        <w:numPr>
          <w:numId w:val="4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whether the result of the proceeding effectively determines the rights and obligations as between the parties beyond the relief that was actually granted or denied.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90</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Slocan Forest Products Ltd. v. Trapper Enterprises Ltd</w:t>
      </w:r>
      <w:r>
        <w:rPr>
          <w:rFonts w:ascii="arial" w:eastAsia="arial" w:hAnsi="arial" w:cs="arial"/>
          <w:color w:val="000000"/>
          <w:sz w:val="20"/>
          <w:lang w:val="en-US" w:eastAsia="en-US" w:bidi="ar-SA"/>
        </w:rPr>
        <w:t xml:space="preserve">., </w:t>
      </w:r>
      <w:hyperlink r:id="rId785" w:history="1">
        <w:r>
          <w:rPr>
            <w:rFonts w:ascii="arial" w:eastAsia="arial" w:hAnsi="arial" w:cs="arial"/>
            <w:i/>
            <w:color w:val="0077CC"/>
            <w:sz w:val="20"/>
            <w:u w:val="single"/>
            <w:shd w:val="clear" w:color="auto" w:fill="FFFFFF"/>
            <w:lang w:val="en-US" w:eastAsia="en-US" w:bidi="ar-SA"/>
          </w:rPr>
          <w:t>2010 BCSC 1494</w:t>
        </w:r>
      </w:hyperlink>
      <w:r>
        <w:rPr>
          <w:rFonts w:ascii="arial" w:eastAsia="arial" w:hAnsi="arial" w:cs="arial"/>
          <w:color w:val="000000"/>
          <w:sz w:val="20"/>
          <w:lang w:val="en-US" w:eastAsia="en-US" w:bidi="ar-SA"/>
        </w:rPr>
        <w:t>, Mr. Justice McEwan summarized the law as it applies to the determination of the appropriate scale of costs to be awarded under Appendix B and the factors that are relevant to a determination of the appropriate scale of costs at para. 6:</w:t>
      </w:r>
      <w:r>
        <w:rPr>
          <w:rFonts w:ascii="arial" w:eastAsia="arial" w:hAnsi="arial" w:cs="arial"/>
          <w:sz w:val="20"/>
          <w:lang w:val="en-US" w:eastAsia="en-US" w:bidi="ar-SA"/>
        </w:rPr>
        <w:cr/>
      </w:r>
    </w:p>
    <w:p>
      <w:pPr>
        <w:numPr>
          <w:numId w:val="4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Length of trial;</w:t>
      </w:r>
    </w:p>
    <w:p>
      <w:pPr>
        <w:numPr>
          <w:numId w:val="4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Complexity of issues;</w:t>
      </w:r>
    </w:p>
    <w:p>
      <w:pPr>
        <w:numPr>
          <w:numId w:val="4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Number and complexity of pre-trial applications;</w:t>
      </w:r>
    </w:p>
    <w:p>
      <w:pPr>
        <w:numPr>
          <w:numId w:val="4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Whether or not the action was hard-fought with little or nothing conceded along the way;</w:t>
      </w:r>
    </w:p>
    <w:p>
      <w:pPr>
        <w:numPr>
          <w:numId w:val="4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number and length of examinations for discovery;</w:t>
      </w:r>
    </w:p>
    <w:p>
      <w:pPr>
        <w:numPr>
          <w:numId w:val="4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number and complexity of expert reports;</w:t>
      </w:r>
    </w:p>
    <w:p>
      <w:pPr>
        <w:numPr>
          <w:numId w:val="4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extent of the effort required in the collection of and proof of the facts.</w:t>
      </w:r>
    </w:p>
    <w:p>
      <w:pPr>
        <w:spacing w:before="120"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Position of the Parties</w:t>
      </w:r>
    </w:p>
    <w:p>
      <w:pPr>
        <w:spacing w:before="120" w:line="260" w:lineRule="atLeast"/>
        <w:ind w:left="1080"/>
        <w:rPr>
          <w:rFonts w:ascii="arial" w:eastAsia="arial" w:hAnsi="arial" w:cs="arial"/>
          <w:sz w:val="20"/>
          <w:lang w:val="en-US" w:eastAsia="en-US" w:bidi="ar-SA"/>
        </w:rPr>
      </w:pPr>
      <w:r>
        <w:rPr>
          <w:rFonts w:ascii="arial" w:eastAsia="arial" w:hAnsi="arial" w:cs="arial"/>
          <w:b/>
          <w:i/>
          <w:color w:val="000000"/>
          <w:sz w:val="20"/>
          <w:lang w:val="en-US" w:eastAsia="en-US" w:bidi="ar-SA"/>
        </w:rPr>
        <w:t>The Plaintiffs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91</w:t>
      </w:r>
      <w:r>
        <w:rPr>
          <w:rFonts w:ascii="arial" w:eastAsia="arial" w:hAnsi="arial" w:cs="arial"/>
          <w:color w:val="000000"/>
          <w:sz w:val="20"/>
          <w:lang w:val="en-US" w:eastAsia="en-US" w:bidi="ar-SA"/>
        </w:rPr>
        <w:t>  The plaintiffs submit that the summary trial took eight days, which they say is a very lengthy period of time for a summary disposition. The plaintiffs attempted to save hearing time and mitigate their costs by disposing of eleven other claims and cross-claims in summary judgment/striking applications in Actions #1 and #2. They also assert that the summary trial would have been longer if the majority defendants had not abandoned cross-claims at or immediately before the summary trial.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92</w:t>
      </w:r>
      <w:r>
        <w:rPr>
          <w:rFonts w:ascii="arial" w:eastAsia="arial" w:hAnsi="arial" w:cs="arial"/>
          <w:color w:val="000000"/>
          <w:sz w:val="20"/>
          <w:lang w:val="en-US" w:eastAsia="en-US" w:bidi="ar-SA"/>
        </w:rPr>
        <w:t>  The plaintiffs argue that the litigation was complex, because of the nature of the relationships between the parties, the number of parties and the majority defendants' conduct in bringing, maintaining and abandoning at the last minute unmeritorious cross-claims. The plaintiffs suggest that the pleadings are further indicative of the complexity of this matter as the majority defendants filed two separate responses to civil claim and two separate proposed responses to civil claim.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93</w:t>
      </w:r>
      <w:r>
        <w:rPr>
          <w:rFonts w:ascii="arial" w:eastAsia="arial" w:hAnsi="arial" w:cs="arial"/>
          <w:color w:val="000000"/>
          <w:sz w:val="20"/>
          <w:lang w:val="en-US" w:eastAsia="en-US" w:bidi="ar-SA"/>
        </w:rPr>
        <w:t xml:space="preserve">  In addition, the plaintiffs assert the parties advanced several different theories of liability on the basis of these complex and varied contractual arrangements that in turn made the case difficult to manage, noting </w:t>
      </w:r>
      <w:r>
        <w:rPr>
          <w:rFonts w:ascii="arial" w:eastAsia="arial" w:hAnsi="arial" w:cs="arial"/>
          <w:i/>
          <w:color w:val="000000"/>
          <w:sz w:val="20"/>
          <w:lang w:val="en-US" w:eastAsia="en-US" w:bidi="ar-SA"/>
        </w:rPr>
        <w:t>Harbuz v. Capital Construction Supplies Ltd.</w:t>
      </w:r>
      <w:r>
        <w:rPr>
          <w:rFonts w:ascii="arial" w:eastAsia="arial" w:hAnsi="arial" w:cs="arial"/>
          <w:color w:val="000000"/>
          <w:sz w:val="20"/>
          <w:lang w:val="en-US" w:eastAsia="en-US" w:bidi="ar-SA"/>
        </w:rPr>
        <w:t xml:space="preserve">, </w:t>
      </w:r>
      <w:hyperlink r:id="rId733" w:history="1">
        <w:r>
          <w:rPr>
            <w:rFonts w:ascii="arial" w:eastAsia="arial" w:hAnsi="arial" w:cs="arial"/>
            <w:i/>
            <w:color w:val="0077CC"/>
            <w:sz w:val="20"/>
            <w:u w:val="single"/>
            <w:shd w:val="clear" w:color="auto" w:fill="FFFFFF"/>
            <w:lang w:val="en-US" w:eastAsia="en-US" w:bidi="ar-SA"/>
          </w:rPr>
          <w:t>2011 BCSC 778</w:t>
        </w:r>
      </w:hyperlink>
      <w:r>
        <w:rPr>
          <w:rFonts w:ascii="arial" w:eastAsia="arial" w:hAnsi="arial" w:cs="arial"/>
          <w:color w:val="000000"/>
          <w:sz w:val="20"/>
          <w:lang w:val="en-US" w:eastAsia="en-US" w:bidi="ar-SA"/>
        </w:rPr>
        <w:t xml:space="preserve"> at paras. 22 - 25, and 50 where Mr. Justice Harris stayed the action as a whole pending further court order and resolution of the best procedure to adjudicate the issues.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94</w:t>
      </w:r>
      <w:r>
        <w:rPr>
          <w:rFonts w:ascii="arial" w:eastAsia="arial" w:hAnsi="arial" w:cs="arial"/>
          <w:color w:val="000000"/>
          <w:sz w:val="20"/>
          <w:lang w:val="en-US" w:eastAsia="en-US" w:bidi="ar-SA"/>
        </w:rPr>
        <w:t>  The plaintiffs say they commenced Action #2 in order to work towards a resolution of the dispute but the complexities in the litigation remained. Throughout Action #2, the majority defendants struggled to articulate the legal basis for their defences and cross-claims. They refer to my finding that it was unnecessary to determine the legal framework of the majority defendants' defences and cross-claims and that for purposes of determining the summary trial application, all of the legal claims were accepted. They argue that the legal issues brought a level of complexity to these proceedings that should merit an award for costs against the majority defendants assessed at scale C.</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95</w:t>
      </w:r>
      <w:r>
        <w:rPr>
          <w:rFonts w:ascii="arial" w:eastAsia="arial" w:hAnsi="arial" w:cs="arial"/>
          <w:color w:val="000000"/>
          <w:sz w:val="20"/>
          <w:lang w:val="en-US" w:eastAsia="en-US" w:bidi="ar-SA"/>
        </w:rPr>
        <w:t>  The plaintiffs assert that a matter is more than ordinarily difficult if it involves a large number of parties and different bases of liability, as found in this case.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96</w:t>
      </w:r>
      <w:r>
        <w:rPr>
          <w:rFonts w:ascii="arial" w:eastAsia="arial" w:hAnsi="arial" w:cs="arial"/>
          <w:color w:val="000000"/>
          <w:sz w:val="20"/>
          <w:lang w:val="en-US" w:eastAsia="en-US" w:bidi="ar-SA"/>
        </w:rPr>
        <w:t>  The plaintiffs say that there were many complex pre-trial procedures, including applications for document discovery, attendance at examinations for discovery and clarification of the evidence. The majority defendants also brought several applications, including an application to cross-examine the plaintiffs' expert and an application for documents, which were both abandoned. The plaintiffs' application for summary judgment was particularly complex legally. The litigation was extremely hard fought with almost every issue, no matter how minor, disputed.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97</w:t>
      </w:r>
      <w:r>
        <w:rPr>
          <w:rFonts w:ascii="arial" w:eastAsia="arial" w:hAnsi="arial" w:cs="arial"/>
          <w:color w:val="000000"/>
          <w:sz w:val="20"/>
          <w:lang w:val="en-US" w:eastAsia="en-US" w:bidi="ar-SA"/>
        </w:rPr>
        <w:t>  The plaintiffs argue that the number and length of examinations for discovery and the number and complexity of expert reports also militates in favour of costs on scale C.</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98</w:t>
      </w:r>
      <w:r>
        <w:rPr>
          <w:rFonts w:ascii="arial" w:eastAsia="arial" w:hAnsi="arial" w:cs="arial"/>
          <w:color w:val="000000"/>
          <w:sz w:val="20"/>
          <w:lang w:val="en-US" w:eastAsia="en-US" w:bidi="ar-SA"/>
        </w:rPr>
        <w:t>  Finally, the plaintiffs complain that the conduct of the majority defendants caused considerable difficulty in the collection and proof of the facts, relying on their submissions on special costs.</w:t>
      </w:r>
      <w:r>
        <w:rPr>
          <w:rFonts w:ascii="arial" w:eastAsia="arial" w:hAnsi="arial" w:cs="arial"/>
          <w:sz w:val="20"/>
          <w:lang w:val="en-US" w:eastAsia="en-US" w:bidi="ar-SA"/>
        </w:rPr>
        <w:cr/>
      </w:r>
    </w:p>
    <w:p>
      <w:pPr>
        <w:spacing w:line="260" w:lineRule="atLeast"/>
        <w:ind w:left="1080"/>
        <w:rPr>
          <w:rFonts w:ascii="arial" w:eastAsia="arial" w:hAnsi="arial" w:cs="arial"/>
          <w:sz w:val="20"/>
          <w:lang w:val="en-US" w:eastAsia="en-US" w:bidi="ar-SA"/>
        </w:rPr>
      </w:pPr>
      <w:r>
        <w:rPr>
          <w:rFonts w:ascii="arial" w:eastAsia="arial" w:hAnsi="arial" w:cs="arial"/>
          <w:b/>
          <w:i/>
          <w:color w:val="000000"/>
          <w:sz w:val="20"/>
          <w:lang w:val="en-US" w:eastAsia="en-US" w:bidi="ar-SA"/>
        </w:rPr>
        <w:t>The Majority Defendants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99</w:t>
      </w:r>
      <w:r>
        <w:rPr>
          <w:rFonts w:ascii="arial" w:eastAsia="arial" w:hAnsi="arial" w:cs="arial"/>
          <w:color w:val="000000"/>
          <w:sz w:val="20"/>
          <w:lang w:val="en-US" w:eastAsia="en-US" w:bidi="ar-SA"/>
        </w:rPr>
        <w:t xml:space="preserve">  The majority defendants submit that the scale of costs for matters of ordinary difficulty, scale B, should apply unless a higher or lower scale clearly applies. They refer to the decision of Mr. Justice Johnston in </w:t>
      </w:r>
      <w:r>
        <w:rPr>
          <w:rFonts w:ascii="arial" w:eastAsia="arial" w:hAnsi="arial" w:cs="arial"/>
          <w:i/>
          <w:color w:val="000000"/>
          <w:sz w:val="20"/>
          <w:lang w:val="en-US" w:eastAsia="en-US" w:bidi="ar-SA"/>
        </w:rPr>
        <w:t>Meghji v. Lee</w:t>
      </w:r>
      <w:r>
        <w:rPr>
          <w:rFonts w:ascii="arial" w:eastAsia="arial" w:hAnsi="arial" w:cs="arial"/>
          <w:color w:val="000000"/>
          <w:sz w:val="20"/>
          <w:lang w:val="en-US" w:eastAsia="en-US" w:bidi="ar-SA"/>
        </w:rPr>
        <w:t xml:space="preserve">, </w:t>
      </w:r>
      <w:hyperlink r:id="rId786" w:history="1">
        <w:r>
          <w:rPr>
            <w:rFonts w:ascii="arial" w:eastAsia="arial" w:hAnsi="arial" w:cs="arial"/>
            <w:i/>
            <w:color w:val="0077CC"/>
            <w:sz w:val="20"/>
            <w:u w:val="single"/>
            <w:shd w:val="clear" w:color="auto" w:fill="FFFFFF"/>
            <w:lang w:val="en-US" w:eastAsia="en-US" w:bidi="ar-SA"/>
          </w:rPr>
          <w:t>2012 BCSC 379</w:t>
        </w:r>
      </w:hyperlink>
      <w:r>
        <w:rPr>
          <w:rFonts w:ascii="arial" w:eastAsia="arial" w:hAnsi="arial" w:cs="arial"/>
          <w:color w:val="000000"/>
          <w:sz w:val="20"/>
          <w:lang w:val="en-US" w:eastAsia="en-US" w:bidi="ar-SA"/>
        </w:rPr>
        <w:t xml:space="preserve"> where he addressed the factors of length and complexity. Johnston J. emphasized that time spent did not equate with the level of difficulty of the issues at paras. 54 and 59:</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Measuring difficulty by length of trial can be an exercise in ambiguity: relatively straightforward issues assume complexity as a function of the time taken to explore them; conversely, the time spent exploring an issue, or, for example, cross-examining an expert on matters within his or her field of expertise, is not necessarily a function of the issue's difficulty. While counsel should be commended for briefing themselves so as to conduct knowledgeable cross-examinations of experts, they should not be rewarded for time spent scoring points in an exercise where the returns diminish by the hour.</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Now, assuming that scale B represents ordinary difficulty, it should perhaps cover a broader range than ordinary difficulty did under the former rules. Otherwise, the range of "more than ordinary difficulty" becomes so broad that there is little on which to base a principled distinction of ordinary from more than ordinary.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100</w:t>
      </w:r>
      <w:r>
        <w:rPr>
          <w:rFonts w:ascii="arial" w:eastAsia="arial" w:hAnsi="arial" w:cs="arial"/>
          <w:color w:val="000000"/>
          <w:sz w:val="20"/>
          <w:lang w:val="en-US" w:eastAsia="en-US" w:bidi="ar-SA"/>
        </w:rPr>
        <w:t xml:space="preserve">  The majority defendants assert that this case was hard fought but that this does not justify costs at a higher scale. In </w:t>
      </w:r>
      <w:r>
        <w:rPr>
          <w:rFonts w:ascii="arial" w:eastAsia="arial" w:hAnsi="arial" w:cs="arial"/>
          <w:i/>
          <w:color w:val="000000"/>
          <w:sz w:val="20"/>
          <w:lang w:val="en-US" w:eastAsia="en-US" w:bidi="ar-SA"/>
        </w:rPr>
        <w:t>Mainland Sawmills Ltd. v. IWA-Canada Local 1-3567</w:t>
      </w:r>
      <w:r>
        <w:rPr>
          <w:rFonts w:ascii="arial" w:eastAsia="arial" w:hAnsi="arial" w:cs="arial"/>
          <w:color w:val="000000"/>
          <w:sz w:val="20"/>
          <w:lang w:val="en-US" w:eastAsia="en-US" w:bidi="ar-SA"/>
        </w:rPr>
        <w:t xml:space="preserve">, </w:t>
      </w:r>
      <w:hyperlink r:id="rId787" w:history="1">
        <w:r>
          <w:rPr>
            <w:rFonts w:ascii="arial" w:eastAsia="arial" w:hAnsi="arial" w:cs="arial"/>
            <w:i/>
            <w:color w:val="0077CC"/>
            <w:sz w:val="20"/>
            <w:u w:val="single"/>
            <w:shd w:val="clear" w:color="auto" w:fill="FFFFFF"/>
            <w:lang w:val="en-US" w:eastAsia="en-US" w:bidi="ar-SA"/>
          </w:rPr>
          <w:t>2008 BCSC 454</w:t>
        </w:r>
      </w:hyperlink>
      <w:r>
        <w:rPr>
          <w:rFonts w:ascii="arial" w:eastAsia="arial" w:hAnsi="arial" w:cs="arial"/>
          <w:color w:val="000000"/>
          <w:sz w:val="20"/>
          <w:lang w:val="en-US" w:eastAsia="en-US" w:bidi="ar-SA"/>
        </w:rPr>
        <w:t xml:space="preserve">, the court considered the provisions in Appendix B in the former </w:t>
      </w:r>
      <w:r>
        <w:rPr>
          <w:rFonts w:ascii="arial" w:eastAsia="arial" w:hAnsi="arial" w:cs="arial"/>
          <w:i/>
          <w:color w:val="000000"/>
          <w:sz w:val="20"/>
          <w:lang w:val="en-US" w:eastAsia="en-US" w:bidi="ar-SA"/>
        </w:rPr>
        <w:t>Rules</w:t>
      </w:r>
      <w:r>
        <w:rPr>
          <w:rFonts w:ascii="arial" w:eastAsia="arial" w:hAnsi="arial" w:cs="arial"/>
          <w:color w:val="000000"/>
          <w:sz w:val="20"/>
          <w:lang w:val="en-US" w:eastAsia="en-US" w:bidi="ar-SA"/>
        </w:rPr>
        <w:t xml:space="preserve"> as well as the individual factors enumerated above with respect to determining the scale of costs and concluded that despite a lengthy trial, many parties, pre-trial applications, examinations for discovery (though brief relative to the number of parties) and a hard-fought case, costs at scale B were nevertheless appropriate.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101</w:t>
      </w:r>
      <w:r>
        <w:rPr>
          <w:rFonts w:ascii="arial" w:eastAsia="arial" w:hAnsi="arial" w:cs="arial"/>
          <w:color w:val="000000"/>
          <w:sz w:val="20"/>
          <w:lang w:val="en-US" w:eastAsia="en-US" w:bidi="ar-SA"/>
        </w:rPr>
        <w:t xml:space="preserve">  It has been held that it is not reasonable to award costs at a higher scale where a question of law of greater than ordinary difficulty was raised by the court and counsel were directed to make submissions on that point: </w:t>
      </w:r>
      <w:r>
        <w:rPr>
          <w:rFonts w:ascii="arial" w:eastAsia="arial" w:hAnsi="arial" w:cs="arial"/>
          <w:i/>
          <w:color w:val="000000"/>
          <w:sz w:val="20"/>
          <w:lang w:val="en-US" w:eastAsia="en-US" w:bidi="ar-SA"/>
        </w:rPr>
        <w:t>Laurentian Pacific Insurance Co. v. Halama</w:t>
      </w:r>
      <w:r>
        <w:rPr>
          <w:rFonts w:ascii="arial" w:eastAsia="arial" w:hAnsi="arial" w:cs="arial"/>
          <w:color w:val="000000"/>
          <w:sz w:val="20"/>
          <w:lang w:val="en-US" w:eastAsia="en-US" w:bidi="ar-SA"/>
        </w:rPr>
        <w:t xml:space="preserve"> </w:t>
      </w:r>
      <w:hyperlink r:id="rId788" w:history="1">
        <w:r>
          <w:rPr>
            <w:rFonts w:ascii="arial" w:eastAsia="arial" w:hAnsi="arial" w:cs="arial"/>
            <w:i/>
            <w:color w:val="0077CC"/>
            <w:sz w:val="20"/>
            <w:u w:val="single"/>
            <w:shd w:val="clear" w:color="auto" w:fill="FFFFFF"/>
            <w:lang w:val="en-US" w:eastAsia="en-US" w:bidi="ar-SA"/>
          </w:rPr>
          <w:t>(1991), 60 B.C.L.R. (2d) 190</w:t>
        </w:r>
      </w:hyperlink>
      <w:r>
        <w:rPr>
          <w:rFonts w:ascii="arial" w:eastAsia="arial" w:hAnsi="arial" w:cs="arial"/>
          <w:color w:val="000000"/>
          <w:sz w:val="20"/>
          <w:lang w:val="en-US" w:eastAsia="en-US" w:bidi="ar-SA"/>
        </w:rPr>
        <w:t xml:space="preserve"> at 205 (S.C.).</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102</w:t>
      </w:r>
      <w:r>
        <w:rPr>
          <w:rFonts w:ascii="arial" w:eastAsia="arial" w:hAnsi="arial" w:cs="arial"/>
          <w:color w:val="000000"/>
          <w:sz w:val="20"/>
          <w:lang w:val="en-US" w:eastAsia="en-US" w:bidi="ar-SA"/>
        </w:rPr>
        <w:t xml:space="preserve">  In respect of the </w:t>
      </w:r>
      <w:r>
        <w:rPr>
          <w:rFonts w:ascii="arial" w:eastAsia="arial" w:hAnsi="arial" w:cs="arial"/>
          <w:i/>
          <w:color w:val="000000"/>
          <w:sz w:val="20"/>
          <w:lang w:val="en-US" w:eastAsia="en-US" w:bidi="ar-SA"/>
        </w:rPr>
        <w:t>Slocan</w:t>
      </w:r>
      <w:r>
        <w:rPr>
          <w:rFonts w:ascii="arial" w:eastAsia="arial" w:hAnsi="arial" w:cs="arial"/>
          <w:color w:val="000000"/>
          <w:sz w:val="20"/>
          <w:lang w:val="en-US" w:eastAsia="en-US" w:bidi="ar-SA"/>
        </w:rPr>
        <w:t xml:space="preserve"> factors, the majority defendants say:</w:t>
      </w:r>
      <w:r>
        <w:rPr>
          <w:rFonts w:ascii="arial" w:eastAsia="arial" w:hAnsi="arial" w:cs="arial"/>
          <w:sz w:val="20"/>
          <w:lang w:val="en-US" w:eastAsia="en-US" w:bidi="ar-SA"/>
        </w:rPr>
        <w:cr/>
      </w:r>
    </w:p>
    <w:p>
      <w:pPr>
        <w:numPr>
          <w:numId w:val="4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at only eight days (including the numerous applications that were heard during that time), the summary trial was not outside of ordinary length. This factor militates against an award of costs at scale C;</w:t>
      </w:r>
    </w:p>
    <w:p>
      <w:pPr>
        <w:numPr>
          <w:numId w:val="4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essential nature of the case (breach of contract and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was never unclear. The defences, cross-claims and the factual matrix underlying the leasehold interests were not novel;</w:t>
      </w:r>
    </w:p>
    <w:p>
      <w:pPr>
        <w:numPr>
          <w:numId w:val="4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legal complexity of the relationships between the parties highlighted by Harris J. and the submissions made in response to the memorandum request of Harris J. do not weigh in favour of a higher scale of costs;</w:t>
      </w:r>
    </w:p>
    <w:p>
      <w:pPr>
        <w:numPr>
          <w:numId w:val="4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plaintiffs list 11 "pre-trial procedures" and submit that "many" were complex. Many of the orders sought by the plaintiffs prior to the summary trial were in fact obtained by consent. Further, in the circumstances of this case, the number and complexity of pre-trial applications, including short discoveries, were of ordinary difficulty. This factor does not support an award of costs on scale C;</w:t>
      </w:r>
    </w:p>
    <w:p>
      <w:pPr>
        <w:numPr>
          <w:numId w:val="5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in the circumstances of this case, examinations for discovery were relatively brief despite the large number of parties. Therefore, this factor does not support an award of scale C costs;</w:t>
      </w:r>
    </w:p>
    <w:p>
      <w:pPr>
        <w:numPr>
          <w:numId w:val="51"/>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 plaintiffs allege that the expert reports were long and detailed. However, Mr. Gallant's opinion was only 12 pages in length and Ms. Williams' opinion only six pages in length. Further, the attendance of only one expert for less than a half-day of cross-examination is not more than ordinary. The time spent familiarizing and reviewing expert reports to prepare rebuttal reports and the time spent conducting cross-examinations is of ordinary difficulty. In the circumstances, this factor militates against an award of costs at a higher scale;</w:t>
      </w:r>
    </w:p>
    <w:p>
      <w:pPr>
        <w:numPr>
          <w:numId w:val="52"/>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 law is clear that costs may not be awarded on an increased scale as a result of misconduct in a proceeding; and</w:t>
      </w:r>
    </w:p>
    <w:p>
      <w:pPr>
        <w:numPr>
          <w:numId w:val="53"/>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 rebuttal of evidence and collection of facts in this case was of ordinary difficulty. Therefore this factor also militates against an award of costs at scale C.</w:t>
      </w:r>
    </w:p>
    <w:p>
      <w:pPr>
        <w:spacing w:before="120"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Are the Plaintiffs Entitled to Costs at Scale C?</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103</w:t>
      </w:r>
      <w:r>
        <w:rPr>
          <w:rFonts w:ascii="arial" w:eastAsia="arial" w:hAnsi="arial" w:cs="arial"/>
          <w:color w:val="000000"/>
          <w:sz w:val="20"/>
          <w:lang w:val="en-US" w:eastAsia="en-US" w:bidi="ar-SA"/>
        </w:rPr>
        <w:t xml:space="preserve">  Applying the </w:t>
      </w:r>
      <w:r>
        <w:rPr>
          <w:rFonts w:ascii="arial" w:eastAsia="arial" w:hAnsi="arial" w:cs="arial"/>
          <w:i/>
          <w:color w:val="000000"/>
          <w:sz w:val="20"/>
          <w:lang w:val="en-US" w:eastAsia="en-US" w:bidi="ar-SA"/>
        </w:rPr>
        <w:t>Slocan</w:t>
      </w:r>
      <w:r>
        <w:rPr>
          <w:rFonts w:ascii="arial" w:eastAsia="arial" w:hAnsi="arial" w:cs="arial"/>
          <w:color w:val="000000"/>
          <w:sz w:val="20"/>
          <w:lang w:val="en-US" w:eastAsia="en-US" w:bidi="ar-SA"/>
        </w:rPr>
        <w:t xml:space="preserve"> factors, I conclude as follows.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104</w:t>
      </w:r>
      <w:r>
        <w:rPr>
          <w:rFonts w:ascii="arial" w:eastAsia="arial" w:hAnsi="arial" w:cs="arial"/>
          <w:color w:val="000000"/>
          <w:sz w:val="20"/>
          <w:lang w:val="en-US" w:eastAsia="en-US" w:bidi="ar-SA"/>
        </w:rPr>
        <w:t>  The summary trial lasted eight days. While this is perhaps lengthy for a summary trial, it is obviously substantially less time than a trial could have taken. I find this factor to be neutral.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105</w:t>
      </w:r>
      <w:r>
        <w:rPr>
          <w:rFonts w:ascii="arial" w:eastAsia="arial" w:hAnsi="arial" w:cs="arial"/>
          <w:color w:val="000000"/>
          <w:sz w:val="20"/>
          <w:lang w:val="en-US" w:eastAsia="en-US" w:bidi="ar-SA"/>
        </w:rPr>
        <w:t>  I do not consider that this case was complex or novel. Counsel for the plaintiffs reiterated throughout their submissions at the hearing of this matter that the case was not complicated. It was a clear case concerning debt from the plaintiffs' perspective. Nor do I consider that the majority defendants' positions or cross-claims were legally complex. The factual complexity only resulted from the relationship between the parties that was developed over a significant period of time. I note that this case involves three plaintiffs and more than 170 defendants.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106</w:t>
      </w:r>
      <w:r>
        <w:rPr>
          <w:rFonts w:ascii="arial" w:eastAsia="arial" w:hAnsi="arial" w:cs="arial"/>
          <w:color w:val="000000"/>
          <w:sz w:val="20"/>
          <w:lang w:val="en-US" w:eastAsia="en-US" w:bidi="ar-SA"/>
        </w:rPr>
        <w:t>  In the course of this matter, several pre-trial procedures arose. However, most of those procedures related to the establishment of a process by which the matter could be heard and determined efficiently. Harris J.'s emphasis on establishing such a procedure was warranted and the time it took to do so was equally warranted.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107</w:t>
      </w:r>
      <w:r>
        <w:rPr>
          <w:rFonts w:ascii="arial" w:eastAsia="arial" w:hAnsi="arial" w:cs="arial"/>
          <w:color w:val="000000"/>
          <w:sz w:val="20"/>
          <w:lang w:val="en-US" w:eastAsia="en-US" w:bidi="ar-SA"/>
        </w:rPr>
        <w:t>  I agree with the majority defendants' counsel that the action was hard fought and that there was little or nothing conceded along the way. At the same time, I reiterate my comments about the worthiness of case management and the ability of the parties to have the matter heard by summary trial.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108</w:t>
      </w:r>
      <w:r>
        <w:rPr>
          <w:rFonts w:ascii="arial" w:eastAsia="arial" w:hAnsi="arial" w:cs="arial"/>
          <w:color w:val="000000"/>
          <w:sz w:val="20"/>
          <w:lang w:val="en-US" w:eastAsia="en-US" w:bidi="ar-SA"/>
        </w:rPr>
        <w:t>  Given the amount of money that was in dispute and the number of defendants involved, I consider the number and length of examinations was reasonable.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109</w:t>
      </w:r>
      <w:r>
        <w:rPr>
          <w:rFonts w:ascii="arial" w:eastAsia="arial" w:hAnsi="arial" w:cs="arial"/>
          <w:color w:val="000000"/>
          <w:sz w:val="20"/>
          <w:lang w:val="en-US" w:eastAsia="en-US" w:bidi="ar-SA"/>
        </w:rPr>
        <w:t>  The number and complexity of expert reports filed in this matter do not support an order for costs at scale C.</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110</w:t>
      </w:r>
      <w:r>
        <w:rPr>
          <w:rFonts w:ascii="arial" w:eastAsia="arial" w:hAnsi="arial" w:cs="arial"/>
          <w:color w:val="000000"/>
          <w:sz w:val="20"/>
          <w:lang w:val="en-US" w:eastAsia="en-US" w:bidi="ar-SA"/>
        </w:rPr>
        <w:t>  Again, in the circumstances, I consider the effort expended by both parties was significant but in the proper measure.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111</w:t>
      </w:r>
      <w:r>
        <w:rPr>
          <w:rFonts w:ascii="arial" w:eastAsia="arial" w:hAnsi="arial" w:cs="arial"/>
          <w:color w:val="000000"/>
          <w:sz w:val="20"/>
          <w:lang w:val="en-US" w:eastAsia="en-US" w:bidi="ar-SA"/>
        </w:rPr>
        <w:t>  In all of the circumstances, I dismiss the plaintiffs' claim for costs at scale C.</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Denial of costs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Legal Framework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112</w:t>
      </w:r>
      <w:r>
        <w:rPr>
          <w:rFonts w:ascii="arial" w:eastAsia="arial" w:hAnsi="arial" w:cs="arial"/>
          <w:color w:val="000000"/>
          <w:sz w:val="20"/>
          <w:lang w:val="en-US" w:eastAsia="en-US" w:bidi="ar-SA"/>
        </w:rPr>
        <w:t xml:space="preserve">  Rule 14-1(9) of the </w:t>
      </w:r>
      <w:r>
        <w:rPr>
          <w:rFonts w:ascii="arial" w:eastAsia="arial" w:hAnsi="arial" w:cs="arial"/>
          <w:i/>
          <w:color w:val="000000"/>
          <w:sz w:val="20"/>
          <w:lang w:val="en-US" w:eastAsia="en-US" w:bidi="ar-SA"/>
        </w:rPr>
        <w:t>Rules</w:t>
      </w:r>
      <w:r>
        <w:rPr>
          <w:rFonts w:ascii="arial" w:eastAsia="arial" w:hAnsi="arial" w:cs="arial"/>
          <w:color w:val="000000"/>
          <w:sz w:val="20"/>
          <w:lang w:val="en-US" w:eastAsia="en-US" w:bidi="ar-SA"/>
        </w:rPr>
        <w:t xml:space="preserve"> provides that the court has residual discretion to deny a successful party costs to which it would otherwise be entitled. As the general rule is that "costs follow the event", the onus is on the party seeking to displace the usual rule to establish the basis on which the court should use its discretion to deny an award of costs. The discretion must be exercised on a principled basis: </w:t>
      </w:r>
      <w:r>
        <w:rPr>
          <w:rFonts w:ascii="arial" w:eastAsia="arial" w:hAnsi="arial" w:cs="arial"/>
          <w:i/>
          <w:color w:val="000000"/>
          <w:sz w:val="20"/>
          <w:lang w:val="en-US" w:eastAsia="en-US" w:bidi="ar-SA"/>
        </w:rPr>
        <w:t>Grassi v. WIC Radio Ltd</w:t>
      </w:r>
      <w:r>
        <w:rPr>
          <w:rFonts w:ascii="arial" w:eastAsia="arial" w:hAnsi="arial" w:cs="arial"/>
          <w:color w:val="000000"/>
          <w:sz w:val="20"/>
          <w:lang w:val="en-US" w:eastAsia="en-US" w:bidi="ar-SA"/>
        </w:rPr>
        <w:t xml:space="preserve">., </w:t>
      </w:r>
      <w:hyperlink r:id="rId789" w:history="1">
        <w:r>
          <w:rPr>
            <w:rFonts w:ascii="arial" w:eastAsia="arial" w:hAnsi="arial" w:cs="arial"/>
            <w:i/>
            <w:color w:val="0077CC"/>
            <w:sz w:val="20"/>
            <w:u w:val="single"/>
            <w:shd w:val="clear" w:color="auto" w:fill="FFFFFF"/>
            <w:lang w:val="en-US" w:eastAsia="en-US" w:bidi="ar-SA"/>
          </w:rPr>
          <w:t>2001 BCCA 376</w:t>
        </w:r>
      </w:hyperlink>
      <w:r>
        <w:rPr>
          <w:rFonts w:ascii="arial" w:eastAsia="arial" w:hAnsi="arial" w:cs="arial"/>
          <w:color w:val="000000"/>
          <w:sz w:val="20"/>
          <w:lang w:val="en-US" w:eastAsia="en-US" w:bidi="ar-SA"/>
        </w:rPr>
        <w:t xml:space="preserve"> at para 24.</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113</w:t>
      </w:r>
      <w:r>
        <w:rPr>
          <w:rFonts w:ascii="arial" w:eastAsia="arial" w:hAnsi="arial" w:cs="arial"/>
          <w:color w:val="000000"/>
          <w:sz w:val="20"/>
          <w:lang w:val="en-US" w:eastAsia="en-US" w:bidi="ar-SA"/>
        </w:rPr>
        <w:t xml:space="preserve">  The trial judge may consider the conduct of the party not merely during the course of the proceedings but also leading up to or contributing to the litigation: </w:t>
      </w:r>
      <w:r>
        <w:rPr>
          <w:rFonts w:ascii="arial" w:eastAsia="arial" w:hAnsi="arial" w:cs="arial"/>
          <w:i/>
          <w:color w:val="000000"/>
          <w:sz w:val="20"/>
          <w:lang w:val="en-US" w:eastAsia="en-US" w:bidi="ar-SA"/>
        </w:rPr>
        <w:t>R.L.L. v. R.L.</w:t>
      </w:r>
      <w:r>
        <w:rPr>
          <w:rFonts w:ascii="arial" w:eastAsia="arial" w:hAnsi="arial" w:cs="arial"/>
          <w:color w:val="000000"/>
          <w:sz w:val="20"/>
          <w:lang w:val="en-US" w:eastAsia="en-US" w:bidi="ar-SA"/>
        </w:rPr>
        <w:t xml:space="preserve">, </w:t>
      </w:r>
      <w:hyperlink r:id="rId790" w:history="1">
        <w:r>
          <w:rPr>
            <w:rFonts w:ascii="arial" w:eastAsia="arial" w:hAnsi="arial" w:cs="arial"/>
            <w:i/>
            <w:color w:val="0077CC"/>
            <w:sz w:val="20"/>
            <w:u w:val="single"/>
            <w:shd w:val="clear" w:color="auto" w:fill="FFFFFF"/>
            <w:lang w:val="en-US" w:eastAsia="en-US" w:bidi="ar-SA"/>
          </w:rPr>
          <w:t>2001 BCCA 386</w:t>
        </w:r>
      </w:hyperlink>
      <w:r>
        <w:rPr>
          <w:rFonts w:ascii="arial" w:eastAsia="arial" w:hAnsi="arial" w:cs="arial"/>
          <w:color w:val="000000"/>
          <w:sz w:val="20"/>
          <w:lang w:val="en-US" w:eastAsia="en-US" w:bidi="ar-SA"/>
        </w:rPr>
        <w:t xml:space="preserve"> at paras. 31 - 32.</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Position of the Parties</w:t>
      </w:r>
    </w:p>
    <w:p>
      <w:pPr>
        <w:spacing w:before="120" w:line="260" w:lineRule="atLeast"/>
        <w:ind w:left="1080"/>
        <w:rPr>
          <w:rFonts w:ascii="arial" w:eastAsia="arial" w:hAnsi="arial" w:cs="arial"/>
          <w:sz w:val="20"/>
          <w:lang w:val="en-US" w:eastAsia="en-US" w:bidi="ar-SA"/>
        </w:rPr>
      </w:pPr>
      <w:r>
        <w:rPr>
          <w:rFonts w:ascii="arial" w:eastAsia="arial" w:hAnsi="arial" w:cs="arial"/>
          <w:b/>
          <w:i/>
          <w:color w:val="000000"/>
          <w:sz w:val="20"/>
          <w:lang w:val="en-US" w:eastAsia="en-US" w:bidi="ar-SA"/>
        </w:rPr>
        <w:t>The Majority Defendants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114</w:t>
      </w:r>
      <w:r>
        <w:rPr>
          <w:rFonts w:ascii="arial" w:eastAsia="arial" w:hAnsi="arial" w:cs="arial"/>
          <w:color w:val="000000"/>
          <w:sz w:val="20"/>
          <w:lang w:val="en-US" w:eastAsia="en-US" w:bidi="ar-SA"/>
        </w:rPr>
        <w:t>  The majority defendants submit that the plaintiffs' obstructive pre-litigation conduct considerably delayed the hearing of the dispute on its merits and substantially increased their costs. They argue that the plaintiffs should be denied some or all of their costs relating to the summary trial.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115</w:t>
      </w:r>
      <w:r>
        <w:rPr>
          <w:rFonts w:ascii="arial" w:eastAsia="arial" w:hAnsi="arial" w:cs="arial"/>
          <w:color w:val="000000"/>
          <w:sz w:val="20"/>
          <w:lang w:val="en-US" w:eastAsia="en-US" w:bidi="ar-SA"/>
        </w:rPr>
        <w:t>  The majority defendants' refer to the plaintiffs' refusal to honour agreements regarding the termination of the leasehold interests and refusal to cooperate in establishing a streamlined and efficient process to have the common factual and legal issues determined. They submit that this lack of cooperation considerably delayed the hearing of the dispute on the merits and substantially increased the costs incurred. They assert that the plaintiffs focused on technical pleadings-related issues in the face of reasonable compromise proposals from the leaseholders in order to have the merits of the dispute heard and determined.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116</w:t>
      </w:r>
      <w:r>
        <w:rPr>
          <w:rFonts w:ascii="arial" w:eastAsia="arial" w:hAnsi="arial" w:cs="arial"/>
          <w:color w:val="000000"/>
          <w:sz w:val="20"/>
          <w:lang w:val="en-US" w:eastAsia="en-US" w:bidi="ar-SA"/>
        </w:rPr>
        <w:t>  The majority defendants say that this approach continued into Action #2. The plaintiffs focused on pleadings-related issues, avoiding the real issues. Nevertheless, the dispute was going to be determined on the merits regardless of any alleged deficiencies in the pleadings.</w:t>
      </w:r>
      <w:r>
        <w:rPr>
          <w:rFonts w:ascii="arial" w:eastAsia="arial" w:hAnsi="arial" w:cs="arial"/>
          <w:sz w:val="20"/>
          <w:lang w:val="en-US" w:eastAsia="en-US" w:bidi="ar-SA"/>
        </w:rPr>
        <w:cr/>
      </w:r>
    </w:p>
    <w:p>
      <w:pPr>
        <w:spacing w:line="260" w:lineRule="atLeast"/>
        <w:ind w:left="1080"/>
        <w:rPr>
          <w:rFonts w:ascii="arial" w:eastAsia="arial" w:hAnsi="arial" w:cs="arial"/>
          <w:sz w:val="20"/>
          <w:lang w:val="en-US" w:eastAsia="en-US" w:bidi="ar-SA"/>
        </w:rPr>
      </w:pPr>
      <w:r>
        <w:rPr>
          <w:rFonts w:ascii="arial" w:eastAsia="arial" w:hAnsi="arial" w:cs="arial"/>
          <w:b/>
          <w:i/>
          <w:color w:val="000000"/>
          <w:sz w:val="20"/>
          <w:lang w:val="en-US" w:eastAsia="en-US" w:bidi="ar-SA"/>
        </w:rPr>
        <w:t>The Plaintiffs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117</w:t>
      </w:r>
      <w:r>
        <w:rPr>
          <w:rFonts w:ascii="arial" w:eastAsia="arial" w:hAnsi="arial" w:cs="arial"/>
          <w:color w:val="000000"/>
          <w:sz w:val="20"/>
          <w:lang w:val="en-US" w:eastAsia="en-US" w:bidi="ar-SA"/>
        </w:rPr>
        <w:t>  The plaintiffs take great exception to the majority defendants' position that they be denied some or all of their costs of the summary trial. They argue that the majority defendants' position in this regard is reprehensible conduct.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118</w:t>
      </w:r>
      <w:r>
        <w:rPr>
          <w:rFonts w:ascii="arial" w:eastAsia="arial" w:hAnsi="arial" w:cs="arial"/>
          <w:color w:val="000000"/>
          <w:sz w:val="20"/>
          <w:lang w:val="en-US" w:eastAsia="en-US" w:bidi="ar-SA"/>
        </w:rPr>
        <w:t>  They argue that the majority defendants' submission is an unreasonable position. In support of this position, the majority defendants' have made unreasonable and unfounded allegations. They have presented a distorted and misleading account of events in Action #2 as well as prior litigation. They have mischaracterized the plaintiffs' submissions and argue on the basis of incomplete and misleading facts.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119</w:t>
      </w:r>
      <w:r>
        <w:rPr>
          <w:rFonts w:ascii="arial" w:eastAsia="arial" w:hAnsi="arial" w:cs="arial"/>
          <w:color w:val="000000"/>
          <w:sz w:val="20"/>
          <w:lang w:val="en-US" w:eastAsia="en-US" w:bidi="ar-SA"/>
        </w:rPr>
        <w:t>  The plaintiffs assert: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Much of the majority defendants' submissions constitute an unwarranted attacked on the conduct of the plaintiffs based on an incomplete or distorted account of what actually occurred in the litigation.</w:t>
      </w:r>
    </w:p>
    <w:p>
      <w:pPr>
        <w:spacing w:before="120"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Should the Plaintiffs be Denied Costs?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120</w:t>
      </w:r>
      <w:r>
        <w:rPr>
          <w:rFonts w:ascii="arial" w:eastAsia="arial" w:hAnsi="arial" w:cs="arial"/>
          <w:color w:val="000000"/>
          <w:sz w:val="20"/>
          <w:lang w:val="en-US" w:eastAsia="en-US" w:bidi="ar-SA"/>
        </w:rPr>
        <w:t>  I have considered the position of the majority defendants and the affidavits and evidence tendered in support of their argument. I do not consider that this evidence forms a basis to deny the plaintiffs' costs of the summary trial. My findings in this respect mirror my findings with respect to the plaintiffs' special costs application. The plaintiffs did not conduct themselves in a manner that was high handed, unreasonable or discreditable.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121</w:t>
      </w:r>
      <w:r>
        <w:rPr>
          <w:rFonts w:ascii="arial" w:eastAsia="arial" w:hAnsi="arial" w:cs="arial"/>
          <w:color w:val="000000"/>
          <w:sz w:val="20"/>
          <w:lang w:val="en-US" w:eastAsia="en-US" w:bidi="ar-SA"/>
        </w:rPr>
        <w:t>  There is no basis to depart from the usual rule that costs follow the event.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Liability for Costs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Positions of the Parties</w:t>
      </w:r>
    </w:p>
    <w:p>
      <w:pPr>
        <w:spacing w:before="120" w:line="260" w:lineRule="atLeast"/>
        <w:ind w:left="1080"/>
        <w:rPr>
          <w:rFonts w:ascii="arial" w:eastAsia="arial" w:hAnsi="arial" w:cs="arial"/>
          <w:sz w:val="20"/>
          <w:lang w:val="en-US" w:eastAsia="en-US" w:bidi="ar-SA"/>
        </w:rPr>
      </w:pPr>
      <w:r>
        <w:rPr>
          <w:rFonts w:ascii="arial" w:eastAsia="arial" w:hAnsi="arial" w:cs="arial"/>
          <w:b/>
          <w:i/>
          <w:color w:val="000000"/>
          <w:sz w:val="20"/>
          <w:lang w:val="en-US" w:eastAsia="en-US" w:bidi="ar-SA"/>
        </w:rPr>
        <w:t>The Plaintiffs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122</w:t>
      </w:r>
      <w:r>
        <w:rPr>
          <w:rFonts w:ascii="arial" w:eastAsia="arial" w:hAnsi="arial" w:cs="arial"/>
          <w:color w:val="000000"/>
          <w:sz w:val="20"/>
          <w:lang w:val="en-US" w:eastAsia="en-US" w:bidi="ar-SA"/>
        </w:rPr>
        <w:t>  The plaintiffs take the position that the majority defendants must be held jointly liable for costs. The plaintiffs argue that the normal practice in costs awards is to order joint and several liability against the defendants. The plaintiffs submit that where the unsuccessful parties have acted jointly in pursuing their litigation, those parties will be held jointly and severally liable for the successful party's costs. The successful party should not have to bear the burden of pursuing each unsuccessful party for their share of the costs award. The burden falls on the unsuccessful parties to account for the contingency of losing and seek contribution from one another.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123</w:t>
      </w:r>
      <w:r>
        <w:rPr>
          <w:rFonts w:ascii="arial" w:eastAsia="arial" w:hAnsi="arial" w:cs="arial"/>
          <w:color w:val="000000"/>
          <w:sz w:val="20"/>
          <w:lang w:val="en-US" w:eastAsia="en-US" w:bidi="ar-SA"/>
        </w:rPr>
        <w:t>  The plaintiffs submit that the majority defendants conducted the litigation completely in concert. The plaintiffs further argue that they should not assume the burden of recovering against each one of the majority defendants.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124</w:t>
      </w:r>
      <w:r>
        <w:rPr>
          <w:rFonts w:ascii="arial" w:eastAsia="arial" w:hAnsi="arial" w:cs="arial"/>
          <w:color w:val="000000"/>
          <w:sz w:val="20"/>
          <w:lang w:val="en-US" w:eastAsia="en-US" w:bidi="ar-SA"/>
        </w:rPr>
        <w:t>  In reply, the plaintiffs maintained that the majority defendants have not put forward any evidence to support their argument of impecuniosity.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125</w:t>
      </w:r>
      <w:r>
        <w:rPr>
          <w:rFonts w:ascii="arial" w:eastAsia="arial" w:hAnsi="arial" w:cs="arial"/>
          <w:color w:val="000000"/>
          <w:sz w:val="20"/>
          <w:lang w:val="en-US" w:eastAsia="en-US" w:bidi="ar-SA"/>
        </w:rPr>
        <w:t>  The plaintiffs also argued that further justification for ordering joint and several liability arises from the fact that the majority defendants commenced Action #1 and brought cross-claims in Action #2.</w:t>
      </w:r>
      <w:r>
        <w:rPr>
          <w:rFonts w:ascii="arial" w:eastAsia="arial" w:hAnsi="arial" w:cs="arial"/>
          <w:sz w:val="20"/>
          <w:lang w:val="en-US" w:eastAsia="en-US" w:bidi="ar-SA"/>
        </w:rPr>
        <w:cr/>
      </w:r>
    </w:p>
    <w:p>
      <w:pPr>
        <w:spacing w:line="260" w:lineRule="atLeast"/>
        <w:ind w:left="1080"/>
        <w:rPr>
          <w:rFonts w:ascii="arial" w:eastAsia="arial" w:hAnsi="arial" w:cs="arial"/>
          <w:sz w:val="20"/>
          <w:lang w:val="en-US" w:eastAsia="en-US" w:bidi="ar-SA"/>
        </w:rPr>
      </w:pPr>
      <w:r>
        <w:rPr>
          <w:rFonts w:ascii="arial" w:eastAsia="arial" w:hAnsi="arial" w:cs="arial"/>
          <w:b/>
          <w:i/>
          <w:color w:val="000000"/>
          <w:sz w:val="20"/>
          <w:lang w:val="en-US" w:eastAsia="en-US" w:bidi="ar-SA"/>
        </w:rPr>
        <w:t>The Majority Defendants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126</w:t>
      </w:r>
      <w:r>
        <w:rPr>
          <w:rFonts w:ascii="arial" w:eastAsia="arial" w:hAnsi="arial" w:cs="arial"/>
          <w:color w:val="000000"/>
          <w:sz w:val="20"/>
          <w:lang w:val="en-US" w:eastAsia="en-US" w:bidi="ar-SA"/>
        </w:rPr>
        <w:t>  The majority defendants take the position that the Court should exercise its discretion to award costs severally on a "pro-rata" basis to avoid any unfairness resulting from enforcement of the costs award.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127</w:t>
      </w:r>
      <w:r>
        <w:rPr>
          <w:rFonts w:ascii="arial" w:eastAsia="arial" w:hAnsi="arial" w:cs="arial"/>
          <w:color w:val="000000"/>
          <w:sz w:val="20"/>
          <w:lang w:val="en-US" w:eastAsia="en-US" w:bidi="ar-SA"/>
        </w:rPr>
        <w:t>  The majority defendants concede that the normal practice is to order joint and several liability against all defendants for costs. Nevertheless, they argue that in the circumstances, the majority defendants should not assume the burden of litigating amongst themselves over claims of excess amounts paid as there is a real risk of potential unfairness if liability for costs is held to be joint and several. They note that many, if not the majority, of the defendants are of limited means. The costs claims are also of large magnitude.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128</w:t>
      </w:r>
      <w:r>
        <w:rPr>
          <w:rFonts w:ascii="arial" w:eastAsia="arial" w:hAnsi="arial" w:cs="arial"/>
          <w:color w:val="000000"/>
          <w:sz w:val="20"/>
          <w:lang w:val="en-US" w:eastAsia="en-US" w:bidi="ar-SA"/>
        </w:rPr>
        <w:t>  At all times, the majority defendants were in the position of defending a claim, even though they commenced Action #1 and brought cross-claims in Action #2.</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129</w:t>
      </w:r>
      <w:r>
        <w:rPr>
          <w:rFonts w:ascii="arial" w:eastAsia="arial" w:hAnsi="arial" w:cs="arial"/>
          <w:color w:val="000000"/>
          <w:sz w:val="20"/>
          <w:lang w:val="en-US" w:eastAsia="en-US" w:bidi="ar-SA"/>
        </w:rPr>
        <w:t>  The majority defendants propose that the Court apportion costs severally on a pro rata basis consistent with the respective leasehold interests of the majority defendants. This approach would be consistent with how the plaintiffs have charged the leaseholders' operating expenses historically and how judgment was granted on Westsea's debt claim, referring to my reasons at paras. 319 and 322.</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Should the Majority Defendants be Held Jointly Liable for Costs?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130</w:t>
      </w:r>
      <w:r>
        <w:rPr>
          <w:rFonts w:ascii="arial" w:eastAsia="arial" w:hAnsi="arial" w:cs="arial"/>
          <w:color w:val="000000"/>
          <w:sz w:val="20"/>
          <w:lang w:val="en-US" w:eastAsia="en-US" w:bidi="ar-SA"/>
        </w:rPr>
        <w:t>  Despite the position of both the plaintiffs and the defendants, it is not so clear to me that the "usual" rule is that defendants are held jointly and severally liable for costs.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131</w:t>
      </w:r>
      <w:r>
        <w:rPr>
          <w:rFonts w:ascii="arial" w:eastAsia="arial" w:hAnsi="arial" w:cs="arial"/>
          <w:color w:val="000000"/>
          <w:sz w:val="20"/>
          <w:lang w:val="en-US" w:eastAsia="en-US" w:bidi="ar-SA"/>
        </w:rPr>
        <w:t xml:space="preserve">  I note Mark Orkin's text, </w:t>
      </w:r>
      <w:r>
        <w:rPr>
          <w:rFonts w:ascii="arial" w:eastAsia="arial" w:hAnsi="arial" w:cs="arial"/>
          <w:i/>
          <w:color w:val="000000"/>
          <w:sz w:val="20"/>
          <w:lang w:val="en-US" w:eastAsia="en-US" w:bidi="ar-SA"/>
        </w:rPr>
        <w:t>The Law of Costs</w:t>
      </w:r>
      <w:r>
        <w:rPr>
          <w:rFonts w:ascii="arial" w:eastAsia="arial" w:hAnsi="arial" w:cs="arial"/>
          <w:color w:val="000000"/>
          <w:sz w:val="20"/>
          <w:lang w:val="en-US" w:eastAsia="en-US" w:bidi="ar-SA"/>
        </w:rPr>
        <w:t>, 2nd ed., vol. 1 (Toronto: Canada Law Book, 2013) at 2-116 states that typically, costs are apportioned among defendants in the same proportion as their liability for damages. The court may apportion costs between defendants on the same ratio as the apportionment of liability. The court may also order joint and several liability.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132</w:t>
      </w:r>
      <w:r>
        <w:rPr>
          <w:rFonts w:ascii="arial" w:eastAsia="arial" w:hAnsi="arial" w:cs="arial"/>
          <w:color w:val="000000"/>
          <w:sz w:val="20"/>
          <w:lang w:val="en-US" w:eastAsia="en-US" w:bidi="ar-SA"/>
        </w:rPr>
        <w:t xml:space="preserve">  This statement of the law is different from that found in the short reasons delivered in </w:t>
      </w:r>
      <w:r>
        <w:rPr>
          <w:rFonts w:ascii="arial" w:eastAsia="arial" w:hAnsi="arial" w:cs="arial"/>
          <w:i/>
          <w:color w:val="000000"/>
          <w:sz w:val="20"/>
          <w:lang w:val="en-US" w:eastAsia="en-US" w:bidi="ar-SA"/>
        </w:rPr>
        <w:t>Pressler v. Lethbridge</w:t>
      </w:r>
      <w:r>
        <w:rPr>
          <w:rFonts w:ascii="arial" w:eastAsia="arial" w:hAnsi="arial" w:cs="arial"/>
          <w:color w:val="000000"/>
          <w:sz w:val="20"/>
          <w:lang w:val="en-US" w:eastAsia="en-US" w:bidi="ar-SA"/>
        </w:rPr>
        <w:t xml:space="preserve">, </w:t>
      </w:r>
      <w:hyperlink r:id="rId791" w:history="1">
        <w:r>
          <w:rPr>
            <w:rFonts w:ascii="arial" w:eastAsia="arial" w:hAnsi="arial" w:cs="arial"/>
            <w:i/>
            <w:color w:val="0077CC"/>
            <w:sz w:val="20"/>
            <w:u w:val="single"/>
            <w:shd w:val="clear" w:color="auto" w:fill="FFFFFF"/>
            <w:lang w:val="en-US" w:eastAsia="en-US" w:bidi="ar-SA"/>
          </w:rPr>
          <w:t>2001 BCSC 694</w:t>
        </w:r>
      </w:hyperlink>
      <w:r>
        <w:rPr>
          <w:rFonts w:ascii="arial" w:eastAsia="arial" w:hAnsi="arial" w:cs="arial"/>
          <w:color w:val="000000"/>
          <w:sz w:val="20"/>
          <w:lang w:val="en-US" w:eastAsia="en-US" w:bidi="ar-SA"/>
        </w:rPr>
        <w:t xml:space="preserve">, where the court held that it was normal practice for the court to order joint and several liability against defendants for costs (para. 11). Three other decisions of our court have followed </w:t>
      </w:r>
      <w:r>
        <w:rPr>
          <w:rFonts w:ascii="arial" w:eastAsia="arial" w:hAnsi="arial" w:cs="arial"/>
          <w:i/>
          <w:color w:val="000000"/>
          <w:sz w:val="20"/>
          <w:lang w:val="en-US" w:eastAsia="en-US" w:bidi="ar-SA"/>
        </w:rPr>
        <w:t>Pressler.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133</w:t>
      </w:r>
      <w:r>
        <w:rPr>
          <w:rFonts w:ascii="arial" w:eastAsia="arial" w:hAnsi="arial" w:cs="arial"/>
          <w:color w:val="000000"/>
          <w:sz w:val="20"/>
          <w:lang w:val="en-US" w:eastAsia="en-US" w:bidi="ar-SA"/>
        </w:rPr>
        <w:t xml:space="preserve">  The British Columbia Court of Appeal in </w:t>
      </w:r>
      <w:r>
        <w:rPr>
          <w:rFonts w:ascii="arial" w:eastAsia="arial" w:hAnsi="arial" w:cs="arial"/>
          <w:i/>
          <w:color w:val="000000"/>
          <w:sz w:val="20"/>
          <w:lang w:val="en-US" w:eastAsia="en-US" w:bidi="ar-SA"/>
        </w:rPr>
        <w:t>Giles v. Westminster Savings and Credit Union</w:t>
      </w:r>
      <w:r>
        <w:rPr>
          <w:rFonts w:ascii="arial" w:eastAsia="arial" w:hAnsi="arial" w:cs="arial"/>
          <w:color w:val="000000"/>
          <w:sz w:val="20"/>
          <w:lang w:val="en-US" w:eastAsia="en-US" w:bidi="ar-SA"/>
        </w:rPr>
        <w:t xml:space="preserve">, </w:t>
      </w:r>
      <w:hyperlink r:id="rId792" w:history="1">
        <w:r>
          <w:rPr>
            <w:rFonts w:ascii="arial" w:eastAsia="arial" w:hAnsi="arial" w:cs="arial"/>
            <w:i/>
            <w:color w:val="0077CC"/>
            <w:sz w:val="20"/>
            <w:u w:val="single"/>
            <w:shd w:val="clear" w:color="auto" w:fill="FFFFFF"/>
            <w:lang w:val="en-US" w:eastAsia="en-US" w:bidi="ar-SA"/>
          </w:rPr>
          <w:t>2010 BCCA 282</w:t>
        </w:r>
      </w:hyperlink>
      <w:r>
        <w:rPr>
          <w:rFonts w:ascii="arial" w:eastAsia="arial" w:hAnsi="arial" w:cs="arial"/>
          <w:color w:val="000000"/>
          <w:sz w:val="20"/>
          <w:lang w:val="en-US" w:eastAsia="en-US" w:bidi="ar-SA"/>
        </w:rPr>
        <w:t xml:space="preserve"> affirmed that this was the "usual" rule with respect to plaintiffs, without going so far as to extend this rule to defendants as well (para. 92). The Court of Appeal in </w:t>
      </w:r>
      <w:r>
        <w:rPr>
          <w:rFonts w:ascii="arial" w:eastAsia="arial" w:hAnsi="arial" w:cs="arial"/>
          <w:i/>
          <w:color w:val="000000"/>
          <w:sz w:val="20"/>
          <w:lang w:val="en-US" w:eastAsia="en-US" w:bidi="ar-SA"/>
        </w:rPr>
        <w:t>Giles</w:t>
      </w:r>
      <w:r>
        <w:rPr>
          <w:rFonts w:ascii="arial" w:eastAsia="arial" w:hAnsi="arial" w:cs="arial"/>
          <w:color w:val="000000"/>
          <w:sz w:val="20"/>
          <w:lang w:val="en-US" w:eastAsia="en-US" w:bidi="ar-SA"/>
        </w:rPr>
        <w:t xml:space="preserve"> affirmed the approach set out in </w:t>
      </w:r>
      <w:r>
        <w:rPr>
          <w:rFonts w:ascii="arial" w:eastAsia="arial" w:hAnsi="arial" w:cs="arial"/>
          <w:i/>
          <w:color w:val="000000"/>
          <w:sz w:val="20"/>
          <w:lang w:val="en-US" w:eastAsia="en-US" w:bidi="ar-SA"/>
        </w:rPr>
        <w:t>King v. On-Stream, Natural Gas Management Inc</w:t>
      </w:r>
      <w:r>
        <w:rPr>
          <w:rFonts w:ascii="arial" w:eastAsia="arial" w:hAnsi="arial" w:cs="arial"/>
          <w:color w:val="000000"/>
          <w:sz w:val="20"/>
          <w:lang w:val="en-US" w:eastAsia="en-US" w:bidi="ar-SA"/>
        </w:rPr>
        <w:t xml:space="preserve">. </w:t>
      </w:r>
      <w:hyperlink r:id="rId793" w:history="1">
        <w:r>
          <w:rPr>
            <w:rFonts w:ascii="arial" w:eastAsia="arial" w:hAnsi="arial" w:cs="arial"/>
            <w:i/>
            <w:color w:val="0077CC"/>
            <w:sz w:val="20"/>
            <w:u w:val="single"/>
            <w:shd w:val="clear" w:color="auto" w:fill="FFFFFF"/>
            <w:lang w:val="en-US" w:eastAsia="en-US" w:bidi="ar-SA"/>
          </w:rPr>
          <w:t>(1993), 21 C.P.C. (3d) 16</w:t>
        </w:r>
      </w:hyperlink>
      <w:r>
        <w:rPr>
          <w:rFonts w:ascii="arial" w:eastAsia="arial" w:hAnsi="arial" w:cs="arial"/>
          <w:color w:val="000000"/>
          <w:sz w:val="20"/>
          <w:lang w:val="en-US" w:eastAsia="en-US" w:bidi="ar-SA"/>
        </w:rPr>
        <w:t xml:space="preserve"> (B.C.S.C.) for determining whether to depart from the usual rule with respect to unsuccessful plaintiffs. In that decision, Mr. Justice Shaw held, in relevant part: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[18] I think the first point to consider is whether the plaintiffs in bringing this action acted jointly against the Bank. In my view they did. They clearly supported each other in the venture of the court action. The counsel they retained acted for all of them. The goal of imposing liability on the Bank was common to all the plaintiffs. It follows, in my view, that any liability that may be imposed upon the plaintiffs for costs should be joint and several liability, unless there is reason why the court, in the exercise of its discretion, should order otherwise.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[21] In the case before me the "event" was won by the bank and lost by the 92 plaintiffs. As I said above, I think it follows from the fact that the plaintiffs acted jointly against the bank, that the plaintiffs are each jointly and severally liable for the bank's costs, unless this court orders otherwise. The discretion to order otherwise must, of course, be exercised judicially.</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[24] I agree with the bank's position. I do not think that the bank, having won the action, should be obliged to undertake proceedings against 92 separate parties, each for a minor portion of the costs. The trouble and the risk should, in my view, rest with the plaintiffs who acted jointly and lost the action. They had to organize themselves when they commenced the action. In doing so, they will have had the opportunity to address the risk of what lay ahead and to provide for the contingency of losing. As between themselves they have at law rights of contribution from each other which can, if exercised, reduce the financial outlay of any plaintiff who may be called upon by the bank to pay some or all of its costs. When I consider whether the burden of enforcing contribution by each individual plaintiff should rest upon the bank or upon the plaintiffs, I conclude that the plaintiffs as the losing parties should bear the burden.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134</w:t>
      </w:r>
      <w:r>
        <w:rPr>
          <w:rFonts w:ascii="arial" w:eastAsia="arial" w:hAnsi="arial" w:cs="arial"/>
          <w:color w:val="000000"/>
          <w:sz w:val="20"/>
          <w:lang w:val="en-US" w:eastAsia="en-US" w:bidi="ar-SA"/>
        </w:rPr>
        <w:t xml:space="preserve">  The majority defendants relied on </w:t>
      </w:r>
      <w:r>
        <w:rPr>
          <w:rFonts w:ascii="arial" w:eastAsia="arial" w:hAnsi="arial" w:cs="arial"/>
          <w:i/>
          <w:color w:val="000000"/>
          <w:sz w:val="20"/>
          <w:lang w:val="en-US" w:eastAsia="en-US" w:bidi="ar-SA"/>
        </w:rPr>
        <w:t>Amacon Property Management Services Inc. v. Dutt</w:t>
      </w:r>
      <w:r>
        <w:rPr>
          <w:rFonts w:ascii="arial" w:eastAsia="arial" w:hAnsi="arial" w:cs="arial"/>
          <w:color w:val="000000"/>
          <w:sz w:val="20"/>
          <w:lang w:val="en-US" w:eastAsia="en-US" w:bidi="ar-SA"/>
        </w:rPr>
        <w:t xml:space="preserve">, </w:t>
      </w:r>
      <w:hyperlink r:id="rId794" w:history="1">
        <w:r>
          <w:rPr>
            <w:rFonts w:ascii="arial" w:eastAsia="arial" w:hAnsi="arial" w:cs="arial"/>
            <w:i/>
            <w:color w:val="0077CC"/>
            <w:sz w:val="20"/>
            <w:u w:val="single"/>
            <w:shd w:val="clear" w:color="auto" w:fill="FFFFFF"/>
            <w:lang w:val="en-US" w:eastAsia="en-US" w:bidi="ar-SA"/>
          </w:rPr>
          <w:t>2011 BCSC 181</w:t>
        </w:r>
      </w:hyperlink>
      <w:r>
        <w:rPr>
          <w:rFonts w:ascii="arial" w:eastAsia="arial" w:hAnsi="arial" w:cs="arial"/>
          <w:color w:val="000000"/>
          <w:sz w:val="20"/>
          <w:lang w:val="en-US" w:eastAsia="en-US" w:bidi="ar-SA"/>
        </w:rPr>
        <w:t xml:space="preserve">, which addressed a claim for joint and several liability against plaintiff tenants. A noteworthy case relied upon by the court in departing from the usual rule is </w:t>
      </w:r>
      <w:r>
        <w:rPr>
          <w:rFonts w:ascii="arial" w:eastAsia="arial" w:hAnsi="arial" w:cs="arial"/>
          <w:i/>
          <w:color w:val="000000"/>
          <w:sz w:val="20"/>
          <w:lang w:val="en-US" w:eastAsia="en-US" w:bidi="ar-SA"/>
        </w:rPr>
        <w:t>Empire Life Insurance Co. v. Krystal Holdings Inc</w:t>
      </w:r>
      <w:r>
        <w:rPr>
          <w:rFonts w:ascii="arial" w:eastAsia="arial" w:hAnsi="arial" w:cs="arial"/>
          <w:color w:val="000000"/>
          <w:sz w:val="20"/>
          <w:lang w:val="en-US" w:eastAsia="en-US" w:bidi="ar-SA"/>
        </w:rPr>
        <w:t xml:space="preserve">., </w:t>
      </w:r>
      <w:hyperlink r:id="rId795" w:history="1">
        <w:r>
          <w:rPr>
            <w:rFonts w:ascii="arial" w:eastAsia="arial" w:hAnsi="arial" w:cs="arial"/>
            <w:i/>
            <w:color w:val="0077CC"/>
            <w:sz w:val="20"/>
            <w:u w:val="single"/>
            <w:shd w:val="clear" w:color="auto" w:fill="FFFFFF"/>
            <w:lang w:val="en-US" w:eastAsia="en-US" w:bidi="ar-SA"/>
          </w:rPr>
          <w:t>[2009] O.J. No. 1095</w:t>
        </w:r>
      </w:hyperlink>
      <w:r>
        <w:rPr>
          <w:rFonts w:ascii="arial" w:eastAsia="arial" w:hAnsi="arial" w:cs="arial"/>
          <w:color w:val="000000"/>
          <w:sz w:val="20"/>
          <w:lang w:val="en-US" w:eastAsia="en-US" w:bidi="ar-SA"/>
        </w:rPr>
        <w:t xml:space="preserve">, </w:t>
      </w:r>
      <w:hyperlink r:id="rId795" w:history="1">
        <w:r>
          <w:rPr>
            <w:rFonts w:ascii="arial" w:eastAsia="arial" w:hAnsi="arial" w:cs="arial"/>
            <w:i/>
            <w:color w:val="0077CC"/>
            <w:sz w:val="20"/>
            <w:u w:val="single"/>
            <w:shd w:val="clear" w:color="auto" w:fill="FFFFFF"/>
            <w:lang w:val="en-US" w:eastAsia="en-US" w:bidi="ar-SA"/>
          </w:rPr>
          <w:t>2009 CarswellOnt 1376</w:t>
        </w:r>
      </w:hyperlink>
      <w:r>
        <w:rPr>
          <w:rFonts w:ascii="arial" w:eastAsia="arial" w:hAnsi="arial" w:cs="arial"/>
          <w:color w:val="000000"/>
          <w:sz w:val="20"/>
          <w:lang w:val="en-US" w:eastAsia="en-US" w:bidi="ar-SA"/>
        </w:rPr>
        <w:t xml:space="preserve"> (S.C.), in which the Ontario Superior Court of Justice held: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41</w:t>
      </w:r>
      <w:r>
        <w:rPr>
          <w:rFonts w:ascii="arial" w:eastAsia="arial" w:hAnsi="arial" w:cs="arial"/>
          <w:color w:val="000000"/>
          <w:sz w:val="20"/>
          <w:lang w:val="en-US" w:eastAsia="en-US" w:bidi="ar-SA"/>
        </w:rPr>
        <w:t xml:space="preserve"> In the case of </w:t>
      </w:r>
      <w:r>
        <w:rPr>
          <w:rFonts w:ascii="arial" w:eastAsia="arial" w:hAnsi="arial" w:cs="arial"/>
          <w:i/>
          <w:color w:val="000000"/>
          <w:sz w:val="20"/>
          <w:lang w:val="en-US" w:eastAsia="en-US" w:bidi="ar-SA"/>
        </w:rPr>
        <w:t xml:space="preserve">Society of Lloyd's v. Saunders, </w:t>
      </w:r>
      <w:hyperlink r:id="rId796" w:history="1">
        <w:r>
          <w:rPr>
            <w:rFonts w:ascii="arial" w:eastAsia="arial" w:hAnsi="arial" w:cs="arial"/>
            <w:i/>
            <w:color w:val="0077CC"/>
            <w:sz w:val="20"/>
            <w:u w:val="single"/>
            <w:shd w:val="clear" w:color="auto" w:fill="FFFFFF"/>
            <w:lang w:val="en-US" w:eastAsia="en-US" w:bidi="ar-SA"/>
          </w:rPr>
          <w:t>[2001] O.J. No. 5144</w:t>
        </w:r>
      </w:hyperlink>
      <w:r>
        <w:rPr>
          <w:rFonts w:ascii="arial" w:eastAsia="arial" w:hAnsi="arial" w:cs="arial"/>
          <w:i/>
          <w:color w:val="000000"/>
          <w:sz w:val="20"/>
          <w:lang w:val="en-US" w:eastAsia="en-US" w:bidi="ar-SA"/>
        </w:rPr>
        <w:t>, supra</w:t>
      </w:r>
      <w:r>
        <w:rPr>
          <w:rFonts w:ascii="arial" w:eastAsia="arial" w:hAnsi="arial" w:cs="arial"/>
          <w:color w:val="000000"/>
          <w:sz w:val="20"/>
          <w:lang w:val="en-US" w:eastAsia="en-US" w:bidi="ar-SA"/>
        </w:rPr>
        <w:t xml:space="preserve"> at para. 5, the respondent argued that a joint and several award was justified because the appellants had joined together and were represented by the same counsel, and an unfairness would result if the Society of Lloyd's was compelled to pursue each appellant for their share of the costs. The Court of Appeal stated:</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costs against the appellants should be on a several basis, pro rata, not joint and several. Although the appellants joined together, they were defending a claim, not bringing one, as in the cases of </w:t>
      </w:r>
      <w:r>
        <w:rPr>
          <w:rFonts w:ascii="arial" w:eastAsia="arial" w:hAnsi="arial" w:cs="arial"/>
          <w:i/>
          <w:color w:val="000000"/>
          <w:sz w:val="20"/>
          <w:lang w:val="en-US" w:eastAsia="en-US" w:bidi="ar-SA"/>
        </w:rPr>
        <w:t>King v. On-Stream Natural Gas Management Inc</w:t>
      </w:r>
      <w:r>
        <w:rPr>
          <w:rFonts w:ascii="arial" w:eastAsia="arial" w:hAnsi="arial" w:cs="arial"/>
          <w:color w:val="000000"/>
          <w:sz w:val="20"/>
          <w:lang w:val="en-US" w:eastAsia="en-US" w:bidi="ar-SA"/>
        </w:rPr>
        <w:t xml:space="preserve">. </w:t>
      </w:r>
      <w:hyperlink r:id="rId793" w:history="1">
        <w:r>
          <w:rPr>
            <w:rFonts w:ascii="arial" w:eastAsia="arial" w:hAnsi="arial" w:cs="arial"/>
            <w:i/>
            <w:color w:val="0077CC"/>
            <w:sz w:val="20"/>
            <w:u w:val="single"/>
            <w:shd w:val="clear" w:color="auto" w:fill="FFFFFF"/>
            <w:lang w:val="en-US" w:eastAsia="en-US" w:bidi="ar-SA"/>
          </w:rPr>
          <w:t>(1993), 21 C.P.C. (3d) 16</w:t>
        </w:r>
      </w:hyperlink>
      <w:r>
        <w:rPr>
          <w:rFonts w:ascii="arial" w:eastAsia="arial" w:hAnsi="arial" w:cs="arial"/>
          <w:color w:val="000000"/>
          <w:sz w:val="20"/>
          <w:lang w:val="en-US" w:eastAsia="en-US" w:bidi="ar-SA"/>
        </w:rPr>
        <w:t xml:space="preserve"> (B.C.S.C.), </w:t>
      </w:r>
      <w:r>
        <w:rPr>
          <w:rFonts w:ascii="arial" w:eastAsia="arial" w:hAnsi="arial" w:cs="arial"/>
          <w:i/>
          <w:color w:val="000000"/>
          <w:sz w:val="20"/>
          <w:lang w:val="en-US" w:eastAsia="en-US" w:bidi="ar-SA"/>
        </w:rPr>
        <w:t>Lui v. Sung</w:t>
      </w:r>
      <w:r>
        <w:rPr>
          <w:rFonts w:ascii="arial" w:eastAsia="arial" w:hAnsi="arial" w:cs="arial"/>
          <w:color w:val="000000"/>
          <w:sz w:val="20"/>
          <w:lang w:val="en-US" w:eastAsia="en-US" w:bidi="ar-SA"/>
        </w:rPr>
        <w:t xml:space="preserve"> </w:t>
      </w:r>
      <w:hyperlink r:id="rId797" w:history="1">
        <w:r>
          <w:rPr>
            <w:rFonts w:ascii="arial" w:eastAsia="arial" w:hAnsi="arial" w:cs="arial"/>
            <w:i/>
            <w:color w:val="0077CC"/>
            <w:sz w:val="20"/>
            <w:u w:val="single"/>
            <w:shd w:val="clear" w:color="auto" w:fill="FFFFFF"/>
            <w:lang w:val="en-US" w:eastAsia="en-US" w:bidi="ar-SA"/>
          </w:rPr>
          <w:t>(1995), 37 C.P.C. (3d) 44</w:t>
        </w:r>
      </w:hyperlink>
      <w:r>
        <w:rPr>
          <w:rFonts w:ascii="arial" w:eastAsia="arial" w:hAnsi="arial" w:cs="arial"/>
          <w:color w:val="000000"/>
          <w:sz w:val="20"/>
          <w:lang w:val="en-US" w:eastAsia="en-US" w:bidi="ar-SA"/>
        </w:rPr>
        <w:t xml:space="preserve"> (B.C.S.C.) and </w:t>
      </w:r>
      <w:r>
        <w:rPr>
          <w:rFonts w:ascii="arial" w:eastAsia="arial" w:hAnsi="arial" w:cs="arial"/>
          <w:i/>
          <w:color w:val="000000"/>
          <w:sz w:val="20"/>
          <w:lang w:val="en-US" w:eastAsia="en-US" w:bidi="ar-SA"/>
        </w:rPr>
        <w:t>Filipovic v. Upshall</w:t>
      </w:r>
      <w:r>
        <w:rPr>
          <w:rFonts w:ascii="arial" w:eastAsia="arial" w:hAnsi="arial" w:cs="arial"/>
          <w:color w:val="000000"/>
          <w:sz w:val="20"/>
          <w:lang w:val="en-US" w:eastAsia="en-US" w:bidi="ar-SA"/>
        </w:rPr>
        <w:t xml:space="preserve">, </w:t>
      </w:r>
      <w:hyperlink r:id="rId798" w:history="1">
        <w:r>
          <w:rPr>
            <w:rFonts w:ascii="arial" w:eastAsia="arial" w:hAnsi="arial" w:cs="arial"/>
            <w:i/>
            <w:color w:val="0077CC"/>
            <w:sz w:val="20"/>
            <w:u w:val="single"/>
            <w:shd w:val="clear" w:color="auto" w:fill="FFFFFF"/>
            <w:lang w:val="en-US" w:eastAsia="en-US" w:bidi="ar-SA"/>
          </w:rPr>
          <w:t>[1998] O.J. No. 4498</w:t>
        </w:r>
      </w:hyperlink>
      <w:r>
        <w:rPr>
          <w:rFonts w:ascii="arial" w:eastAsia="arial" w:hAnsi="arial" w:cs="arial"/>
          <w:color w:val="000000"/>
          <w:sz w:val="20"/>
          <w:lang w:val="en-US" w:eastAsia="en-US" w:bidi="ar-SA"/>
        </w:rPr>
        <w:t xml:space="preserve"> (Gen Div.). In </w:t>
      </w:r>
      <w:r>
        <w:rPr>
          <w:rFonts w:ascii="arial" w:eastAsia="arial" w:hAnsi="arial" w:cs="arial"/>
          <w:i/>
          <w:color w:val="000000"/>
          <w:sz w:val="20"/>
          <w:lang w:val="en-US" w:eastAsia="en-US" w:bidi="ar-SA"/>
        </w:rPr>
        <w:t>Bosse v. Mastercraft Group Inc</w:t>
      </w:r>
      <w:r>
        <w:rPr>
          <w:rFonts w:ascii="arial" w:eastAsia="arial" w:hAnsi="arial" w:cs="arial"/>
          <w:color w:val="000000"/>
          <w:sz w:val="20"/>
          <w:lang w:val="en-US" w:eastAsia="en-US" w:bidi="ar-SA"/>
        </w:rPr>
        <w:t xml:space="preserve">. </w:t>
      </w:r>
      <w:hyperlink r:id="rId799" w:history="1">
        <w:r>
          <w:rPr>
            <w:rFonts w:ascii="arial" w:eastAsia="arial" w:hAnsi="arial" w:cs="arial"/>
            <w:i/>
            <w:color w:val="0077CC"/>
            <w:sz w:val="20"/>
            <w:u w:val="single"/>
            <w:shd w:val="clear" w:color="auto" w:fill="FFFFFF"/>
            <w:lang w:val="en-US" w:eastAsia="en-US" w:bidi="ar-SA"/>
          </w:rPr>
          <w:t>(1995), 123 D.L.R. (4th) 161</w:t>
        </w:r>
      </w:hyperlink>
      <w:r>
        <w:rPr>
          <w:rFonts w:ascii="arial" w:eastAsia="arial" w:hAnsi="arial" w:cs="arial"/>
          <w:color w:val="000000"/>
          <w:sz w:val="20"/>
          <w:lang w:val="en-US" w:eastAsia="en-US" w:bidi="ar-SA"/>
        </w:rPr>
        <w:t xml:space="preserve"> (Ont. C.A.), where a joint and several order of costs was made against the plaintiffs who were defendants by counterclaim on a successful motion for summary judgment, the order was only made on consent, and in giving effect to that consent, this court noted how onerous and potentially unfair it could be. In my view, there is no basis for the appellants to be penalized with an unusually onerous costs order in this case.</w:t>
      </w:r>
    </w:p>
    <w:p>
      <w:pPr>
        <w:spacing w:before="120"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42</w:t>
      </w:r>
      <w:r>
        <w:rPr>
          <w:rFonts w:ascii="arial" w:eastAsia="arial" w:hAnsi="arial" w:cs="arial"/>
          <w:color w:val="000000"/>
          <w:sz w:val="20"/>
          <w:lang w:val="en-US" w:eastAsia="en-US" w:bidi="ar-SA"/>
        </w:rPr>
        <w:t xml:space="preserve"> In my view, the Court of Appeal has clearly signalled that applications for joint and several orders of costs in cases such as the one before me should be carefully scrutinized because they may well cause unfairness and impose an onerous burden on individual defendants. I also note the case of </w:t>
      </w:r>
      <w:r>
        <w:rPr>
          <w:rFonts w:ascii="arial" w:eastAsia="arial" w:hAnsi="arial" w:cs="arial"/>
          <w:i/>
          <w:color w:val="000000"/>
          <w:sz w:val="20"/>
          <w:lang w:val="en-US" w:eastAsia="en-US" w:bidi="ar-SA"/>
        </w:rPr>
        <w:t>Martens v. Acheson</w:t>
      </w:r>
      <w:r>
        <w:rPr>
          <w:rFonts w:ascii="arial" w:eastAsia="arial" w:hAnsi="arial" w:cs="arial"/>
          <w:color w:val="000000"/>
          <w:sz w:val="20"/>
          <w:lang w:val="en-US" w:eastAsia="en-US" w:bidi="ar-SA"/>
        </w:rPr>
        <w:t xml:space="preserve">, </w:t>
      </w:r>
      <w:hyperlink r:id="rId800" w:history="1">
        <w:r>
          <w:rPr>
            <w:rFonts w:ascii="arial" w:eastAsia="arial" w:hAnsi="arial" w:cs="arial"/>
            <w:i/>
            <w:color w:val="0077CC"/>
            <w:sz w:val="20"/>
            <w:u w:val="single"/>
            <w:shd w:val="clear" w:color="auto" w:fill="FFFFFF"/>
            <w:lang w:val="en-US" w:eastAsia="en-US" w:bidi="ar-SA"/>
          </w:rPr>
          <w:t>[1999] B.C.J. No. 2968</w:t>
        </w:r>
      </w:hyperlink>
      <w:r>
        <w:rPr>
          <w:rFonts w:ascii="arial" w:eastAsia="arial" w:hAnsi="arial" w:cs="arial"/>
          <w:color w:val="000000"/>
          <w:sz w:val="20"/>
          <w:lang w:val="en-US" w:eastAsia="en-US" w:bidi="ar-SA"/>
        </w:rPr>
        <w:t xml:space="preserve"> (B.C.S.C.) a similar situation to the one before me. In </w:t>
      </w:r>
      <w:r>
        <w:rPr>
          <w:rFonts w:ascii="arial" w:eastAsia="arial" w:hAnsi="arial" w:cs="arial"/>
          <w:i/>
          <w:color w:val="000000"/>
          <w:sz w:val="20"/>
          <w:lang w:val="en-US" w:eastAsia="en-US" w:bidi="ar-SA"/>
        </w:rPr>
        <w:t>Martens v. Acheson</w:t>
      </w:r>
      <w:r>
        <w:rPr>
          <w:rFonts w:ascii="arial" w:eastAsia="arial" w:hAnsi="arial" w:cs="arial"/>
          <w:color w:val="000000"/>
          <w:sz w:val="20"/>
          <w:lang w:val="en-US" w:eastAsia="en-US" w:bidi="ar-SA"/>
        </w:rPr>
        <w:t xml:space="preserve">, the plaintiffs sued the defendants as purchasers of certain units in a real estate venture. The cause of action was the same against all of the defendants, but for varying amounts, as some of the defendants had purchased more units than other defendants. It was argued that costs should be awarded on a joint and several basis. With reference to </w:t>
      </w:r>
      <w:r>
        <w:rPr>
          <w:rFonts w:ascii="arial" w:eastAsia="arial" w:hAnsi="arial" w:cs="arial"/>
          <w:i/>
          <w:color w:val="000000"/>
          <w:sz w:val="20"/>
          <w:lang w:val="en-US" w:eastAsia="en-US" w:bidi="ar-SA"/>
        </w:rPr>
        <w:t>Alberta Opportunity Co. v. Schinnour</w:t>
      </w:r>
      <w:r>
        <w:rPr>
          <w:rFonts w:ascii="arial" w:eastAsia="arial" w:hAnsi="arial" w:cs="arial"/>
          <w:color w:val="000000"/>
          <w:sz w:val="20"/>
          <w:lang w:val="en-US" w:eastAsia="en-US" w:bidi="ar-SA"/>
        </w:rPr>
        <w:t xml:space="preserve"> (1991), </w:t>
      </w:r>
      <w:hyperlink r:id="rId801" w:history="1">
        <w:r>
          <w:rPr>
            <w:rFonts w:ascii="arial" w:eastAsia="arial" w:hAnsi="arial" w:cs="arial"/>
            <w:i/>
            <w:color w:val="0077CC"/>
            <w:sz w:val="20"/>
            <w:u w:val="single"/>
            <w:shd w:val="clear" w:color="auto" w:fill="FFFFFF"/>
            <w:lang w:val="en-US" w:eastAsia="en-US" w:bidi="ar-SA"/>
          </w:rPr>
          <w:t>84 Alta. L.R. (2d) 198</w:t>
        </w:r>
      </w:hyperlink>
      <w:r>
        <w:rPr>
          <w:rFonts w:ascii="arial" w:eastAsia="arial" w:hAnsi="arial" w:cs="arial"/>
          <w:color w:val="000000"/>
          <w:sz w:val="20"/>
          <w:lang w:val="en-US" w:eastAsia="en-US" w:bidi="ar-SA"/>
        </w:rPr>
        <w:t xml:space="preserve"> (C.A.) Justice Skipp concluded that the costs should be apportioned severally and pro rata amongst the defendants.</w:t>
      </w:r>
    </w:p>
    <w:p>
      <w:pPr>
        <w:spacing w:before="120"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43</w:t>
      </w:r>
      <w:r>
        <w:rPr>
          <w:rFonts w:ascii="arial" w:eastAsia="arial" w:hAnsi="arial" w:cs="arial"/>
          <w:color w:val="000000"/>
          <w:sz w:val="20"/>
          <w:lang w:val="en-US" w:eastAsia="en-US" w:bidi="ar-SA"/>
        </w:rPr>
        <w:t xml:space="preserve"> I find that to award costs on a joint and several basis would create an unfair, disproportionate burden on the defendants, in contravention of the principle of proportionality. Rule 57.01(1)(0.b) and (a) together with </w:t>
      </w:r>
      <w:r>
        <w:rPr>
          <w:rFonts w:ascii="arial" w:eastAsia="arial" w:hAnsi="arial" w:cs="arial"/>
          <w:i/>
          <w:color w:val="000000"/>
          <w:sz w:val="20"/>
          <w:lang w:val="en-US" w:eastAsia="en-US" w:bidi="ar-SA"/>
        </w:rPr>
        <w:t>Boucher, supra</w:t>
      </w:r>
      <w:r>
        <w:rPr>
          <w:rFonts w:ascii="arial" w:eastAsia="arial" w:hAnsi="arial" w:cs="arial"/>
          <w:color w:val="000000"/>
          <w:sz w:val="20"/>
          <w:lang w:val="en-US" w:eastAsia="en-US" w:bidi="ar-SA"/>
        </w:rPr>
        <w:t>, make it clear that proportionality is a key principle in the awarding of costs. The average deficiency claim against a limited partner is approximately $25,000 plus accrued interest. If the costs award were awarded on a joint and several basis, each of the defendant's liability for costs could be roughly 20 times greater.</w:t>
      </w:r>
    </w:p>
    <w:p>
      <w:pPr>
        <w:spacing w:before="120"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44</w:t>
      </w:r>
      <w:r>
        <w:rPr>
          <w:rFonts w:ascii="arial" w:eastAsia="arial" w:hAnsi="arial" w:cs="arial"/>
          <w:color w:val="000000"/>
          <w:sz w:val="20"/>
          <w:lang w:val="en-US" w:eastAsia="en-US" w:bidi="ar-SA"/>
        </w:rPr>
        <w:t xml:space="preserve"> Finally, I emphasize that to award costs on a joint and several basis could create a significant impediment to the consolidation of proceedings with common issues. The plaintiff originally commenced 147 different claims. The statements of claim were later consolidated to avoid a multiplicity of proceedings on common issues in accordance with s. 138 of the </w:t>
      </w:r>
      <w:r>
        <w:rPr>
          <w:rFonts w:ascii="arial" w:eastAsia="arial" w:hAnsi="arial" w:cs="arial"/>
          <w:i/>
          <w:color w:val="000000"/>
          <w:sz w:val="20"/>
          <w:lang w:val="en-US" w:eastAsia="en-US" w:bidi="ar-SA"/>
        </w:rPr>
        <w:t>Courts of Justice Act</w:t>
      </w:r>
      <w:r>
        <w:rPr>
          <w:rFonts w:ascii="arial" w:eastAsia="arial" w:hAnsi="arial" w:cs="arial"/>
          <w:color w:val="000000"/>
          <w:sz w:val="20"/>
          <w:lang w:val="en-US" w:eastAsia="en-US" w:bidi="ar-SA"/>
        </w:rPr>
        <w:t>. One goal of consolidation is to reduce the overall legal costs of an action for all parties. If costs are awarded on a joint and several liability when proceedings are consolidated in circumstances such as these, individual defendants would resist the efficacy of consolidation to avoid the risk of disproportionate cost liability. Clearly, the principle is to reduce overall legal costs, not to cause individuals to risk excessive liability for legal costs, completely disproportionate to their own potential liability. I realize the burden that this result will place on the plaintiff; however, the unfairness that would be caused by the alternative is substantial and far outweighs the factors in favour of a joint and several costs award.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135</w:t>
      </w:r>
      <w:r>
        <w:rPr>
          <w:rFonts w:ascii="arial" w:eastAsia="arial" w:hAnsi="arial" w:cs="arial"/>
          <w:color w:val="000000"/>
          <w:sz w:val="20"/>
          <w:lang w:val="en-US" w:eastAsia="en-US" w:bidi="ar-SA"/>
        </w:rPr>
        <w:t>  </w:t>
      </w:r>
      <w:r>
        <w:rPr>
          <w:rFonts w:ascii="arial" w:eastAsia="arial" w:hAnsi="arial" w:cs="arial"/>
          <w:i/>
          <w:color w:val="000000"/>
          <w:sz w:val="20"/>
          <w:lang w:val="en-US" w:eastAsia="en-US" w:bidi="ar-SA"/>
        </w:rPr>
        <w:t>Empire</w:t>
      </w:r>
      <w:r>
        <w:rPr>
          <w:rFonts w:ascii="arial" w:eastAsia="arial" w:hAnsi="arial" w:cs="arial"/>
          <w:color w:val="000000"/>
          <w:sz w:val="20"/>
          <w:lang w:val="en-US" w:eastAsia="en-US" w:bidi="ar-SA"/>
        </w:rPr>
        <w:t xml:space="preserve"> was not addressed by the Court of Appeal in </w:t>
      </w:r>
      <w:r>
        <w:rPr>
          <w:rFonts w:ascii="arial" w:eastAsia="arial" w:hAnsi="arial" w:cs="arial"/>
          <w:i/>
          <w:color w:val="000000"/>
          <w:sz w:val="20"/>
          <w:lang w:val="en-US" w:eastAsia="en-US" w:bidi="ar-SA"/>
        </w:rPr>
        <w:t>Giles</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136</w:t>
      </w:r>
      <w:r>
        <w:rPr>
          <w:rFonts w:ascii="arial" w:eastAsia="arial" w:hAnsi="arial" w:cs="arial"/>
          <w:color w:val="000000"/>
          <w:sz w:val="20"/>
          <w:lang w:val="en-US" w:eastAsia="en-US" w:bidi="ar-SA"/>
        </w:rPr>
        <w:t xml:space="preserve">  In these circumstances, the majority defendants were defending the claim in debt, although they did bring cross-claims. </w:t>
      </w:r>
      <w:r>
        <w:rPr>
          <w:rFonts w:ascii="arial" w:eastAsia="arial" w:hAnsi="arial" w:cs="arial"/>
          <w:i/>
          <w:color w:val="000000"/>
          <w:sz w:val="20"/>
          <w:lang w:val="en-US" w:eastAsia="en-US" w:bidi="ar-SA"/>
        </w:rPr>
        <w:t>Giles</w:t>
      </w:r>
      <w:r>
        <w:rPr>
          <w:rFonts w:ascii="arial" w:eastAsia="arial" w:hAnsi="arial" w:cs="arial"/>
          <w:color w:val="000000"/>
          <w:sz w:val="20"/>
          <w:lang w:val="en-US" w:eastAsia="en-US" w:bidi="ar-SA"/>
        </w:rPr>
        <w:t xml:space="preserve"> can be distinguished on that basis.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137</w:t>
      </w:r>
      <w:r>
        <w:rPr>
          <w:rFonts w:ascii="arial" w:eastAsia="arial" w:hAnsi="arial" w:cs="arial"/>
          <w:color w:val="000000"/>
          <w:sz w:val="20"/>
          <w:lang w:val="en-US" w:eastAsia="en-US" w:bidi="ar-SA"/>
        </w:rPr>
        <w:t>  Even if joint and several liability is the usual rule in these circumstances, I find it is just and reasonable to exercise my discretion and order several liability in accordance with the majority defendants' respective lease obligations. I exercise this discretion for the following reasons.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138</w:t>
      </w:r>
      <w:r>
        <w:rPr>
          <w:rFonts w:ascii="arial" w:eastAsia="arial" w:hAnsi="arial" w:cs="arial"/>
          <w:color w:val="000000"/>
          <w:sz w:val="20"/>
          <w:lang w:val="en-US" w:eastAsia="en-US" w:bidi="ar-SA"/>
        </w:rPr>
        <w:t>  This is a matter of debt arising pursuant to the lease obligations of the majority defendants. Ordering several liability is a practical form of relief for that type of claim.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139</w:t>
      </w:r>
      <w:r>
        <w:rPr>
          <w:rFonts w:ascii="arial" w:eastAsia="arial" w:hAnsi="arial" w:cs="arial"/>
          <w:color w:val="000000"/>
          <w:sz w:val="20"/>
          <w:lang w:val="en-US" w:eastAsia="en-US" w:bidi="ar-SA"/>
        </w:rPr>
        <w:t>  It would be an onerous burden upon the majority defendants to be held jointly liable for the entirety of the debt claim. I do not need evidence of impecuniosity to draw that inference in view of the size of the debt claim.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140</w:t>
      </w:r>
      <w:r>
        <w:rPr>
          <w:rFonts w:ascii="arial" w:eastAsia="arial" w:hAnsi="arial" w:cs="arial"/>
          <w:color w:val="000000"/>
          <w:sz w:val="20"/>
          <w:lang w:val="en-US" w:eastAsia="en-US" w:bidi="ar-SA"/>
        </w:rPr>
        <w:t xml:space="preserve">  Furthermore, I find that the whole purpose of bringing together the defendants in this claim was to make the proceeding more efficient for all parties involved. I am particularly persuaded by the reasoning in </w:t>
      </w:r>
      <w:r>
        <w:rPr>
          <w:rFonts w:ascii="arial" w:eastAsia="arial" w:hAnsi="arial" w:cs="arial"/>
          <w:i/>
          <w:color w:val="000000"/>
          <w:sz w:val="20"/>
          <w:lang w:val="en-US" w:eastAsia="en-US" w:bidi="ar-SA"/>
        </w:rPr>
        <w:t>Empire</w:t>
      </w:r>
      <w:r>
        <w:rPr>
          <w:rFonts w:ascii="arial" w:eastAsia="arial" w:hAnsi="arial" w:cs="arial"/>
          <w:color w:val="000000"/>
          <w:sz w:val="20"/>
          <w:lang w:val="en-US" w:eastAsia="en-US" w:bidi="ar-SA"/>
        </w:rPr>
        <w:t xml:space="preserve"> at para. 44 that joint and several liability may become a deterrent for consolidation in similar circumstances where the risk of liability is too great and disproportionate to a singular defendant's liability. Similar principles underpin British Columbia's </w:t>
      </w:r>
      <w:r>
        <w:rPr>
          <w:rFonts w:ascii="arial" w:eastAsia="arial" w:hAnsi="arial" w:cs="arial"/>
          <w:i/>
          <w:color w:val="000000"/>
          <w:sz w:val="20"/>
          <w:lang w:val="en-US" w:eastAsia="en-US" w:bidi="ar-SA"/>
        </w:rPr>
        <w:t>Rules</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141</w:t>
      </w:r>
      <w:r>
        <w:rPr>
          <w:rFonts w:ascii="arial" w:eastAsia="arial" w:hAnsi="arial" w:cs="arial"/>
          <w:color w:val="000000"/>
          <w:sz w:val="20"/>
          <w:lang w:val="en-US" w:eastAsia="en-US" w:bidi="ar-SA"/>
        </w:rPr>
        <w:t>  There will be several liability for costs, calculated at a pro rata share in accordance with the leasehold obligations of each majority defendant.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Conclusion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142</w:t>
      </w:r>
      <w:r>
        <w:rPr>
          <w:rFonts w:ascii="arial" w:eastAsia="arial" w:hAnsi="arial" w:cs="arial"/>
          <w:color w:val="000000"/>
          <w:sz w:val="20"/>
          <w:lang w:val="en-US" w:eastAsia="en-US" w:bidi="ar-SA"/>
        </w:rPr>
        <w:t>  The plaintiffs are entitled to their costs of the summary trial against the majority defendants at scale B. The majority defendants are severally liable for those costs, calculated on a pro rata basis in relation to specific leasehold arrangements. They are not entitled to special costs of costs at scale C.</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143</w:t>
      </w:r>
      <w:r>
        <w:rPr>
          <w:rFonts w:ascii="arial" w:eastAsia="arial" w:hAnsi="arial" w:cs="arial"/>
          <w:color w:val="000000"/>
          <w:sz w:val="20"/>
          <w:lang w:val="en-US" w:eastAsia="en-US" w:bidi="ar-SA"/>
        </w:rPr>
        <w:t>  As both parties brought applications on costs and neither party was successful, each will bear their own costs.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144</w:t>
      </w:r>
      <w:r>
        <w:rPr>
          <w:rFonts w:ascii="arial" w:eastAsia="arial" w:hAnsi="arial" w:cs="arial"/>
          <w:color w:val="000000"/>
          <w:sz w:val="20"/>
          <w:lang w:val="en-US" w:eastAsia="en-US" w:bidi="ar-SA"/>
        </w:rPr>
        <w:t>  The plaintiffs have leave to make further submissions on the issue of their entitlement to "costs with the uplift" pursuant to s. 5 of Appendix B of the Supreme Court Civil Rules at a later date.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145</w:t>
      </w:r>
      <w:r>
        <w:rPr>
          <w:rFonts w:ascii="arial" w:eastAsia="arial" w:hAnsi="arial" w:cs="arial"/>
          <w:color w:val="000000"/>
          <w:sz w:val="20"/>
          <w:lang w:val="en-US" w:eastAsia="en-US" w:bidi="ar-SA"/>
        </w:rPr>
        <w:t>  I order several liability for costs, calculated at a pro rata share in accordance with the leasehold obligations of each majority defendant.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J.M. GROPPER J.</w:t>
      </w:r>
      <w:r>
        <w:rPr>
          <w:rFonts w:ascii="arial" w:eastAsia="arial" w:hAnsi="arial" w:cs="arial"/>
          <w:sz w:val="20"/>
          <w:lang w:val="en-US" w:eastAsia="en-US" w:bidi="ar-SA"/>
        </w:rPr>
        <w:cr/>
      </w:r>
    </w:p>
    <w:p>
      <w:pPr>
        <w:rPr>
          <w:rFonts w:ascii="arial" w:eastAsia="arial" w:hAnsi="arial" w:cs="arial"/>
          <w:sz w:val="20"/>
          <w:lang w:val="en-US" w:eastAsia="en-US" w:bidi="ar-SA"/>
        </w:rPr>
      </w:pPr>
    </w:p>
    <w:p>
      <w:pPr>
        <w:ind w:left="200"/>
        <w:rPr>
          <w:rFonts w:ascii="arial" w:eastAsia="arial" w:hAnsi="arial" w:cs="arial"/>
          <w:sz w:val="20"/>
          <w:lang w:val="en-US" w:eastAsia="en-US" w:bidi="ar-SA"/>
        </w:rPr>
        <w:sectPr>
          <w:type w:val="continuous"/>
          <w:pgMar w:top="840" w:right="1000" w:bottom="840" w:left="1000" w:header="400" w:footer="400"/>
          <w:pgNumType w:fmt="decimal"/>
          <w:cols w:space="720"/>
        </w:sectPr>
      </w:pPr>
      <w:r>
        <w:rPr>
          <w:rFonts w:ascii="arial" w:eastAsia="arial" w:hAnsi="arial" w:cs="arial"/>
          <w:sz w:val="20"/>
          <w:lang w:val="en-US" w:eastAsia="en-US" w:bidi="ar-SA"/>
        </w:rPr>
        <w:br/>
      </w:r>
      <w:r>
        <w:pict>
          <v:line id="_x0000_s1223" style="position:absolute;z-index:251888640" from="0,10pt" to="512pt,10pt" strokecolor="black" strokeweight="1pt">
            <v:stroke linestyle="single"/>
          </v:line>
        </w:pict>
      </w:r>
      <w:r>
        <w:rPr>
          <w:b/>
          <w:color w:val="767676"/>
          <w:sz w:val="16"/>
          <w:lang w:val="en-US" w:eastAsia="en-US" w:bidi="ar-SA"/>
        </w:rPr>
        <w:t>End of Document</w:t>
      </w:r>
    </w:p>
    <w:p>
      <w:pPr>
        <w:rPr>
          <w:rFonts w:ascii="arial" w:eastAsia="arial" w:hAnsi="arial" w:cs="arial"/>
          <w:sz w:val="20"/>
          <w:lang w:val="en-US" w:eastAsia="en-US" w:bidi="ar-SA"/>
        </w:rPr>
        <w:sectPr>
          <w:headerReference w:type="even" r:id="rId802"/>
          <w:headerReference w:type="default" r:id="rId803"/>
          <w:footerReference w:type="even" r:id="rId804"/>
          <w:footerReference w:type="default" r:id="rId805"/>
          <w:headerReference w:type="first" r:id="rId806"/>
          <w:footerReference w:type="first" r:id="rId807"/>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eastAsia="arial" w:hAnsi="Arial" w:cs="Arial"/>
          <w:b/>
          <w:bCs/>
          <w:kern w:val="32"/>
          <w:sz w:val="32"/>
          <w:szCs w:val="32"/>
          <w:lang w:val="en-US" w:eastAsia="en-US" w:bidi="ar-SA"/>
        </w:rPr>
      </w:pPr>
      <w:hyperlink r:id="rId808" w:history="1">
        <w:r>
          <w:rPr>
            <w:rFonts w:ascii="arial" w:eastAsia="arial" w:hAnsi="arial" w:cs="arial"/>
            <w:b/>
            <w:bCs/>
            <w:i/>
            <w:color w:val="0077CC"/>
            <w:kern w:val="32"/>
            <w:sz w:val="28"/>
            <w:szCs w:val="32"/>
            <w:u w:val="single"/>
            <w:shd w:val="clear" w:color="auto" w:fill="FFFFFF"/>
            <w:lang w:val="en-US" w:eastAsia="en-US" w:bidi="ar-SA"/>
          </w:rPr>
          <w:t>Winvan Paving Ltd. v. Gencor Industries Inc., [2015] B.C.J. No. 280</w:t>
        </w:r>
      </w:hyperlink>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Judgments</w:t>
      </w:r>
    </w:p>
    <w:p>
      <w:pPr>
        <w:rPr>
          <w:rFonts w:ascii="arial" w:eastAsia="arial" w:hAnsi="arial" w:cs="arial"/>
          <w:sz w:val="20"/>
          <w:lang w:val="en-US" w:eastAsia="en-US" w:bidi="ar-SA"/>
        </w:rPr>
      </w:pP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Vancouver, British Columbia</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P. Abrioux J.</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Heard: January 15, 2015.</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Judgment: February 18, 2015.</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Docket: S130683</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Registry: Vancouver</w:t>
      </w:r>
    </w:p>
    <w:p>
      <w:pPr>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r>
        <w:rPr>
          <w:rFonts w:ascii="arial" w:eastAsia="arial" w:hAnsi="arial" w:cs="arial"/>
          <w:b/>
          <w:color w:val="000000"/>
          <w:sz w:val="20"/>
          <w:lang w:val="en-US" w:eastAsia="en-US" w:bidi="ar-SA"/>
        </w:rPr>
        <w:t>[2015] B.C.J. No. 280</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2015 BCSC 233</w:t>
      </w:r>
    </w:p>
    <w:p>
      <w:pPr>
        <w:spacing w:before="120" w:line="260" w:lineRule="atLeast"/>
        <w:rPr>
          <w:rFonts w:ascii="arial" w:eastAsia="arial" w:hAnsi="arial" w:cs="arial"/>
          <w:sz w:val="20"/>
          <w:lang w:val="en-US" w:eastAsia="en-US" w:bidi="ar-SA"/>
        </w:rPr>
      </w:pPr>
      <w:r>
        <w:rPr>
          <w:rFonts w:ascii="arial" w:eastAsia="arial" w:hAnsi="arial" w:cs="arial"/>
          <w:color w:val="000000"/>
          <w:sz w:val="20"/>
          <w:lang w:val="en-US" w:eastAsia="en-US" w:bidi="ar-SA"/>
        </w:rPr>
        <w:t>Between Winvan Paving Ltd., Plaintiff, and Gencor Industries, Inc., Henry Stowe, John Price, John Doe #1, Lillie Family Heating and Plumbing Ltd., Hugh Lillie, John Doe #2, B.C. Safety Authority, Defendants</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(78 paras.)</w:t>
      </w:r>
    </w:p>
    <w:p>
      <w:pPr>
        <w:keepNext/>
        <w:spacing w:before="12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Case Summary</w:t>
      </w:r>
    </w:p>
    <w:p>
      <w:pPr>
        <w:spacing w:line="60" w:lineRule="exact"/>
        <w:rPr>
          <w:rFonts w:ascii="arial" w:eastAsia="arial" w:hAnsi="arial" w:cs="arial"/>
          <w:sz w:val="20"/>
          <w:lang w:val="en-US" w:eastAsia="en-US" w:bidi="ar-SA"/>
        </w:rPr>
      </w:pPr>
      <w:r>
        <w:pict>
          <v:line id="_x0000_s1224" style="position:absolute;z-index:251701248"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bookmarkStart w:id="265" w:name="Keywords_40"/>
      <w:bookmarkEnd w:id="265"/>
      <w:r>
        <w:rPr>
          <w:rFonts w:ascii="arial" w:eastAsia="arial" w:hAnsi="arial" w:cs="arial"/>
          <w:b/>
          <w:color w:val="000000"/>
          <w:sz w:val="20"/>
          <w:lang w:val="en-US" w:eastAsia="en-US" w:bidi="ar-SA"/>
        </w:rPr>
        <w:t>Civil litigation — Civil procedure — Parties — Third party procedure — Availability — Pleadings — Striking out pleadings or allegations — Courts — Jurisdiction — Application by defendant Gencor for stay of action on ground that court ought to decline to exercise jurisdiction dismissed — Application to strike out negligent misrepresentation claims against defendants Stowe and Price as disclosing no reasonable claim adjourned to allow plaintiff to provide particulars — Application by Lillie defendants and BC Safety Authority for leave to issue third party proceedings against Gencor allowed — Plaintiff, a BC company, purchased plant in BC from Gencor, a US company — Contract provided Florida law applied — Plaintiff sued for damages resulting from an explosion at plant.</w:t>
      </w:r>
    </w:p>
    <w:p>
      <w:pPr>
        <w:rPr>
          <w:rFonts w:ascii="arial" w:eastAsia="arial" w:hAnsi="arial" w:cs="arial"/>
          <w:sz w:val="20"/>
          <w:lang w:val="en-US" w:eastAsia="en-US" w:bidi="ar-SA"/>
        </w:rPr>
      </w:pPr>
    </w:p>
    <w:tbl>
      <w:tblPr>
        <w:tblStyle w:val="TableNormal"/>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
      <w:tblGrid>
        <w:gridCol w:w="10225"/>
      </w:tblGrid>
      <w:tr>
        <w:tblPrEx>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Ex>
        <w:tc>
          <w:tcPr/>
          <w:p>
            <w:pPr>
              <w:rPr>
                <w:rFonts w:ascii="arial" w:eastAsia="arial" w:hAnsi="arial" w:cs="arial"/>
                <w:sz w:val="20"/>
                <w:lang w:val="en-US" w:eastAsia="en-US" w:bidi="ar-SA"/>
              </w:rPr>
            </w:pPr>
            <w:bookmarkStart w:id="266" w:name="Case Summary_38"/>
            <w:bookmarkEnd w:id="266"/>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Application by the Gencor defendants for a stay of the action on the ground that the court ought to decline to exercise jurisdiction and for an order striking out the claims against the defendants Stowe and Price as disclosing no reasonable claim. Application by the Lillie defendants and the BC Safety Authority for leave to issue third party proceedings against Gencor. The plaintiff and Gencor entered into a contract for the purchase and sale of an asphalt plant in BC. Gencor was a US corporation. The plaintiff carried on business only in BC, as did the Safety authority and the Lillie defendants. The plaintiff sued for damages suffered as a result of an explosion at the plant. The claim against Stowe and Price was for negligent misrepresentation. Gencor argued that the forum selection clause in the contract which provided for Florida law to apply was valid and applicable to the present action. Stowe and Price were at all material times employees of Gencor. In their proposed third party notices against Gencor, both the Lillie defendants and the Safety Authority sought contribution and indemnity against Gencor. </w:t>
            </w:r>
            <w:r>
              <w:rPr>
                <w:rFonts w:ascii="arial" w:eastAsia="arial" w:hAnsi="arial" w:cs="arial"/>
                <w:sz w:val="20"/>
                <w:lang w:val="en-US" w:eastAsia="en-US" w:bidi="ar-SA"/>
              </w:rPr>
              <w:cr/>
            </w:r>
          </w:p>
          <w:p>
            <w:pPr>
              <w:spacing w:before="120" w:line="260" w:lineRule="atLeast"/>
              <w:ind w:left="240"/>
              <w:jc w:val="both"/>
              <w:rPr>
                <w:rFonts w:ascii="arial" w:eastAsia="arial" w:hAnsi="arial" w:cs="arial"/>
                <w:sz w:val="20"/>
                <w:lang w:val="en-US" w:eastAsia="en-US" w:bidi="ar-SA"/>
              </w:rPr>
            </w:pPr>
            <w:bookmarkStart w:id="267" w:name="Holdings of Court_32"/>
            <w:bookmarkEnd w:id="267"/>
            <w:r>
              <w:rPr>
                <w:rFonts w:ascii="arial" w:eastAsia="arial" w:hAnsi="arial" w:cs="arial"/>
                <w:color w:val="000000"/>
                <w:sz w:val="20"/>
                <w:lang w:val="en-US" w:eastAsia="en-US" w:bidi="ar-SA"/>
              </w:rPr>
              <w:t>HELD: Application for a stay of proceedings dismissed.</w:t>
            </w:r>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Application to strike out the claims against Stowe and Price adjourned for the plaintiff to provide particulars of the misrepresentation claim. Leave to issue a third party claim against Gencor was granted. The overriding preference was for all matters relating to the explosion to be heard together in BC as opposed to there being separate actions in BC and in Florida which would be the inevitable consequence if a stay of proceedings were granted. There would be proceedings in BC involving all of the parties even if a stay of proceedings were ordered in this action. A real and substantial connection existed between BC and the factual matrix forming the foundation of the plaintiff's claims. The proposed third party claims were not bound to fail and there was no prejudice to Gencor. If the application to issue a third party claim were not granted, the Safety Authority and the Lillie defendants would simply commence separate proceedings which should be avoided. The pleadings regarding the claim against Stowe and Price were defective. The plaintiff should, however, be provided with the opportunity to remedy the defects and provide particulars of the alleged misrepresentations made by Stowe and Price. </w:t>
            </w:r>
            <w:r>
              <w:rPr>
                <w:rFonts w:ascii="arial" w:eastAsia="arial" w:hAnsi="arial" w:cs="arial"/>
                <w:sz w:val="20"/>
                <w:lang w:val="en-US" w:eastAsia="en-US" w:bidi="ar-SA"/>
              </w:rPr>
              <w:cr/>
            </w:r>
          </w:p>
          <w:p>
            <w:pPr>
              <w:rPr>
                <w:rFonts w:ascii="arial" w:eastAsia="arial" w:hAnsi="arial" w:cs="arial"/>
                <w:sz w:val="20"/>
                <w:lang w:val="en-US" w:eastAsia="en-US" w:bidi="ar-SA"/>
              </w:rPr>
            </w:pPr>
          </w:p>
        </w:tc>
      </w:tr>
    </w:tbl>
    <w:p>
      <w:pPr>
        <w:jc w:val="both"/>
        <w:rPr>
          <w:rFonts w:ascii="arial" w:eastAsia="arial" w:hAnsi="arial" w:cs="arial"/>
          <w:sz w:val="20"/>
          <w:lang w:val="en-US" w:eastAsia="en-US" w:bidi="ar-SA"/>
        </w:rPr>
      </w:pPr>
      <w:bookmarkStart w:id="268" w:name="Legislation Cited_27"/>
      <w:bookmarkEnd w:id="268"/>
      <w:r>
        <w:rPr>
          <w:rFonts w:ascii="arial" w:eastAsia="arial" w:hAnsi="arial" w:cs="arial"/>
          <w:sz w:val="20"/>
          <w:lang w:val="en-US" w:eastAsia="en-US" w:bidi="ar-SA"/>
        </w:rPr>
        <w:br/>
      </w:r>
    </w:p>
    <w:p>
      <w:pPr>
        <w:keepNext/>
        <w:spacing w:before="24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Statutes, Regulations and Rules Cited:</w:t>
      </w:r>
    </w:p>
    <w:p>
      <w:pPr>
        <w:spacing w:line="60" w:lineRule="exact"/>
        <w:rPr>
          <w:rFonts w:ascii="arial" w:eastAsia="arial" w:hAnsi="arial" w:cs="arial"/>
          <w:sz w:val="20"/>
          <w:lang w:val="en-US" w:eastAsia="en-US" w:bidi="ar-SA"/>
        </w:rPr>
      </w:pPr>
      <w:r>
        <w:pict>
          <v:line id="_x0000_s1225" style="position:absolute;z-index:251752448"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Supreme Court Civil Rules, Rule 3-5(1), Rule 9-5(1)(a), Rule 9-5(1)(b), Rule 21-8(2)</w:t>
      </w:r>
      <w:r>
        <w:rPr>
          <w:rFonts w:ascii="arial" w:eastAsia="arial" w:hAnsi="arial" w:cs="arial"/>
          <w:sz w:val="20"/>
          <w:lang w:val="en-US" w:eastAsia="en-US" w:bidi="ar-SA"/>
        </w:rPr>
        <w:cr/>
      </w:r>
    </w:p>
    <w:p>
      <w:pPr>
        <w:keepNext/>
        <w:spacing w:before="240" w:line="340" w:lineRule="atLeast"/>
        <w:rPr>
          <w:rFonts w:ascii="arial" w:eastAsia="arial" w:hAnsi="arial" w:cs="arial"/>
          <w:sz w:val="20"/>
          <w:lang w:val="en-US" w:eastAsia="en-US" w:bidi="ar-SA"/>
        </w:rPr>
      </w:pPr>
      <w:bookmarkStart w:id="269" w:name="Counsel_40"/>
      <w:bookmarkEnd w:id="269"/>
      <w:r>
        <w:rPr>
          <w:rFonts w:ascii="arial" w:eastAsia="arial" w:hAnsi="arial" w:cs="arial"/>
          <w:b/>
          <w:color w:val="000000"/>
          <w:sz w:val="28"/>
          <w:lang w:val="en-US" w:eastAsia="en-US" w:bidi="ar-SA"/>
        </w:rPr>
        <w:t>Counsel</w:t>
      </w:r>
    </w:p>
    <w:p>
      <w:pPr>
        <w:spacing w:line="60" w:lineRule="exact"/>
        <w:rPr>
          <w:rFonts w:ascii="arial" w:eastAsia="arial" w:hAnsi="arial" w:cs="arial"/>
          <w:sz w:val="20"/>
          <w:lang w:val="en-US" w:eastAsia="en-US" w:bidi="ar-SA"/>
        </w:rPr>
      </w:pPr>
      <w:r>
        <w:pict>
          <v:line id="_x0000_s1226" style="position:absolute;z-index:251803648"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Counsel for Plaintiff/Respondent: Lori Leung.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Counsel for Defendant/Applicant, Lillie Family Heating and Plumbing Ltd.: Gordon Buck.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Counsel for the Defendant/Applicant, Gencor Industries Inc.: Oleh W. Ilnyckyj, A. Toljanich, articled student.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Counsel for Defendant/Applicant B.C. Safety Authority: Nigel L. Trevethan.</w:t>
      </w:r>
      <w:r>
        <w:rPr>
          <w:rFonts w:ascii="arial" w:eastAsia="arial" w:hAnsi="arial" w:cs="arial"/>
          <w:sz w:val="20"/>
          <w:lang w:val="en-US" w:eastAsia="en-US" w:bidi="ar-SA"/>
        </w:rPr>
        <w:cr/>
      </w:r>
    </w:p>
    <w:p>
      <w:pPr>
        <w:spacing w:after="240"/>
        <w:rPr>
          <w:rFonts w:ascii="arial" w:eastAsia="arial" w:hAnsi="arial" w:cs="arial"/>
          <w:sz w:val="20"/>
          <w:lang w:val="en-US" w:eastAsia="en-US" w:bidi="ar-SA"/>
        </w:rPr>
      </w:pPr>
      <w:bookmarkStart w:id="270" w:name="Judgment_41"/>
      <w:bookmarkEnd w:id="270"/>
      <w:r>
        <w:pict>
          <v:line id="_x0000_s1227" style="position:absolute;z-index:251852800" from="0,12pt" to="512pt,12pt" strokecolor="#009ddb" strokeweight="1.5pt">
            <v:stroke linestyle="single"/>
          </v:line>
        </w:pict>
      </w:r>
    </w:p>
    <w:p>
      <w:pPr>
        <w:spacing w:before="120" w:line="260" w:lineRule="atLeast"/>
        <w:jc w:val="center"/>
        <w:rPr>
          <w:rFonts w:ascii="arial" w:eastAsia="arial" w:hAnsi="arial" w:cs="arial"/>
          <w:sz w:val="20"/>
          <w:lang w:val="en-US" w:eastAsia="en-US" w:bidi="ar-SA"/>
        </w:rPr>
      </w:pPr>
      <w:r>
        <w:rPr>
          <w:rFonts w:ascii="arial" w:eastAsia="arial" w:hAnsi="arial" w:cs="arial"/>
          <w:b/>
          <w:color w:val="000000"/>
          <w:sz w:val="20"/>
          <w:lang w:val="en-US" w:eastAsia="en-US" w:bidi="ar-SA"/>
        </w:rPr>
        <w:t>Table of Contents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I: INTRODUCTION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II: BACKGROUND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III: THE APPLICATION FOR THE COURT TO DECLINE JURISDICTION</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 The Issues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B: The Legal Principles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C: The Parties' Positions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D: Discussion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IV: ISSUANCE OF THIRD PARTY PROCEEDINGS AGAINST GENCOR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V: THE APPLICATION TO STRIKE THE CLAIMS AGAINST STOWE AND PRICE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VI: CONCLUSION</w:t>
      </w:r>
    </w:p>
    <w:p>
      <w:pPr>
        <w:spacing w:line="260" w:lineRule="atLeast"/>
        <w:jc w:val="center"/>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Reasons for Judgment</w:t>
      </w:r>
      <w:r>
        <w:rPr>
          <w:rFonts w:ascii="arial" w:eastAsia="arial" w:hAnsi="arial" w:cs="arial"/>
          <w:sz w:val="20"/>
          <w:lang w:val="en-US" w:eastAsia="en-US" w:bidi="ar-SA"/>
        </w:rPr>
        <w:cr/>
      </w:r>
    </w:p>
    <w:p>
      <w:pPr>
        <w:rPr>
          <w:rFonts w:ascii="arial" w:eastAsia="arial" w:hAnsi="arial" w:cs="arial"/>
          <w:sz w:val="20"/>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2354"/>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rFonts w:ascii="arial" w:eastAsia="arial" w:hAnsi="arial" w:cs="arial"/>
                <w:sz w:val="20"/>
                <w:lang w:val="en-US" w:eastAsia="en-US" w:bidi="ar-SA"/>
              </w:rPr>
            </w:pPr>
            <w:bookmarkStart w:id="271" w:name="P. ABRIOUX J."/>
            <w:bookmarkEnd w:id="271"/>
            <w:r>
              <w:rPr>
                <w:rFonts w:ascii="arial" w:eastAsia="arial" w:hAnsi="arial" w:cs="arial"/>
                <w:b/>
                <w:color w:val="000000"/>
                <w:sz w:val="30"/>
                <w:lang w:val="en-US" w:eastAsia="en-US" w:bidi="ar-SA"/>
              </w:rPr>
              <w:t>P. ABRIOUX J.</w:t>
            </w:r>
          </w:p>
        </w:tc>
      </w:tr>
    </w:tbl>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941"/>
        <w:gridCol w:w="8469"/>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92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18"/>
                <w:lang w:val="en-US" w:eastAsia="en-US" w:bidi="ar-SA"/>
              </w:rPr>
              <w:t>I:</w:t>
            </w:r>
          </w:p>
        </w:tc>
        <w:tc>
          <w:tcPr>
            <w:tcW w:w="8294"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18"/>
                <w:lang w:val="en-US" w:eastAsia="en-US" w:bidi="ar-SA"/>
              </w:rPr>
              <w:t>INTRODUCTION</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xml:space="preserve">  The Gencor defendants ("Gencor"), being Gencor Industries Inc., Henry Stowe ("Stowe") and John Price ("Price"), seek an order pursuant to Rule 21-8(2) of the British Columbia </w:t>
      </w:r>
      <w:r>
        <w:rPr>
          <w:rFonts w:ascii="arial" w:eastAsia="arial" w:hAnsi="arial" w:cs="arial"/>
          <w:i/>
          <w:color w:val="000000"/>
          <w:sz w:val="20"/>
          <w:lang w:val="en-US" w:eastAsia="en-US" w:bidi="ar-SA"/>
        </w:rPr>
        <w:t>Supreme Court Civil Rules</w:t>
      </w:r>
      <w:r>
        <w:rPr>
          <w:rFonts w:ascii="arial" w:eastAsia="arial" w:hAnsi="arial" w:cs="arial"/>
          <w:color w:val="000000"/>
          <w:sz w:val="20"/>
          <w:lang w:val="en-US" w:eastAsia="en-US" w:bidi="ar-SA"/>
        </w:rPr>
        <w:t xml:space="preserve"> that this proceeding be stayed as against them on the ground that the court ought to decline to exercise jurisdiction.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They also seek an order pursuant to Rule 9-5(1)(a) or (b) that the plaintiff's claims against the defendants Stowe and Price be struck as disclosing no reasonable claim, or as unnecessary, scandalous, frivolous, or vexatious and that the proceeding be dismissed as against those defendants.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The Lillie family defendants (the "Lillie Defendants"), that is Lillie Family Heating &amp; Plumbing Ltd. and Hugh Lillie, and the defendant BC Safety Authority (the "BCSA") seek leave to issue third party proceedings against Gencor.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These applications arise as a result of orders made at a case planning conference on October 8, 2014.</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For the reasons that follow:</w:t>
      </w:r>
      <w:r>
        <w:rPr>
          <w:rFonts w:ascii="arial" w:eastAsia="arial" w:hAnsi="arial" w:cs="arial"/>
          <w:sz w:val="20"/>
          <w:lang w:val="en-US" w:eastAsia="en-US" w:bidi="ar-SA"/>
        </w:rPr>
        <w:cr/>
      </w:r>
    </w:p>
    <w:p>
      <w:pPr>
        <w:numPr>
          <w:numId w:val="11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Gencor's application for a stay of proceedings is dismissed;</w:t>
      </w:r>
    </w:p>
    <w:p>
      <w:pPr>
        <w:numPr>
          <w:numId w:val="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Gencor's application that the proceedings against Stowe and Price be struck is adjourned generally with liberty to have it reset after particulars have been provided by the plaintiff, Winvan Paving Ltd. ("Winvan"), as set out below; and</w:t>
      </w:r>
    </w:p>
    <w:p>
      <w:pPr>
        <w:numPr>
          <w:numId w:val="3"/>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Leave is granted to the Lillie Defendants and the BCSA to file third party notices against Gencor in the form appended to their respective notices of application.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1045"/>
        <w:gridCol w:w="8365"/>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1024"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18"/>
                <w:lang w:val="en-US" w:eastAsia="en-US" w:bidi="ar-SA"/>
              </w:rPr>
              <w:t>II:</w:t>
            </w:r>
          </w:p>
        </w:tc>
        <w:tc>
          <w:tcPr>
            <w:tcW w:w="819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18"/>
                <w:lang w:val="en-US" w:eastAsia="en-US" w:bidi="ar-SA"/>
              </w:rPr>
              <w:t>BACKGROUND</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Winvan and Gencor entered into a contract on October 28, 2010, which provided for the purchase and sale of an asphalt plant and associated equipment (the "Contract").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Gencor is a U.S. corporation with its head office and manufacturing plant in Orlando, Florida.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The Contract was drafted by Gencor. There were two parties, being Gencor and Winvan. Material terms included standard terms and conditions of sale. In particular, clause 19 provides: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LAW CONTROLLING. This instrument and all questions concerning the performance of the parties hereunder shall be controlled by the laws of the State of Florida and jurisdiction of any dispute shall be in Orange County, Florida.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Clause 18 provides, in part, that the Contract shall "be considered executed in Orange County, Florida."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xml:space="preserve">  Winvan alleges that it suffered damages as a result of an explosion at its New Westminster asphalt plant on March 3, 2011. The claims advanced against Gencor are for breach of contract,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negligent misrepresentation, and breaches of the </w:t>
      </w:r>
      <w:r>
        <w:rPr>
          <w:rFonts w:ascii="arial" w:eastAsia="arial" w:hAnsi="arial" w:cs="arial"/>
          <w:i/>
          <w:color w:val="000000"/>
          <w:sz w:val="20"/>
          <w:lang w:val="en-US" w:eastAsia="en-US" w:bidi="ar-SA"/>
        </w:rPr>
        <w:t>Sale of Goods Act</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R.S.B.C. 1996, c. 410</w:t>
      </w:r>
      <w:r>
        <w:rPr>
          <w:rFonts w:ascii="arial" w:eastAsia="arial" w:hAnsi="arial" w:cs="arial"/>
          <w:color w:val="000000"/>
          <w:sz w:val="20"/>
          <w:lang w:val="en-US" w:eastAsia="en-US" w:bidi="ar-SA"/>
        </w:rPr>
        <w:t>. The claim advanced against Stowe and Price is for negligent misrepresentation.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The plaintiff conducted an internal investigation into the cause of the explosion.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Approximately one month after the explosion, Winvan's president advised his counterpart at Gencor that Gencor was not responsible for the explosion that occurred.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Gencor was not told anything different until the commencement of this litigation on January 29, 2013, almost two years after the explosion.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xml:space="preserve">  The notice of civil claim was filed on January 29, 2013. Gencor was served approximately nine months later, on or about November 5, 2013. It filed its response to civil claim on December 24, 2013. Under "Part 3: Legal Basis" at paras. 5-6, Gencor alleges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or breach of contract on the part of the plaintiff, the Lillie Defendants, and the BCSA as a defence to the plaintiff's claims.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w:t>
      </w:r>
      <w:r>
        <w:rPr>
          <w:rFonts w:ascii="arial" w:eastAsia="arial" w:hAnsi="arial" w:cs="arial"/>
          <w:color w:val="000000"/>
          <w:sz w:val="20"/>
          <w:lang w:val="en-US" w:eastAsia="en-US" w:bidi="ar-SA"/>
        </w:rPr>
        <w:t xml:space="preserve">  In their responses to civil claim filed October 13, 2013 and March 7, 2014, respectively, the Lillie Defendants and the BCSA raise the alleged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or breach of contract of the plaintiff and the other defendants, including Gencor, as a defence to the plaintiff's claims.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w:t>
      </w:r>
      <w:r>
        <w:rPr>
          <w:rFonts w:ascii="arial" w:eastAsia="arial" w:hAnsi="arial" w:cs="arial"/>
          <w:color w:val="000000"/>
          <w:sz w:val="20"/>
          <w:lang w:val="en-US" w:eastAsia="en-US" w:bidi="ar-SA"/>
        </w:rPr>
        <w:t>  The notice of civil claim was amended on January 13, 2014.</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w:t>
      </w:r>
      <w:r>
        <w:rPr>
          <w:rFonts w:ascii="arial" w:eastAsia="arial" w:hAnsi="arial" w:cs="arial"/>
          <w:color w:val="000000"/>
          <w:sz w:val="20"/>
          <w:lang w:val="en-US" w:eastAsia="en-US" w:bidi="ar-SA"/>
        </w:rPr>
        <w:t>  Gencor's insurer had retained Todd Martin of Martin Inspection Services to investigate and draft a report on the cause of the explosion. The report is dated April 19, 2011 and concluded that none of the major contributing factors to the explosion implicated Gencor. Rather, it raised acts and omissions of the Lillie Defendants and the BCSA as contributory factors.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w:t>
      </w:r>
      <w:r>
        <w:rPr>
          <w:rFonts w:ascii="arial" w:eastAsia="arial" w:hAnsi="arial" w:cs="arial"/>
          <w:color w:val="000000"/>
          <w:sz w:val="20"/>
          <w:lang w:val="en-US" w:eastAsia="en-US" w:bidi="ar-SA"/>
        </w:rPr>
        <w:t>  The report was provided to all parties after the commencement of this proceeding.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w:t>
      </w:r>
      <w:r>
        <w:rPr>
          <w:rFonts w:ascii="arial" w:eastAsia="arial" w:hAnsi="arial" w:cs="arial"/>
          <w:color w:val="000000"/>
          <w:sz w:val="20"/>
          <w:lang w:val="en-US" w:eastAsia="en-US" w:bidi="ar-SA"/>
        </w:rPr>
        <w:t>  Stowe and Price were, at all material times, employees of Gencor.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w:t>
      </w:r>
      <w:r>
        <w:rPr>
          <w:rFonts w:ascii="arial" w:eastAsia="arial" w:hAnsi="arial" w:cs="arial"/>
          <w:color w:val="000000"/>
          <w:sz w:val="20"/>
          <w:lang w:val="en-US" w:eastAsia="en-US" w:bidi="ar-SA"/>
        </w:rPr>
        <w:t>  Price is a service manager for Gencor and resides in Orlando, Florida.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w:t>
      </w:r>
      <w:r>
        <w:rPr>
          <w:rFonts w:ascii="arial" w:eastAsia="arial" w:hAnsi="arial" w:cs="arial"/>
          <w:color w:val="000000"/>
          <w:sz w:val="20"/>
          <w:lang w:val="en-US" w:eastAsia="en-US" w:bidi="ar-SA"/>
        </w:rPr>
        <w:t>  At all material times, Stowe was employed by Gencor as a help desk service technician and resided in Sanford, Florida. He no longer works at Gencor.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w:t>
      </w:r>
      <w:r>
        <w:rPr>
          <w:rFonts w:ascii="arial" w:eastAsia="arial" w:hAnsi="arial" w:cs="arial"/>
          <w:color w:val="000000"/>
          <w:sz w:val="20"/>
          <w:lang w:val="en-US" w:eastAsia="en-US" w:bidi="ar-SA"/>
        </w:rPr>
        <w:t>  At no time did either Stowe or Price travel to British Columbia in relation to the Contract, nor at any time prior to the commencement of this litigation did any party, including the plaintiff, suggest that Stowe or Price contributed to the loss.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w:t>
      </w:r>
      <w:r>
        <w:rPr>
          <w:rFonts w:ascii="arial" w:eastAsia="arial" w:hAnsi="arial" w:cs="arial"/>
          <w:color w:val="000000"/>
          <w:sz w:val="20"/>
          <w:lang w:val="en-US" w:eastAsia="en-US" w:bidi="ar-SA"/>
        </w:rPr>
        <w:t>  Gencor says there are "weak" references to remote "troubleshooting" on the day of the explosion with respect to Stowe and Price in Winvan's affidavit evidence on this application.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w:t>
      </w:r>
      <w:r>
        <w:rPr>
          <w:rFonts w:ascii="arial" w:eastAsia="arial" w:hAnsi="arial" w:cs="arial"/>
          <w:color w:val="000000"/>
          <w:sz w:val="20"/>
          <w:lang w:val="en-US" w:eastAsia="en-US" w:bidi="ar-SA"/>
        </w:rPr>
        <w:t>  No other information, facts, or evidence regarding their pre-accident involvement with Winvan or the Contract have been disclosed by the plaintiff.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w:t>
      </w:r>
      <w:r>
        <w:rPr>
          <w:rFonts w:ascii="arial" w:eastAsia="arial" w:hAnsi="arial" w:cs="arial"/>
          <w:color w:val="000000"/>
          <w:sz w:val="20"/>
          <w:lang w:val="en-US" w:eastAsia="en-US" w:bidi="ar-SA"/>
        </w:rPr>
        <w:t>  It is not alleged that Gencor had a contract with any of the parties other than Winvan.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w:t>
      </w:r>
      <w:r>
        <w:rPr>
          <w:rFonts w:ascii="arial" w:eastAsia="arial" w:hAnsi="arial" w:cs="arial"/>
          <w:color w:val="000000"/>
          <w:sz w:val="20"/>
          <w:lang w:val="en-US" w:eastAsia="en-US" w:bidi="ar-SA"/>
        </w:rPr>
        <w:t>  In their proposed third party notices against Gencor, both the Lillie Defendants and the BCSA seek contribution and indemnity against Gencor. The proposed third party notice of the BCSA also raises an additional claim being that Gencor breached independent duties it owed to the BCSA to preserve evidence that could have shed light on the explosion. Specifically, it alleges that Gencor failed to provide access to data stored on a programmable logic controller.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1149"/>
        <w:gridCol w:w="8261"/>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1126"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18"/>
                <w:lang w:val="en-US" w:eastAsia="en-US" w:bidi="ar-SA"/>
              </w:rPr>
              <w:t>III:</w:t>
            </w:r>
          </w:p>
        </w:tc>
        <w:tc>
          <w:tcPr>
            <w:tcW w:w="8090"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18"/>
                <w:lang w:val="en-US" w:eastAsia="en-US" w:bidi="ar-SA"/>
              </w:rPr>
              <w:t>THE APPLICATION FOR THE COURT TO DECLINE JURISDICTION</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941"/>
        <w:gridCol w:w="7842"/>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92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18"/>
                <w:lang w:val="en-US" w:eastAsia="en-US" w:bidi="ar-SA"/>
              </w:rPr>
              <w:t>A:</w:t>
            </w:r>
          </w:p>
        </w:tc>
        <w:tc>
          <w:tcPr>
            <w:tcW w:w="7680"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18"/>
                <w:lang w:val="en-US" w:eastAsia="en-US" w:bidi="ar-SA"/>
              </w:rPr>
              <w:t>The Issues</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27</w:t>
      </w:r>
      <w:r>
        <w:rPr>
          <w:rFonts w:ascii="arial" w:eastAsia="arial" w:hAnsi="arial" w:cs="arial"/>
          <w:color w:val="000000"/>
          <w:sz w:val="20"/>
          <w:lang w:val="en-US" w:eastAsia="en-US" w:bidi="ar-SA"/>
        </w:rPr>
        <w:t>  Several issues arise with this aspect of Gencor's application:</w:t>
      </w:r>
      <w:r>
        <w:rPr>
          <w:rFonts w:ascii="arial" w:eastAsia="arial" w:hAnsi="arial" w:cs="arial"/>
          <w:sz w:val="20"/>
          <w:lang w:val="en-US" w:eastAsia="en-US" w:bidi="ar-SA"/>
        </w:rPr>
        <w:cr/>
      </w:r>
    </w:p>
    <w:p>
      <w:pPr>
        <w:numPr>
          <w:numId w:val="4"/>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does the British Columbia Supreme Court have, or can it assume, jurisdiction? This is </w:t>
      </w:r>
      <w:r>
        <w:rPr>
          <w:rFonts w:ascii="arial" w:eastAsia="arial" w:hAnsi="arial" w:cs="arial"/>
          <w:i/>
          <w:color w:val="000000"/>
          <w:sz w:val="20"/>
          <w:lang w:val="en-US" w:eastAsia="en-US" w:bidi="ar-SA"/>
        </w:rPr>
        <w:t>jurisdiction simpliciter</w:t>
      </w:r>
      <w:r>
        <w:rPr>
          <w:rFonts w:ascii="arial" w:eastAsia="arial" w:hAnsi="arial" w:cs="arial"/>
          <w:color w:val="000000"/>
          <w:sz w:val="20"/>
          <w:lang w:val="en-US" w:eastAsia="en-US" w:bidi="ar-SA"/>
        </w:rPr>
        <w:t>, which Gencor concedes;</w:t>
      </w:r>
    </w:p>
    <w:p>
      <w:pPr>
        <w:numPr>
          <w:numId w:val="5"/>
        </w:numPr>
        <w:tabs>
          <w:tab w:val="num" w:pos="1120"/>
          <w:tab w:val="clear" w:pos="184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should this Court take or decline jurisdiction? This involves an exercise of the Court's discretion. In that regard,</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Rule 21-8(2) provides:</w:t>
      </w:r>
    </w:p>
    <w:p>
      <w:pPr>
        <w:numPr>
          <w:numId w:val="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Whether or not a party referred to in subrule (1) applies or makes an allegation under that subrule, the party may apply to court for a stay of the proceeding on the ground that the court ought to decline to exercise jurisdiction over that party in respect of the claim made against that party in the proceeding.</w:t>
      </w:r>
    </w:p>
    <w:p>
      <w:pPr>
        <w:numPr>
          <w:numId w:val="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is forum selection or </w:t>
      </w:r>
      <w:r>
        <w:rPr>
          <w:rFonts w:ascii="arial" w:eastAsia="arial" w:hAnsi="arial" w:cs="arial"/>
          <w:i/>
          <w:color w:val="000000"/>
          <w:sz w:val="20"/>
          <w:lang w:val="en-US" w:eastAsia="en-US" w:bidi="ar-SA"/>
        </w:rPr>
        <w:t>forum non-conveniens</w:t>
      </w:r>
      <w:r>
        <w:rPr>
          <w:rFonts w:ascii="arial" w:eastAsia="arial" w:hAnsi="arial" w:cs="arial"/>
          <w:color w:val="000000"/>
          <w:sz w:val="20"/>
          <w:lang w:val="en-US" w:eastAsia="en-US" w:bidi="ar-SA"/>
        </w:rPr>
        <w:t xml:space="preserve"> the appropriate test on this application?;</w:t>
      </w:r>
    </w:p>
    <w:p>
      <w:pPr>
        <w:numPr>
          <w:numId w:val="8"/>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if it is forum selection, has the plaintiff established "strong cause" such that the choice of forum clause should not be enforced?; or</w:t>
      </w:r>
    </w:p>
    <w:p>
      <w:pPr>
        <w:numPr>
          <w:numId w:val="9"/>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if it is </w:t>
      </w:r>
      <w:r>
        <w:rPr>
          <w:rFonts w:ascii="arial" w:eastAsia="arial" w:hAnsi="arial" w:cs="arial"/>
          <w:i/>
          <w:color w:val="000000"/>
          <w:sz w:val="20"/>
          <w:lang w:val="en-US" w:eastAsia="en-US" w:bidi="ar-SA"/>
        </w:rPr>
        <w:t>forum non-conveniens</w:t>
      </w:r>
      <w:r>
        <w:rPr>
          <w:rFonts w:ascii="arial" w:eastAsia="arial" w:hAnsi="arial" w:cs="arial"/>
          <w:color w:val="000000"/>
          <w:sz w:val="20"/>
          <w:lang w:val="en-US" w:eastAsia="en-US" w:bidi="ar-SA"/>
        </w:rPr>
        <w:t xml:space="preserve">, has Gencor, being the applicant, established that British Columbia is not the convenient forum? This engages an analysis of the effect of section 11 of the </w:t>
      </w:r>
      <w:r>
        <w:rPr>
          <w:rFonts w:ascii="arial" w:eastAsia="arial" w:hAnsi="arial" w:cs="arial"/>
          <w:i/>
          <w:color w:val="000000"/>
          <w:sz w:val="20"/>
          <w:lang w:val="en-US" w:eastAsia="en-US" w:bidi="ar-SA"/>
        </w:rPr>
        <w:t>Court Jurisdiction and Proceedings Transfer Act</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S.B.C. 2003, c. 28</w:t>
      </w:r>
      <w:r>
        <w:rPr>
          <w:rFonts w:ascii="arial" w:eastAsia="arial" w:hAnsi="arial" w:cs="arial"/>
          <w:color w:val="000000"/>
          <w:sz w:val="20"/>
          <w:lang w:val="en-US" w:eastAsia="en-US" w:bidi="ar-SA"/>
        </w:rPr>
        <w:t xml:space="preserve"> (the "</w:t>
      </w:r>
      <w:r>
        <w:rPr>
          <w:rFonts w:ascii="arial" w:eastAsia="arial" w:hAnsi="arial" w:cs="arial"/>
          <w:i/>
          <w:color w:val="000000"/>
          <w:sz w:val="20"/>
          <w:lang w:val="en-US" w:eastAsia="en-US" w:bidi="ar-SA"/>
        </w:rPr>
        <w:t>CJPTA</w:t>
      </w:r>
      <w:r>
        <w:rPr>
          <w:rFonts w:ascii="arial" w:eastAsia="arial" w:hAnsi="arial" w:cs="arial"/>
          <w:color w:val="000000"/>
          <w:sz w:val="20"/>
          <w:lang w:val="en-US" w:eastAsia="en-US" w:bidi="ar-SA"/>
        </w:rPr>
        <w:t xml:space="preserve">") which codifies the </w:t>
      </w:r>
      <w:r>
        <w:rPr>
          <w:rFonts w:ascii="arial" w:eastAsia="arial" w:hAnsi="arial" w:cs="arial"/>
          <w:i/>
          <w:color w:val="000000"/>
          <w:sz w:val="20"/>
          <w:lang w:val="en-US" w:eastAsia="en-US" w:bidi="ar-SA"/>
        </w:rPr>
        <w:t>forum non conveniens</w:t>
      </w:r>
      <w:r>
        <w:rPr>
          <w:rFonts w:ascii="arial" w:eastAsia="arial" w:hAnsi="arial" w:cs="arial"/>
          <w:color w:val="000000"/>
          <w:sz w:val="20"/>
          <w:lang w:val="en-US" w:eastAsia="en-US" w:bidi="ar-SA"/>
        </w:rPr>
        <w:t xml:space="preserve"> doctrine and provides:</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11 (1) After considering the interests of the parties to a proceeding and the ends of justice, a court may decline to exercise its territorial competence in the proceeding on the ground that a court of another state is a more appropriate forum in which to hear the proceeding.</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11 (2) A court, in deciding the question of whether it or a court outside British Columbia is the more appropriate forum in which to hear a proceeding, must consider the circumstances relevant to the proceeding, including</w:t>
      </w:r>
    </w:p>
    <w:p>
      <w:pPr>
        <w:numPr>
          <w:numId w:val="10"/>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the comparative convenience and expense for the parties to the proceeding and for their witnesses, in litigating in the court or in any alternative forum,</w:t>
      </w:r>
    </w:p>
    <w:p>
      <w:pPr>
        <w:numPr>
          <w:numId w:val="11"/>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the law to be applied to issues in the proceeding,</w:t>
      </w:r>
    </w:p>
    <w:p>
      <w:pPr>
        <w:numPr>
          <w:numId w:val="12"/>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the desirability of avoiding multiplicity of legal proceedings,</w:t>
      </w:r>
    </w:p>
    <w:p>
      <w:pPr>
        <w:numPr>
          <w:numId w:val="13"/>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the desirability of avoiding conflicting decisions in different courts,</w:t>
      </w:r>
    </w:p>
    <w:p>
      <w:pPr>
        <w:numPr>
          <w:numId w:val="14"/>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the enforcement of an eventual judgment, and</w:t>
      </w:r>
    </w:p>
    <w:p>
      <w:pPr>
        <w:numPr>
          <w:numId w:val="15"/>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the fair and efficient working of the Canadian legal system as a whole.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941"/>
        <w:gridCol w:w="7842"/>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92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18"/>
                <w:lang w:val="en-US" w:eastAsia="en-US" w:bidi="ar-SA"/>
              </w:rPr>
              <w:t>B:</w:t>
            </w:r>
          </w:p>
        </w:tc>
        <w:tc>
          <w:tcPr>
            <w:tcW w:w="7680"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18"/>
                <w:lang w:val="en-US" w:eastAsia="en-US" w:bidi="ar-SA"/>
              </w:rPr>
              <w:t>The Legal Principles</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28</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Preymann v. Ayus Technology Corp.</w:t>
      </w:r>
      <w:r>
        <w:rPr>
          <w:rFonts w:ascii="arial" w:eastAsia="arial" w:hAnsi="arial" w:cs="arial"/>
          <w:color w:val="000000"/>
          <w:sz w:val="20"/>
          <w:lang w:val="en-US" w:eastAsia="en-US" w:bidi="ar-SA"/>
        </w:rPr>
        <w:t xml:space="preserve">, </w:t>
      </w:r>
      <w:hyperlink r:id="rId809" w:history="1">
        <w:r>
          <w:rPr>
            <w:rFonts w:ascii="arial" w:eastAsia="arial" w:hAnsi="arial" w:cs="arial"/>
            <w:i/>
            <w:color w:val="0077CC"/>
            <w:sz w:val="20"/>
            <w:u w:val="single"/>
            <w:shd w:val="clear" w:color="auto" w:fill="FFFFFF"/>
            <w:lang w:val="en-US" w:eastAsia="en-US" w:bidi="ar-SA"/>
          </w:rPr>
          <w:t>2012 BCCA 30</w:t>
        </w:r>
      </w:hyperlink>
      <w:r>
        <w:rPr>
          <w:rFonts w:ascii="arial" w:eastAsia="arial" w:hAnsi="arial" w:cs="arial"/>
          <w:color w:val="000000"/>
          <w:sz w:val="20"/>
          <w:lang w:val="en-US" w:eastAsia="en-US" w:bidi="ar-SA"/>
        </w:rPr>
        <w:t xml:space="preserve">, the Court of Appeal at para. 34, citing </w:t>
      </w:r>
      <w:r>
        <w:rPr>
          <w:rFonts w:ascii="arial" w:eastAsia="arial" w:hAnsi="arial" w:cs="arial"/>
          <w:i/>
          <w:color w:val="000000"/>
          <w:sz w:val="20"/>
          <w:lang w:val="en-US" w:eastAsia="en-US" w:bidi="ar-SA"/>
        </w:rPr>
        <w:t>Hudye Farms Inc. v. Canadian Wheat Board</w:t>
      </w:r>
      <w:r>
        <w:rPr>
          <w:rFonts w:ascii="arial" w:eastAsia="arial" w:hAnsi="arial" w:cs="arial"/>
          <w:color w:val="000000"/>
          <w:sz w:val="20"/>
          <w:lang w:val="en-US" w:eastAsia="en-US" w:bidi="ar-SA"/>
        </w:rPr>
        <w:t xml:space="preserve">, </w:t>
      </w:r>
      <w:hyperlink r:id="rId810" w:history="1">
        <w:r>
          <w:rPr>
            <w:rFonts w:ascii="arial" w:eastAsia="arial" w:hAnsi="arial" w:cs="arial"/>
            <w:i/>
            <w:color w:val="0077CC"/>
            <w:sz w:val="20"/>
            <w:u w:val="single"/>
            <w:shd w:val="clear" w:color="auto" w:fill="FFFFFF"/>
            <w:lang w:val="en-US" w:eastAsia="en-US" w:bidi="ar-SA"/>
          </w:rPr>
          <w:t>2011 SKCA 137</w:t>
        </w:r>
      </w:hyperlink>
      <w:r>
        <w:rPr>
          <w:rFonts w:ascii="arial" w:eastAsia="arial" w:hAnsi="arial" w:cs="arial"/>
          <w:color w:val="000000"/>
          <w:sz w:val="20"/>
          <w:lang w:val="en-US" w:eastAsia="en-US" w:bidi="ar-SA"/>
        </w:rPr>
        <w:t xml:space="preserve"> at para. 12 sets out the steps to be followed in the analysis as to whether a court should decline jurisdiction based on a forum selection clause:</w:t>
      </w:r>
      <w:r>
        <w:rPr>
          <w:rFonts w:ascii="arial" w:eastAsia="arial" w:hAnsi="arial" w:cs="arial"/>
          <w:sz w:val="20"/>
          <w:lang w:val="en-US" w:eastAsia="en-US" w:bidi="ar-SA"/>
        </w:rPr>
        <w:cr/>
      </w:r>
    </w:p>
    <w:p>
      <w:pPr>
        <w:numPr>
          <w:numId w:val="16"/>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 Province must have territorial competence over the matter;</w:t>
      </w:r>
    </w:p>
    <w:p>
      <w:pPr>
        <w:numPr>
          <w:numId w:val="17"/>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 party relying on the forum selection clause must then establish that the clause is valid, clear, enforceable, and that it applies to the cause of action before the court;</w:t>
      </w:r>
    </w:p>
    <w:p>
      <w:pPr>
        <w:numPr>
          <w:numId w:val="18"/>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Once that is established, the party opposing the forum selection clause must show "strong cause" as to why the court should not enforce the forum selection clause; and</w:t>
      </w:r>
    </w:p>
    <w:p>
      <w:pPr>
        <w:numPr>
          <w:numId w:val="1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If the party opposing the forum selection clause has not shown strong cause, the court should still consider, according to the application before it, whether it is appropriate to transfer the proceeding to another jurisdiction pursuant to the </w:t>
      </w:r>
      <w:r>
        <w:rPr>
          <w:rFonts w:ascii="arial" w:eastAsia="arial" w:hAnsi="arial" w:cs="arial"/>
          <w:i/>
          <w:color w:val="000000"/>
          <w:sz w:val="20"/>
          <w:lang w:val="en-US" w:eastAsia="en-US" w:bidi="ar-SA"/>
        </w:rPr>
        <w:t>CJPTA</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See also </w:t>
      </w:r>
      <w:r>
        <w:rPr>
          <w:rFonts w:ascii="arial" w:eastAsia="arial" w:hAnsi="arial" w:cs="arial"/>
          <w:i/>
          <w:color w:val="000000"/>
          <w:sz w:val="20"/>
          <w:lang w:val="en-US" w:eastAsia="en-US" w:bidi="ar-SA"/>
        </w:rPr>
        <w:t>Douez v. Facebook, Inc.</w:t>
      </w:r>
      <w:r>
        <w:rPr>
          <w:rFonts w:ascii="arial" w:eastAsia="arial" w:hAnsi="arial" w:cs="arial"/>
          <w:color w:val="000000"/>
          <w:sz w:val="20"/>
          <w:lang w:val="en-US" w:eastAsia="en-US" w:bidi="ar-SA"/>
        </w:rPr>
        <w:t xml:space="preserve">, </w:t>
      </w:r>
      <w:hyperlink r:id="rId811" w:history="1">
        <w:r>
          <w:rPr>
            <w:rFonts w:ascii="arial" w:eastAsia="arial" w:hAnsi="arial" w:cs="arial"/>
            <w:i/>
            <w:color w:val="0077CC"/>
            <w:sz w:val="20"/>
            <w:u w:val="single"/>
            <w:shd w:val="clear" w:color="auto" w:fill="FFFFFF"/>
            <w:lang w:val="en-US" w:eastAsia="en-US" w:bidi="ar-SA"/>
          </w:rPr>
          <w:t>2014 BCSC 953</w:t>
        </w:r>
      </w:hyperlink>
      <w:r>
        <w:rPr>
          <w:rFonts w:ascii="arial" w:eastAsia="arial" w:hAnsi="arial" w:cs="arial"/>
          <w:color w:val="000000"/>
          <w:sz w:val="20"/>
          <w:lang w:val="en-US" w:eastAsia="en-US" w:bidi="ar-SA"/>
        </w:rPr>
        <w:t xml:space="preserve"> at para 31.</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w:t>
      </w:r>
      <w:r>
        <w:rPr>
          <w:rFonts w:ascii="arial" w:eastAsia="arial" w:hAnsi="arial" w:cs="arial"/>
          <w:color w:val="000000"/>
          <w:sz w:val="20"/>
          <w:lang w:val="en-US" w:eastAsia="en-US" w:bidi="ar-SA"/>
        </w:rPr>
        <w:t xml:space="preserve">  The Court of Appeal in </w:t>
      </w:r>
      <w:r>
        <w:rPr>
          <w:rFonts w:ascii="arial" w:eastAsia="arial" w:hAnsi="arial" w:cs="arial"/>
          <w:i/>
          <w:color w:val="000000"/>
          <w:sz w:val="20"/>
          <w:lang w:val="en-US" w:eastAsia="en-US" w:bidi="ar-SA"/>
        </w:rPr>
        <w:t>Preymann</w:t>
      </w:r>
      <w:r>
        <w:rPr>
          <w:rFonts w:ascii="arial" w:eastAsia="arial" w:hAnsi="arial" w:cs="arial"/>
          <w:color w:val="000000"/>
          <w:sz w:val="20"/>
          <w:lang w:val="en-US" w:eastAsia="en-US" w:bidi="ar-SA"/>
        </w:rPr>
        <w:t xml:space="preserve"> followed </w:t>
      </w:r>
      <w:r>
        <w:rPr>
          <w:rFonts w:ascii="arial" w:eastAsia="arial" w:hAnsi="arial" w:cs="arial"/>
          <w:i/>
          <w:color w:val="000000"/>
          <w:sz w:val="20"/>
          <w:lang w:val="en-US" w:eastAsia="en-US" w:bidi="ar-SA"/>
        </w:rPr>
        <w:t>Z.I. Pompey Industrie v. ECU-Line N.V.</w:t>
      </w:r>
      <w:r>
        <w:rPr>
          <w:rFonts w:ascii="arial" w:eastAsia="arial" w:hAnsi="arial" w:cs="arial"/>
          <w:color w:val="000000"/>
          <w:sz w:val="20"/>
          <w:lang w:val="en-US" w:eastAsia="en-US" w:bidi="ar-SA"/>
        </w:rPr>
        <w:t xml:space="preserve">, </w:t>
      </w:r>
      <w:hyperlink r:id="rId812" w:history="1">
        <w:r>
          <w:rPr>
            <w:rFonts w:ascii="arial" w:eastAsia="arial" w:hAnsi="arial" w:cs="arial"/>
            <w:i/>
            <w:color w:val="0077CC"/>
            <w:sz w:val="20"/>
            <w:u w:val="single"/>
            <w:shd w:val="clear" w:color="auto" w:fill="FFFFFF"/>
            <w:lang w:val="en-US" w:eastAsia="en-US" w:bidi="ar-SA"/>
          </w:rPr>
          <w:t>2003 SCC 27</w:t>
        </w:r>
      </w:hyperlink>
      <w:r>
        <w:rPr>
          <w:rFonts w:ascii="arial" w:eastAsia="arial" w:hAnsi="arial" w:cs="arial"/>
          <w:color w:val="000000"/>
          <w:sz w:val="20"/>
          <w:lang w:val="en-US" w:eastAsia="en-US" w:bidi="ar-SA"/>
        </w:rPr>
        <w:t xml:space="preserve">, where the Supreme Court of Canada held that great weight should be given to the parties' contractual choice of the appropriate forum. The exercise of the court's discretion not to enforce the forum selection clause is governed by the "strong cause" test, first stated in </w:t>
      </w:r>
      <w:r>
        <w:rPr>
          <w:rFonts w:ascii="arial" w:eastAsia="arial" w:hAnsi="arial" w:cs="arial"/>
          <w:i/>
          <w:color w:val="000000"/>
          <w:sz w:val="20"/>
          <w:lang w:val="en-US" w:eastAsia="en-US" w:bidi="ar-SA"/>
        </w:rPr>
        <w:t>The Eleftheria</w:t>
      </w:r>
      <w:r>
        <w:rPr>
          <w:rFonts w:ascii="arial" w:eastAsia="arial" w:hAnsi="arial" w:cs="arial"/>
          <w:color w:val="000000"/>
          <w:sz w:val="20"/>
          <w:lang w:val="en-US" w:eastAsia="en-US" w:bidi="ar-SA"/>
        </w:rPr>
        <w:t xml:space="preserve"> (1969), 2 All E.R. 641. In </w:t>
      </w:r>
      <w:r>
        <w:rPr>
          <w:rFonts w:ascii="arial" w:eastAsia="arial" w:hAnsi="arial" w:cs="arial"/>
          <w:i/>
          <w:color w:val="000000"/>
          <w:sz w:val="20"/>
          <w:lang w:val="en-US" w:eastAsia="en-US" w:bidi="ar-SA"/>
        </w:rPr>
        <w:t>Pompey Industrie</w:t>
      </w:r>
      <w:r>
        <w:rPr>
          <w:rFonts w:ascii="arial" w:eastAsia="arial" w:hAnsi="arial" w:cs="arial"/>
          <w:color w:val="000000"/>
          <w:sz w:val="20"/>
          <w:lang w:val="en-US" w:eastAsia="en-US" w:bidi="ar-SA"/>
        </w:rPr>
        <w:t>, the Court held: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[20] ...This test rightly imposes the burden on the plaintiff to satisfy the court that there is good reason it should not be bound by the forum selection clause. It is essential that courts give full weight to the desirability of holding contracting parties to their agreements. There is no reason to consider forum selection clauses to be non-responsibility clauses in disguise. In any event, the "strong cause" test provides sufficient leeway for judges to take improper motives into consideration in relevant cases and prevent defendants from relying on forum selection clauses to gain an unfair procedural advantage.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Expedition Helicopters Inc. v. Honeywell Inc.</w:t>
      </w:r>
      <w:r>
        <w:rPr>
          <w:rFonts w:ascii="arial" w:eastAsia="arial" w:hAnsi="arial" w:cs="arial"/>
          <w:color w:val="000000"/>
          <w:sz w:val="20"/>
          <w:lang w:val="en-US" w:eastAsia="en-US" w:bidi="ar-SA"/>
        </w:rPr>
        <w:t xml:space="preserve">, </w:t>
      </w:r>
      <w:hyperlink r:id="rId813" w:history="1">
        <w:r>
          <w:rPr>
            <w:rFonts w:ascii="arial" w:eastAsia="arial" w:hAnsi="arial" w:cs="arial"/>
            <w:i/>
            <w:color w:val="0077CC"/>
            <w:sz w:val="20"/>
            <w:u w:val="single"/>
            <w:shd w:val="clear" w:color="auto" w:fill="FFFFFF"/>
            <w:lang w:val="en-US" w:eastAsia="en-US" w:bidi="ar-SA"/>
          </w:rPr>
          <w:t>2010 ONCA 351</w:t>
        </w:r>
      </w:hyperlink>
      <w:r>
        <w:rPr>
          <w:rFonts w:ascii="arial" w:eastAsia="arial" w:hAnsi="arial" w:cs="arial"/>
          <w:color w:val="000000"/>
          <w:sz w:val="20"/>
          <w:lang w:val="en-US" w:eastAsia="en-US" w:bidi="ar-SA"/>
        </w:rPr>
        <w:t xml:space="preserve">, leave to appeal to S.C.C. refused, 33790, </w:t>
      </w:r>
      <w:hyperlink r:id="rId814" w:history="1">
        <w:r>
          <w:rPr>
            <w:rFonts w:ascii="arial" w:eastAsia="arial" w:hAnsi="arial" w:cs="arial"/>
            <w:i/>
            <w:color w:val="0077CC"/>
            <w:sz w:val="20"/>
            <w:u w:val="single"/>
            <w:shd w:val="clear" w:color="auto" w:fill="FFFFFF"/>
            <w:lang w:val="en-US" w:eastAsia="en-US" w:bidi="ar-SA"/>
          </w:rPr>
          <w:t>[2010] S.C.C.A. No. 258</w:t>
        </w:r>
      </w:hyperlink>
      <w:r>
        <w:rPr>
          <w:rFonts w:ascii="arial" w:eastAsia="arial" w:hAnsi="arial" w:cs="arial"/>
          <w:color w:val="000000"/>
          <w:sz w:val="20"/>
          <w:lang w:val="en-US" w:eastAsia="en-US" w:bidi="ar-SA"/>
        </w:rPr>
        <w:t>, (November 25, 2010), Juriansz J.A. summarized the principles as follows: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[24] A forum selection clause in a commercial contract should be given effect. The factors that may justify departure from that general principle are few. The few factors that might be considered include the plaintiff was induced to agree to the clause by fraud or improper inducement or the contract is otherwise unenforceable, the court in the selected forum does not accept jurisdiction or otherwise is unable to deal with the claim, the claim or the circumstances that have arisen are outside of what was reasonably contemplated by the parties when they agreed to the clause, the plaintiff can no longer expect a fair trial in the selected forum due to subsequent events that could not have been reasonably anticipated, or enforcing the clause in the particular case would frustrate some clear public policy. Apart from circumstances such as these, a forum selection clause in a commercial contract should be enforced.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w:t>
      </w:r>
      <w:r>
        <w:rPr>
          <w:rFonts w:ascii="arial" w:eastAsia="arial" w:hAnsi="arial" w:cs="arial"/>
          <w:color w:val="000000"/>
          <w:sz w:val="20"/>
          <w:lang w:val="en-US" w:eastAsia="en-US" w:bidi="ar-SA"/>
        </w:rPr>
        <w:t>  The common law applies in determining whether there is strong cause for the court not to give effect to a forum selection clause contained in an agreement.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w:t>
      </w:r>
      <w:r>
        <w:rPr>
          <w:rFonts w:ascii="arial" w:eastAsia="arial" w:hAnsi="arial" w:cs="arial"/>
          <w:color w:val="000000"/>
          <w:sz w:val="20"/>
          <w:lang w:val="en-US" w:eastAsia="en-US" w:bidi="ar-SA"/>
        </w:rPr>
        <w:t xml:space="preserve">  The Court of Appeal in </w:t>
      </w:r>
      <w:r>
        <w:rPr>
          <w:rFonts w:ascii="arial" w:eastAsia="arial" w:hAnsi="arial" w:cs="arial"/>
          <w:i/>
          <w:color w:val="000000"/>
          <w:sz w:val="20"/>
          <w:lang w:val="en-US" w:eastAsia="en-US" w:bidi="ar-SA"/>
        </w:rPr>
        <w:t>Sarabia v. Oceanic Mindoro (The)</w:t>
      </w:r>
      <w:r>
        <w:rPr>
          <w:rFonts w:ascii="arial" w:eastAsia="arial" w:hAnsi="arial" w:cs="arial"/>
          <w:color w:val="000000"/>
          <w:sz w:val="20"/>
          <w:lang w:val="en-US" w:eastAsia="en-US" w:bidi="ar-SA"/>
        </w:rPr>
        <w:t xml:space="preserve">, </w:t>
      </w:r>
      <w:hyperlink r:id="rId815" w:history="1">
        <w:r>
          <w:rPr>
            <w:rFonts w:ascii="arial" w:eastAsia="arial" w:hAnsi="arial" w:cs="arial"/>
            <w:i/>
            <w:color w:val="0077CC"/>
            <w:sz w:val="20"/>
            <w:u w:val="single"/>
            <w:shd w:val="clear" w:color="auto" w:fill="FFFFFF"/>
            <w:lang w:val="en-US" w:eastAsia="en-US" w:bidi="ar-SA"/>
          </w:rPr>
          <w:t>[1997] 26 B.C.L.R. (3d) 143</w:t>
        </w:r>
      </w:hyperlink>
      <w:r>
        <w:rPr>
          <w:rFonts w:ascii="arial" w:eastAsia="arial" w:hAnsi="arial" w:cs="arial"/>
          <w:color w:val="000000"/>
          <w:sz w:val="20"/>
          <w:lang w:val="en-US" w:eastAsia="en-US" w:bidi="ar-SA"/>
        </w:rPr>
        <w:t xml:space="preserve"> at 153 (C.A.) said, "It is commonly understood that Canadian courts will respect contracting parties' choice of forum to resolve disputes arising from their contractual relationship unless there is strong cause to override the agreement." The factors to be considered in determining whether "strong cause" exists include:</w:t>
      </w:r>
      <w:r>
        <w:rPr>
          <w:rFonts w:ascii="arial" w:eastAsia="arial" w:hAnsi="arial" w:cs="arial"/>
          <w:sz w:val="20"/>
          <w:lang w:val="en-US" w:eastAsia="en-US" w:bidi="ar-SA"/>
        </w:rPr>
        <w:cr/>
      </w:r>
    </w:p>
    <w:p>
      <w:pPr>
        <w:numPr>
          <w:numId w:val="20"/>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whether the contract is unenforceable;</w:t>
      </w:r>
    </w:p>
    <w:p>
      <w:pPr>
        <w:numPr>
          <w:numId w:val="21"/>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whether the court in the elected forum does not accept jurisdiction or is otherwise unable to deal with the claim;</w:t>
      </w:r>
    </w:p>
    <w:p>
      <w:pPr>
        <w:numPr>
          <w:numId w:val="22"/>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whether the claim or circumstances that have arisen are outside of what was reasonably contemplated by the parties when they agreed to the clause;</w:t>
      </w:r>
    </w:p>
    <w:p>
      <w:pPr>
        <w:numPr>
          <w:numId w:val="23"/>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whether enforcing the clause would frustrate public policy;</w:t>
      </w:r>
    </w:p>
    <w:p>
      <w:pPr>
        <w:numPr>
          <w:numId w:val="24"/>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in what country the evidence on the issues of fact is situated or more readily available, and the effect of that on the relative convenience and expense of litigation as between the British Columbia court and the foreign court;</w:t>
      </w:r>
    </w:p>
    <w:p>
      <w:pPr>
        <w:numPr>
          <w:numId w:val="25"/>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whether the law of the foreign jurisdiction applies and, if so, whether it differs from British Columbia law in any material respects;</w:t>
      </w:r>
    </w:p>
    <w:p>
      <w:pPr>
        <w:numPr>
          <w:numId w:val="26"/>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with what country either party is connected, and how closely;</w:t>
      </w:r>
    </w:p>
    <w:p>
      <w:pPr>
        <w:numPr>
          <w:numId w:val="27"/>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whether the defendants genuinely desire trial in the foreign country, or are only seeking procedural advantages;</w:t>
      </w:r>
    </w:p>
    <w:p>
      <w:pPr>
        <w:numPr>
          <w:numId w:val="28"/>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whether the plaintiff would be prejudiced by having to sue in the foreign court;</w:t>
      </w:r>
    </w:p>
    <w:p>
      <w:pPr>
        <w:numPr>
          <w:numId w:val="3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whether there has been inordinate delay in bringing a motion to decline jurisdiction;</w:t>
      </w:r>
    </w:p>
    <w:p>
      <w:pPr>
        <w:numPr>
          <w:numId w:val="3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whether there are multiple defendants, and the exclusive jurisdiction clause applies for the benefit of only some of them; and</w:t>
      </w:r>
    </w:p>
    <w:p>
      <w:pPr>
        <w:numPr>
          <w:numId w:val="3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claims among the various parties (only some of whom are subject to the foreign selection clause) are so intertwined that it is impossible to adjudicate the issues between the parties subject to the clause without also dealing with the issues as between the other parties.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See also </w:t>
      </w:r>
      <w:r>
        <w:rPr>
          <w:rFonts w:ascii="arial" w:eastAsia="arial" w:hAnsi="arial" w:cs="arial"/>
          <w:i/>
          <w:color w:val="000000"/>
          <w:sz w:val="20"/>
          <w:lang w:val="en-US" w:eastAsia="en-US" w:bidi="ar-SA"/>
        </w:rPr>
        <w:t>Expedition Helicopters</w:t>
      </w:r>
      <w:r>
        <w:rPr>
          <w:rFonts w:ascii="arial" w:eastAsia="arial" w:hAnsi="arial" w:cs="arial"/>
          <w:color w:val="000000"/>
          <w:sz w:val="20"/>
          <w:lang w:val="en-US" w:eastAsia="en-US" w:bidi="ar-SA"/>
        </w:rPr>
        <w:t xml:space="preserve"> at paras. 16, 22; </w:t>
      </w:r>
      <w:r>
        <w:rPr>
          <w:rFonts w:ascii="arial" w:eastAsia="arial" w:hAnsi="arial" w:cs="arial"/>
          <w:i/>
          <w:color w:val="000000"/>
          <w:sz w:val="20"/>
          <w:lang w:val="en-US" w:eastAsia="en-US" w:bidi="ar-SA"/>
        </w:rPr>
        <w:t>Sarabia</w:t>
      </w:r>
      <w:r>
        <w:rPr>
          <w:rFonts w:ascii="arial" w:eastAsia="arial" w:hAnsi="arial" w:cs="arial"/>
          <w:color w:val="000000"/>
          <w:sz w:val="20"/>
          <w:lang w:val="en-US" w:eastAsia="en-US" w:bidi="ar-SA"/>
        </w:rPr>
        <w:t xml:space="preserve"> at 153, citing </w:t>
      </w:r>
      <w:r>
        <w:rPr>
          <w:rFonts w:ascii="arial" w:eastAsia="arial" w:hAnsi="arial" w:cs="arial"/>
          <w:i/>
          <w:color w:val="000000"/>
          <w:sz w:val="20"/>
          <w:lang w:val="en-US" w:eastAsia="en-US" w:bidi="ar-SA"/>
        </w:rPr>
        <w:t>The Eleftheria</w:t>
      </w:r>
      <w:r>
        <w:rPr>
          <w:rFonts w:ascii="arial" w:eastAsia="arial" w:hAnsi="arial" w:cs="arial"/>
          <w:color w:val="000000"/>
          <w:sz w:val="20"/>
          <w:lang w:val="en-US" w:eastAsia="en-US" w:bidi="ar-SA"/>
        </w:rPr>
        <w:t xml:space="preserve"> at 645; </w:t>
      </w:r>
      <w:r>
        <w:rPr>
          <w:rFonts w:ascii="arial" w:eastAsia="arial" w:hAnsi="arial" w:cs="arial"/>
          <w:i/>
          <w:color w:val="000000"/>
          <w:sz w:val="20"/>
          <w:lang w:val="en-US" w:eastAsia="en-US" w:bidi="ar-SA"/>
        </w:rPr>
        <w:t>Straus v. Decaire</w:t>
      </w:r>
      <w:r>
        <w:rPr>
          <w:rFonts w:ascii="arial" w:eastAsia="arial" w:hAnsi="arial" w:cs="arial"/>
          <w:color w:val="000000"/>
          <w:sz w:val="20"/>
          <w:lang w:val="en-US" w:eastAsia="en-US" w:bidi="ar-SA"/>
        </w:rPr>
        <w:t xml:space="preserve">, </w:t>
      </w:r>
      <w:hyperlink r:id="rId816" w:history="1">
        <w:r>
          <w:rPr>
            <w:rFonts w:ascii="arial" w:eastAsia="arial" w:hAnsi="arial" w:cs="arial"/>
            <w:i/>
            <w:color w:val="0077CC"/>
            <w:sz w:val="20"/>
            <w:u w:val="single"/>
            <w:shd w:val="clear" w:color="auto" w:fill="FFFFFF"/>
            <w:lang w:val="en-US" w:eastAsia="en-US" w:bidi="ar-SA"/>
          </w:rPr>
          <w:t>[2007] O.J. No. 1660</w:t>
        </w:r>
      </w:hyperlink>
      <w:r>
        <w:rPr>
          <w:rFonts w:ascii="arial" w:eastAsia="arial" w:hAnsi="arial" w:cs="arial"/>
          <w:color w:val="000000"/>
          <w:sz w:val="20"/>
          <w:lang w:val="en-US" w:eastAsia="en-US" w:bidi="ar-SA"/>
        </w:rPr>
        <w:t xml:space="preserve"> at paras. 26-27 (S.C.J.), aff'd </w:t>
      </w:r>
      <w:hyperlink r:id="rId817" w:history="1">
        <w:r>
          <w:rPr>
            <w:rFonts w:ascii="arial" w:eastAsia="arial" w:hAnsi="arial" w:cs="arial"/>
            <w:i/>
            <w:color w:val="0077CC"/>
            <w:sz w:val="20"/>
            <w:u w:val="single"/>
            <w:shd w:val="clear" w:color="auto" w:fill="FFFFFF"/>
            <w:lang w:val="en-US" w:eastAsia="en-US" w:bidi="ar-SA"/>
          </w:rPr>
          <w:t>2007 ONCA 854</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Frey v. Bell Mobility Inc. (sub nom Microcell Communications Inc. v. Frey)</w:t>
      </w:r>
      <w:r>
        <w:rPr>
          <w:rFonts w:ascii="arial" w:eastAsia="arial" w:hAnsi="arial" w:cs="arial"/>
          <w:color w:val="000000"/>
          <w:sz w:val="20"/>
          <w:lang w:val="en-US" w:eastAsia="en-US" w:bidi="ar-SA"/>
        </w:rPr>
        <w:t xml:space="preserve">, </w:t>
      </w:r>
      <w:hyperlink r:id="rId149" w:history="1">
        <w:r>
          <w:rPr>
            <w:rFonts w:ascii="arial" w:eastAsia="arial" w:hAnsi="arial" w:cs="arial"/>
            <w:i/>
            <w:color w:val="0077CC"/>
            <w:sz w:val="20"/>
            <w:u w:val="single"/>
            <w:shd w:val="clear" w:color="auto" w:fill="FFFFFF"/>
            <w:lang w:val="en-US" w:eastAsia="en-US" w:bidi="ar-SA"/>
          </w:rPr>
          <w:t>2011 SKCA 136</w:t>
        </w:r>
      </w:hyperlink>
      <w:r>
        <w:rPr>
          <w:rFonts w:ascii="arial" w:eastAsia="arial" w:hAnsi="arial" w:cs="arial"/>
          <w:color w:val="000000"/>
          <w:sz w:val="20"/>
          <w:lang w:val="en-US" w:eastAsia="en-US" w:bidi="ar-SA"/>
        </w:rPr>
        <w:t xml:space="preserve"> at para. 118, leave to appeal to S.C.C. refused, 34618, </w:t>
      </w:r>
      <w:hyperlink r:id="rId818" w:history="1">
        <w:r>
          <w:rPr>
            <w:rFonts w:ascii="arial" w:eastAsia="arial" w:hAnsi="arial" w:cs="arial"/>
            <w:i/>
            <w:color w:val="0077CC"/>
            <w:sz w:val="20"/>
            <w:u w:val="single"/>
            <w:shd w:val="clear" w:color="auto" w:fill="FFFFFF"/>
            <w:lang w:val="en-US" w:eastAsia="en-US" w:bidi="ar-SA"/>
          </w:rPr>
          <w:t>[2012] S.C.C.A. No. 42</w:t>
        </w:r>
      </w:hyperlink>
      <w:r>
        <w:rPr>
          <w:rFonts w:ascii="arial" w:eastAsia="arial" w:hAnsi="arial" w:cs="arial"/>
          <w:color w:val="000000"/>
          <w:sz w:val="20"/>
          <w:lang w:val="en-US" w:eastAsia="en-US" w:bidi="ar-SA"/>
        </w:rPr>
        <w:t xml:space="preserve">, (June 28, 2012); </w:t>
      </w:r>
      <w:r>
        <w:rPr>
          <w:rFonts w:ascii="arial" w:eastAsia="arial" w:hAnsi="arial" w:cs="arial"/>
          <w:i/>
          <w:color w:val="000000"/>
          <w:sz w:val="20"/>
          <w:lang w:val="en-US" w:eastAsia="en-US" w:bidi="ar-SA"/>
        </w:rPr>
        <w:t>Hans v. Volvo Trucks North America Inc.</w:t>
      </w:r>
      <w:r>
        <w:rPr>
          <w:rFonts w:ascii="arial" w:eastAsia="arial" w:hAnsi="arial" w:cs="arial"/>
          <w:color w:val="000000"/>
          <w:sz w:val="20"/>
          <w:lang w:val="en-US" w:eastAsia="en-US" w:bidi="ar-SA"/>
        </w:rPr>
        <w:t xml:space="preserve">, </w:t>
      </w:r>
      <w:hyperlink r:id="rId819" w:history="1">
        <w:r>
          <w:rPr>
            <w:rFonts w:ascii="arial" w:eastAsia="arial" w:hAnsi="arial" w:cs="arial"/>
            <w:i/>
            <w:color w:val="0077CC"/>
            <w:sz w:val="20"/>
            <w:u w:val="single"/>
            <w:shd w:val="clear" w:color="auto" w:fill="FFFFFF"/>
            <w:lang w:val="en-US" w:eastAsia="en-US" w:bidi="ar-SA"/>
          </w:rPr>
          <w:t>2010 BCSC 1700</w:t>
        </w:r>
      </w:hyperlink>
      <w:r>
        <w:rPr>
          <w:rFonts w:ascii="arial" w:eastAsia="arial" w:hAnsi="arial" w:cs="arial"/>
          <w:color w:val="000000"/>
          <w:sz w:val="20"/>
          <w:lang w:val="en-US" w:eastAsia="en-US" w:bidi="ar-SA"/>
        </w:rPr>
        <w:t xml:space="preserve"> at para. 54.</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w:t>
      </w:r>
      <w:r>
        <w:rPr>
          <w:rFonts w:ascii="arial" w:eastAsia="arial" w:hAnsi="arial" w:cs="arial"/>
          <w:color w:val="000000"/>
          <w:sz w:val="20"/>
          <w:lang w:val="en-US" w:eastAsia="en-US" w:bidi="ar-SA"/>
        </w:rPr>
        <w:t xml:space="preserve">  There is a similarity between the factors that are to be taken into account on an application for a stay of proceedings based on a forum selection clause and one based on </w:t>
      </w:r>
      <w:r>
        <w:rPr>
          <w:rFonts w:ascii="arial" w:eastAsia="arial" w:hAnsi="arial" w:cs="arial"/>
          <w:i/>
          <w:color w:val="000000"/>
          <w:sz w:val="20"/>
          <w:lang w:val="en-US" w:eastAsia="en-US" w:bidi="ar-SA"/>
        </w:rPr>
        <w:t>forum non-conveniens</w:t>
      </w:r>
      <w:r>
        <w:rPr>
          <w:rFonts w:ascii="arial" w:eastAsia="arial" w:hAnsi="arial" w:cs="arial"/>
          <w:color w:val="000000"/>
          <w:sz w:val="20"/>
          <w:lang w:val="en-US" w:eastAsia="en-US" w:bidi="ar-SA"/>
        </w:rPr>
        <w:t xml:space="preserve"> principles. A material difference, however, is which party bears the burden of proof, that is the one asserting strong cause or the one applying for a stay of proceedings based on </w:t>
      </w:r>
      <w:r>
        <w:rPr>
          <w:rFonts w:ascii="arial" w:eastAsia="arial" w:hAnsi="arial" w:cs="arial"/>
          <w:i/>
          <w:color w:val="000000"/>
          <w:sz w:val="20"/>
          <w:lang w:val="en-US" w:eastAsia="en-US" w:bidi="ar-SA"/>
        </w:rPr>
        <w:t>forum non-conveniens</w:t>
      </w:r>
      <w:r>
        <w:rPr>
          <w:rFonts w:ascii="arial" w:eastAsia="arial" w:hAnsi="arial" w:cs="arial"/>
          <w:color w:val="000000"/>
          <w:sz w:val="20"/>
          <w:lang w:val="en-US" w:eastAsia="en-US" w:bidi="ar-SA"/>
        </w:rPr>
        <w:t xml:space="preserve"> principles.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34</w:t>
      </w:r>
      <w:r>
        <w:rPr>
          <w:rFonts w:ascii="arial" w:eastAsia="arial" w:hAnsi="arial" w:cs="arial"/>
          <w:color w:val="000000"/>
          <w:sz w:val="20"/>
          <w:lang w:val="en-US" w:eastAsia="en-US" w:bidi="ar-SA"/>
        </w:rPr>
        <w:t xml:space="preserve">  From a practical perspective, however, which party bears the burden of proof may well not be significant in many of these types of cases. In any event, I do not consider it important in this one. While stated in an entirely different context, what was said by Satanove J. (now Kloegman J.) in </w:t>
      </w:r>
      <w:r>
        <w:rPr>
          <w:rFonts w:ascii="arial" w:eastAsia="arial" w:hAnsi="arial" w:cs="arial"/>
          <w:i/>
          <w:color w:val="000000"/>
          <w:sz w:val="20"/>
          <w:lang w:val="en-US" w:eastAsia="en-US" w:bidi="ar-SA"/>
        </w:rPr>
        <w:t>Fraser Park Estates Ltd. v. Lang Mitchener Lawrence &amp; Shaw</w:t>
      </w:r>
      <w:r>
        <w:rPr>
          <w:rFonts w:ascii="arial" w:eastAsia="arial" w:hAnsi="arial" w:cs="arial"/>
          <w:color w:val="000000"/>
          <w:sz w:val="20"/>
          <w:lang w:val="en-US" w:eastAsia="en-US" w:bidi="ar-SA"/>
        </w:rPr>
        <w:t xml:space="preserve">, </w:t>
      </w:r>
      <w:hyperlink r:id="rId820" w:history="1">
        <w:r>
          <w:rPr>
            <w:rFonts w:ascii="arial" w:eastAsia="arial" w:hAnsi="arial" w:cs="arial"/>
            <w:i/>
            <w:color w:val="0077CC"/>
            <w:sz w:val="20"/>
            <w:u w:val="single"/>
            <w:shd w:val="clear" w:color="auto" w:fill="FFFFFF"/>
            <w:lang w:val="en-US" w:eastAsia="en-US" w:bidi="ar-SA"/>
          </w:rPr>
          <w:t>[1999] B.C.J. No. 150</w:t>
        </w:r>
      </w:hyperlink>
      <w:r>
        <w:rPr>
          <w:rFonts w:ascii="arial" w:eastAsia="arial" w:hAnsi="arial" w:cs="arial"/>
          <w:color w:val="000000"/>
          <w:sz w:val="20"/>
          <w:lang w:val="en-US" w:eastAsia="en-US" w:bidi="ar-SA"/>
        </w:rPr>
        <w:t xml:space="preserve">, </w:t>
      </w:r>
      <w:hyperlink r:id="rId820" w:history="1">
        <w:r>
          <w:rPr>
            <w:rFonts w:ascii="arial" w:eastAsia="arial" w:hAnsi="arial" w:cs="arial"/>
            <w:i/>
            <w:color w:val="0077CC"/>
            <w:sz w:val="20"/>
            <w:u w:val="single"/>
            <w:shd w:val="clear" w:color="auto" w:fill="FFFFFF"/>
            <w:lang w:val="en-US" w:eastAsia="en-US" w:bidi="ar-SA"/>
          </w:rPr>
          <w:t>1999 CanLII 6630</w:t>
        </w:r>
      </w:hyperlink>
      <w:r>
        <w:rPr>
          <w:rFonts w:ascii="arial" w:eastAsia="arial" w:hAnsi="arial" w:cs="arial"/>
          <w:color w:val="000000"/>
          <w:sz w:val="20"/>
          <w:lang w:val="en-US" w:eastAsia="en-US" w:bidi="ar-SA"/>
        </w:rPr>
        <w:t xml:space="preserve"> at para. 68 (S.C.) applies here: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[68] Deciding who carries the burden of proving something only becomes crucial if there is insufficient evidence on a point or an even balancing of evidence for and against a particular contention.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941"/>
        <w:gridCol w:w="7842"/>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92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18"/>
                <w:lang w:val="en-US" w:eastAsia="en-US" w:bidi="ar-SA"/>
              </w:rPr>
              <w:t>C:</w:t>
            </w:r>
          </w:p>
        </w:tc>
        <w:tc>
          <w:tcPr>
            <w:tcW w:w="7680"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18"/>
                <w:lang w:val="en-US" w:eastAsia="en-US" w:bidi="ar-SA"/>
              </w:rPr>
              <w:t>The Parties' Positions</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35</w:t>
      </w:r>
      <w:r>
        <w:rPr>
          <w:rFonts w:ascii="arial" w:eastAsia="arial" w:hAnsi="arial" w:cs="arial"/>
          <w:color w:val="000000"/>
          <w:sz w:val="20"/>
          <w:lang w:val="en-US" w:eastAsia="en-US" w:bidi="ar-SA"/>
        </w:rPr>
        <w:t>  Gencor submits that the forum selection clause in the contract at issue is valid, clear, enforceable, and applicable to the cause of action before the court.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36</w:t>
      </w:r>
      <w:r>
        <w:rPr>
          <w:rFonts w:ascii="arial" w:eastAsia="arial" w:hAnsi="arial" w:cs="arial"/>
          <w:color w:val="000000"/>
          <w:sz w:val="20"/>
          <w:lang w:val="en-US" w:eastAsia="en-US" w:bidi="ar-SA"/>
        </w:rPr>
        <w:t xml:space="preserve">  It relies on Bastarache J.'s statement in </w:t>
      </w:r>
      <w:r>
        <w:rPr>
          <w:rFonts w:ascii="arial" w:eastAsia="arial" w:hAnsi="arial" w:cs="arial"/>
          <w:i/>
          <w:color w:val="000000"/>
          <w:sz w:val="20"/>
          <w:lang w:val="en-US" w:eastAsia="en-US" w:bidi="ar-SA"/>
        </w:rPr>
        <w:t>Pompey Industrie</w:t>
      </w:r>
      <w:r>
        <w:rPr>
          <w:rFonts w:ascii="arial" w:eastAsia="arial" w:hAnsi="arial" w:cs="arial"/>
          <w:color w:val="000000"/>
          <w:sz w:val="20"/>
          <w:lang w:val="en-US" w:eastAsia="en-US" w:bidi="ar-SA"/>
        </w:rPr>
        <w:t xml:space="preserve"> at para. 20, being that the "strong cause" test "rightly imposes the burden on the plaintiff to satisfy the court that there is good reason it should not be bound by the forum selection clause." Mr. Justice Bastarache also noted that the parties' agreement is to be given effect "in all but exceptional circumstances."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37</w:t>
      </w:r>
      <w:r>
        <w:rPr>
          <w:rFonts w:ascii="arial" w:eastAsia="arial" w:hAnsi="arial" w:cs="arial"/>
          <w:color w:val="000000"/>
          <w:sz w:val="20"/>
          <w:lang w:val="en-US" w:eastAsia="en-US" w:bidi="ar-SA"/>
        </w:rPr>
        <w:t>  While acknowledging that there are multiple defendants in this case, several not being parties to the Contract, Gencor submits that this factor is not sufficient to displace the selection of Florida by the plaintiff and Gencor as the appropriate forum to settle their dispute.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38</w:t>
      </w:r>
      <w:r>
        <w:rPr>
          <w:rFonts w:ascii="arial" w:eastAsia="arial" w:hAnsi="arial" w:cs="arial"/>
          <w:color w:val="000000"/>
          <w:sz w:val="20"/>
          <w:lang w:val="en-US" w:eastAsia="en-US" w:bidi="ar-SA"/>
        </w:rPr>
        <w:t>  Gencor also points to what it alleges as being an extremely weak case against it.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39</w:t>
      </w:r>
      <w:r>
        <w:rPr>
          <w:rFonts w:ascii="arial" w:eastAsia="arial" w:hAnsi="arial" w:cs="arial"/>
          <w:color w:val="000000"/>
          <w:sz w:val="20"/>
          <w:lang w:val="en-US" w:eastAsia="en-US" w:bidi="ar-SA"/>
        </w:rPr>
        <w:t xml:space="preserve">  The plaintiff, the BCSA, and the Lillie Defendants advance common positions. They submit that whether </w:t>
      </w:r>
      <w:r>
        <w:rPr>
          <w:rFonts w:ascii="arial" w:eastAsia="arial" w:hAnsi="arial" w:cs="arial"/>
          <w:i/>
          <w:color w:val="000000"/>
          <w:sz w:val="20"/>
          <w:lang w:val="en-US" w:eastAsia="en-US" w:bidi="ar-SA"/>
        </w:rPr>
        <w:t>The Eleftheria</w:t>
      </w:r>
      <w:r>
        <w:rPr>
          <w:rFonts w:ascii="arial" w:eastAsia="arial" w:hAnsi="arial" w:cs="arial"/>
          <w:color w:val="000000"/>
          <w:sz w:val="20"/>
          <w:lang w:val="en-US" w:eastAsia="en-US" w:bidi="ar-SA"/>
        </w:rPr>
        <w:t xml:space="preserve"> selection of forum factors are applied or those based on the principles of </w:t>
      </w:r>
      <w:r>
        <w:rPr>
          <w:rFonts w:ascii="arial" w:eastAsia="arial" w:hAnsi="arial" w:cs="arial"/>
          <w:i/>
          <w:color w:val="000000"/>
          <w:sz w:val="20"/>
          <w:lang w:val="en-US" w:eastAsia="en-US" w:bidi="ar-SA"/>
        </w:rPr>
        <w:t>forum non-conveniens</w:t>
      </w:r>
      <w:r>
        <w:rPr>
          <w:rFonts w:ascii="arial" w:eastAsia="arial" w:hAnsi="arial" w:cs="arial"/>
          <w:color w:val="000000"/>
          <w:sz w:val="20"/>
          <w:lang w:val="en-US" w:eastAsia="en-US" w:bidi="ar-SA"/>
        </w:rPr>
        <w:t>, the result should be the same. The court should exercise its discretion in refusing to grant a stay of proceedings since British Columbia is the appropriate forum for the issues in this dispute.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40</w:t>
      </w:r>
      <w:r>
        <w:rPr>
          <w:rFonts w:ascii="arial" w:eastAsia="arial" w:hAnsi="arial" w:cs="arial"/>
          <w:color w:val="000000"/>
          <w:sz w:val="20"/>
          <w:lang w:val="en-US" w:eastAsia="en-US" w:bidi="ar-SA"/>
        </w:rPr>
        <w:t>  I shall refer below to specific factors raised by the application respondents.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941"/>
        <w:gridCol w:w="7842"/>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92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18"/>
                <w:lang w:val="en-US" w:eastAsia="en-US" w:bidi="ar-SA"/>
              </w:rPr>
              <w:t>D:</w:t>
            </w:r>
          </w:p>
        </w:tc>
        <w:tc>
          <w:tcPr>
            <w:tcW w:w="7680"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18"/>
                <w:lang w:val="en-US" w:eastAsia="en-US" w:bidi="ar-SA"/>
              </w:rPr>
              <w:t>Discussion</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41</w:t>
      </w:r>
      <w:r>
        <w:rPr>
          <w:rFonts w:ascii="arial" w:eastAsia="arial" w:hAnsi="arial" w:cs="arial"/>
          <w:color w:val="000000"/>
          <w:sz w:val="20"/>
          <w:lang w:val="en-US" w:eastAsia="en-US" w:bidi="ar-SA"/>
        </w:rPr>
        <w:t xml:space="preserve">  I agree with the position of the respondents. Whether the issues on this application are approached from the perspective of forum selection or </w:t>
      </w:r>
      <w:r>
        <w:rPr>
          <w:rFonts w:ascii="arial" w:eastAsia="arial" w:hAnsi="arial" w:cs="arial"/>
          <w:i/>
          <w:color w:val="000000"/>
          <w:sz w:val="20"/>
          <w:lang w:val="en-US" w:eastAsia="en-US" w:bidi="ar-SA"/>
        </w:rPr>
        <w:t>forum non-conveniens</w:t>
      </w:r>
      <w:r>
        <w:rPr>
          <w:rFonts w:ascii="arial" w:eastAsia="arial" w:hAnsi="arial" w:cs="arial"/>
          <w:color w:val="000000"/>
          <w:sz w:val="20"/>
          <w:lang w:val="en-US" w:eastAsia="en-US" w:bidi="ar-SA"/>
        </w:rPr>
        <w:t>, the result is the same. In the exercise of discretion, the overriding preference is for all matters relating to the explosion of March 3, 2011 to be heard together in British Columbia as opposed to there being separate actions in this Province and in Florida which would be the inevitable consequence of Gencor's application for a stay of proceedings being granted.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42</w:t>
      </w:r>
      <w:r>
        <w:rPr>
          <w:rFonts w:ascii="arial" w:eastAsia="arial" w:hAnsi="arial" w:cs="arial"/>
          <w:color w:val="000000"/>
          <w:sz w:val="20"/>
          <w:lang w:val="en-US" w:eastAsia="en-US" w:bidi="ar-SA"/>
        </w:rPr>
        <w:t xml:space="preserve">  The following factors from </w:t>
      </w:r>
      <w:r>
        <w:rPr>
          <w:rFonts w:ascii="arial" w:eastAsia="arial" w:hAnsi="arial" w:cs="arial"/>
          <w:i/>
          <w:color w:val="000000"/>
          <w:sz w:val="20"/>
          <w:lang w:val="en-US" w:eastAsia="en-US" w:bidi="ar-SA"/>
        </w:rPr>
        <w:t>The Eleftheria</w:t>
      </w:r>
      <w:r>
        <w:rPr>
          <w:rFonts w:ascii="arial" w:eastAsia="arial" w:hAnsi="arial" w:cs="arial"/>
          <w:color w:val="000000"/>
          <w:sz w:val="20"/>
          <w:lang w:val="en-US" w:eastAsia="en-US" w:bidi="ar-SA"/>
        </w:rPr>
        <w:t xml:space="preserve"> are of significance in this case:</w:t>
      </w:r>
      <w:r>
        <w:rPr>
          <w:rFonts w:ascii="arial" w:eastAsia="arial" w:hAnsi="arial" w:cs="arial"/>
          <w:sz w:val="20"/>
          <w:lang w:val="en-US" w:eastAsia="en-US" w:bidi="ar-SA"/>
        </w:rPr>
        <w:cr/>
      </w:r>
    </w:p>
    <w:p>
      <w:pPr>
        <w:numPr>
          <w:numId w:val="3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plaintiff carries on business only in British Columbia, as do the BCSA and the Lillie Defendants. Gencor, by contrast, carries on business throughout the world, including British Columbia;</w:t>
      </w:r>
    </w:p>
    <w:p>
      <w:pPr>
        <w:numPr>
          <w:numId w:val="3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most of the key witnesses known to date reside in British Columbia;</w:t>
      </w:r>
    </w:p>
    <w:p>
      <w:pPr>
        <w:numPr>
          <w:numId w:val="3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there are multiple defendants and the forum selection clause applies to only one of them; and</w:t>
      </w:r>
    </w:p>
    <w:p>
      <w:pPr>
        <w:numPr>
          <w:numId w:val="3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there will be proceedings in British Columbia involving all of the parties even if a stay of proceedings were to be ordered in this action.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43</w:t>
      </w:r>
      <w:r>
        <w:rPr>
          <w:rFonts w:ascii="arial" w:eastAsia="arial" w:hAnsi="arial" w:cs="arial"/>
          <w:color w:val="000000"/>
          <w:sz w:val="20"/>
          <w:lang w:val="en-US" w:eastAsia="en-US" w:bidi="ar-SA"/>
        </w:rPr>
        <w:t xml:space="preserve">  Relevant factors on the </w:t>
      </w:r>
      <w:r>
        <w:rPr>
          <w:rFonts w:ascii="arial" w:eastAsia="arial" w:hAnsi="arial" w:cs="arial"/>
          <w:i/>
          <w:color w:val="000000"/>
          <w:sz w:val="20"/>
          <w:lang w:val="en-US" w:eastAsia="en-US" w:bidi="ar-SA"/>
        </w:rPr>
        <w:t>forum non-conveniens</w:t>
      </w:r>
      <w:r>
        <w:rPr>
          <w:rFonts w:ascii="arial" w:eastAsia="arial" w:hAnsi="arial" w:cs="arial"/>
          <w:color w:val="000000"/>
          <w:sz w:val="20"/>
          <w:lang w:val="en-US" w:eastAsia="en-US" w:bidi="ar-SA"/>
        </w:rPr>
        <w:t xml:space="preserve"> test include the fact that a real and substantial connection exists between British Columbia and the factual matrix forming the foundation of the plaintiff's claims. This includes that:</w:t>
      </w:r>
      <w:r>
        <w:rPr>
          <w:rFonts w:ascii="arial" w:eastAsia="arial" w:hAnsi="arial" w:cs="arial"/>
          <w:sz w:val="20"/>
          <w:lang w:val="en-US" w:eastAsia="en-US" w:bidi="ar-SA"/>
        </w:rPr>
        <w:cr/>
      </w:r>
    </w:p>
    <w:p>
      <w:pPr>
        <w:numPr>
          <w:numId w:val="39"/>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the Contract in relation to the performance of on-site installation and start-up services by at least two representatives from Gencor, was performed physically in New Westminster, BC;</w:t>
      </w:r>
    </w:p>
    <w:p>
      <w:pPr>
        <w:numPr>
          <w:numId w:val="40"/>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those services were rendered by Gencor, a business that offers both goods and professional advice to companies operating in BC;</w:t>
      </w:r>
    </w:p>
    <w:p>
      <w:pPr>
        <w:numPr>
          <w:numId w:val="41"/>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the Gencor representative, Stowe, apparently provided some troubleshooting assistance to Winvan on the date of the explosion; and</w:t>
      </w:r>
    </w:p>
    <w:p>
      <w:pPr>
        <w:numPr>
          <w:numId w:val="42"/>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the explosion took place in New Westminster on lands and premises owned and operated by a business that conducts business and its daily affairs in this Province.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44</w:t>
      </w:r>
      <w:r>
        <w:rPr>
          <w:rFonts w:ascii="arial" w:eastAsia="arial" w:hAnsi="arial" w:cs="arial"/>
          <w:color w:val="000000"/>
          <w:sz w:val="20"/>
          <w:lang w:val="en-US" w:eastAsia="en-US" w:bidi="ar-SA"/>
        </w:rPr>
        <w:t xml:space="preserve">  There are many examples of forum selection clauses being found unenforceable in actions involving multiple defendants who are not all parties to the agreement in question. See </w:t>
      </w:r>
      <w:r>
        <w:rPr>
          <w:rFonts w:ascii="arial" w:eastAsia="arial" w:hAnsi="arial" w:cs="arial"/>
          <w:i/>
          <w:color w:val="000000"/>
          <w:sz w:val="20"/>
          <w:lang w:val="en-US" w:eastAsia="en-US" w:bidi="ar-SA"/>
        </w:rPr>
        <w:t>Hans v. Volvo</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Straus v. Decaire</w:t>
      </w:r>
      <w:r>
        <w:rPr>
          <w:rFonts w:ascii="arial" w:eastAsia="arial" w:hAnsi="arial" w:cs="arial"/>
          <w:color w:val="000000"/>
          <w:sz w:val="20"/>
          <w:lang w:val="en-US" w:eastAsia="en-US" w:bidi="ar-SA"/>
        </w:rPr>
        <w:t xml:space="preserve">, and </w:t>
      </w:r>
      <w:r>
        <w:rPr>
          <w:rFonts w:ascii="arial" w:eastAsia="arial" w:hAnsi="arial" w:cs="arial"/>
          <w:i/>
          <w:color w:val="000000"/>
          <w:sz w:val="20"/>
          <w:lang w:val="en-US" w:eastAsia="en-US" w:bidi="ar-SA"/>
        </w:rPr>
        <w:t>Bell Mobility</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45</w:t>
      </w:r>
      <w:r>
        <w:rPr>
          <w:rFonts w:ascii="arial" w:eastAsia="arial" w:hAnsi="arial" w:cs="arial"/>
          <w:color w:val="000000"/>
          <w:sz w:val="20"/>
          <w:lang w:val="en-US" w:eastAsia="en-US" w:bidi="ar-SA"/>
        </w:rPr>
        <w:t xml:space="preserve">  The only authority to which I was referred where a stay of proceedings was granted in a forum selection situation involving non-party defendants is </w:t>
      </w:r>
      <w:r>
        <w:rPr>
          <w:rFonts w:ascii="arial" w:eastAsia="arial" w:hAnsi="arial" w:cs="arial"/>
          <w:i/>
          <w:color w:val="000000"/>
          <w:sz w:val="20"/>
          <w:lang w:val="en-US" w:eastAsia="en-US" w:bidi="ar-SA"/>
        </w:rPr>
        <w:t>Momentous.ca Corp. v. Canadian American Association of Professional Baseball Ltd.</w:t>
      </w:r>
      <w:r>
        <w:rPr>
          <w:rFonts w:ascii="arial" w:eastAsia="arial" w:hAnsi="arial" w:cs="arial"/>
          <w:color w:val="000000"/>
          <w:sz w:val="20"/>
          <w:lang w:val="en-US" w:eastAsia="en-US" w:bidi="ar-SA"/>
        </w:rPr>
        <w:t xml:space="preserve">, </w:t>
      </w:r>
      <w:hyperlink r:id="rId821" w:history="1">
        <w:r>
          <w:rPr>
            <w:rFonts w:ascii="arial" w:eastAsia="arial" w:hAnsi="arial" w:cs="arial"/>
            <w:i/>
            <w:color w:val="0077CC"/>
            <w:sz w:val="20"/>
            <w:u w:val="single"/>
            <w:shd w:val="clear" w:color="auto" w:fill="FFFFFF"/>
            <w:lang w:val="en-US" w:eastAsia="en-US" w:bidi="ar-SA"/>
          </w:rPr>
          <w:t>2012 SCC 9</w:t>
        </w:r>
      </w:hyperlink>
      <w:r>
        <w:rPr>
          <w:rFonts w:ascii="arial" w:eastAsia="arial" w:hAnsi="arial" w:cs="arial"/>
          <w:color w:val="000000"/>
          <w:sz w:val="20"/>
          <w:lang w:val="en-US" w:eastAsia="en-US" w:bidi="ar-SA"/>
        </w:rPr>
        <w:t>. Counsel advised me they have been unable to locate other authority with such a result. I have also not found any.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46</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Momentous.ca</w:t>
      </w:r>
      <w:r>
        <w:rPr>
          <w:rFonts w:ascii="arial" w:eastAsia="arial" w:hAnsi="arial" w:cs="arial"/>
          <w:color w:val="000000"/>
          <w:sz w:val="20"/>
          <w:lang w:val="en-US" w:eastAsia="en-US" w:bidi="ar-SA"/>
        </w:rPr>
        <w:t>, the Ontario Court of Appeal and then the Supreme Court of Canada upheld the motion judge's dismissal of the entire case against all of the defendants based on the enforcement of a forum selection clause, even though two defendants were not parties to the agreement. It was held that the plaintiff's claims against the defendants not privy to the agreement could have been severed, but for the way the claim was pleaded.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47</w:t>
      </w:r>
      <w:r>
        <w:rPr>
          <w:rFonts w:ascii="arial" w:eastAsia="arial" w:hAnsi="arial" w:cs="arial"/>
          <w:color w:val="000000"/>
          <w:sz w:val="20"/>
          <w:lang w:val="en-US" w:eastAsia="en-US" w:bidi="ar-SA"/>
        </w:rPr>
        <w:t>  That is not the case here. Only one defendant, that is Gencor, seeks a stay of the British Columbia proceeding. Furthermore, the BCSA and the Lillie Defendants seek leave to issue third party proceedings against Gencor. Should that be denied, they intend to commence separate proceedings against Gencor in British Columbia.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48</w:t>
      </w:r>
      <w:r>
        <w:rPr>
          <w:rFonts w:ascii="arial" w:eastAsia="arial" w:hAnsi="arial" w:cs="arial"/>
          <w:color w:val="000000"/>
          <w:sz w:val="20"/>
          <w:lang w:val="en-US" w:eastAsia="en-US" w:bidi="ar-SA"/>
        </w:rPr>
        <w:t xml:space="preserve">  There is also the factor that Gencor, the BCSA, and the Lillie Defendants raise the alleged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and/or breach of contract of the plaintiff and their co-defendants in the responses they have filed to the plaintiff's notice of civil claim.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49</w:t>
      </w:r>
      <w:r>
        <w:rPr>
          <w:rFonts w:ascii="arial" w:eastAsia="arial" w:hAnsi="arial" w:cs="arial"/>
          <w:color w:val="000000"/>
          <w:sz w:val="20"/>
          <w:lang w:val="en-US" w:eastAsia="en-US" w:bidi="ar-SA"/>
        </w:rPr>
        <w:t xml:space="preserve">  Accordingly, whether or not Gencor is successful on this application there will be proceedings involving it, the BCSA, and the Lillie Defendants in this Province relating to the explosion of March 2011. The Lillie Defendants and the BCSA can advance their claims in British Columbia for contribution and indemnity and the BCSA can advance its additional claim relating to Gencor's alleged failure to preserve evidence irrespective of whether a stay of proceedings is granted. It is fair to say that "[t]hey are independent actions which stand upon their own feet": </w:t>
      </w:r>
      <w:r>
        <w:rPr>
          <w:rFonts w:ascii="arial" w:eastAsia="arial" w:hAnsi="arial" w:cs="arial"/>
          <w:i/>
          <w:color w:val="000000"/>
          <w:sz w:val="20"/>
          <w:lang w:val="en-US" w:eastAsia="en-US" w:bidi="ar-SA"/>
        </w:rPr>
        <w:t>Wire Rope Industries of Canada (1966) Ltd. v. B.C. Marine Shipbuilders Ltd. (sub nom British Columbia Marine Shipbuilders Ltd. v. F.M. Yorke &amp; Son Ltd.)</w:t>
      </w:r>
      <w:r>
        <w:rPr>
          <w:rFonts w:ascii="arial" w:eastAsia="arial" w:hAnsi="arial" w:cs="arial"/>
          <w:color w:val="000000"/>
          <w:sz w:val="20"/>
          <w:lang w:val="en-US" w:eastAsia="en-US" w:bidi="ar-SA"/>
        </w:rPr>
        <w:t xml:space="preserve">, </w:t>
      </w:r>
      <w:hyperlink r:id="rId822" w:history="1">
        <w:r>
          <w:rPr>
            <w:rFonts w:ascii="arial" w:eastAsia="arial" w:hAnsi="arial" w:cs="arial"/>
            <w:i/>
            <w:color w:val="0077CC"/>
            <w:sz w:val="20"/>
            <w:u w:val="single"/>
            <w:shd w:val="clear" w:color="auto" w:fill="FFFFFF"/>
            <w:lang w:val="en-US" w:eastAsia="en-US" w:bidi="ar-SA"/>
          </w:rPr>
          <w:t>[1981] 1 S.C.R. 363</w:t>
        </w:r>
      </w:hyperlink>
      <w:r>
        <w:rPr>
          <w:rFonts w:ascii="arial" w:eastAsia="arial" w:hAnsi="arial" w:cs="arial"/>
          <w:color w:val="000000"/>
          <w:sz w:val="20"/>
          <w:lang w:val="en-US" w:eastAsia="en-US" w:bidi="ar-SA"/>
        </w:rPr>
        <w:t xml:space="preserve"> at 379.</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50</w:t>
      </w:r>
      <w:r>
        <w:rPr>
          <w:rFonts w:ascii="arial" w:eastAsia="arial" w:hAnsi="arial" w:cs="arial"/>
          <w:color w:val="000000"/>
          <w:sz w:val="20"/>
          <w:lang w:val="en-US" w:eastAsia="en-US" w:bidi="ar-SA"/>
        </w:rPr>
        <w:t xml:space="preserve">  Patchwork litigation is also to be avoided. See </w:t>
      </w:r>
      <w:r>
        <w:rPr>
          <w:rFonts w:ascii="arial" w:eastAsia="arial" w:hAnsi="arial" w:cs="arial"/>
          <w:i/>
          <w:color w:val="000000"/>
          <w:sz w:val="20"/>
          <w:lang w:val="en-US" w:eastAsia="en-US" w:bidi="ar-SA"/>
        </w:rPr>
        <w:t>Strata Plan LMS 1751 v. Scott Management Ltd.</w:t>
      </w:r>
      <w:r>
        <w:rPr>
          <w:rFonts w:ascii="arial" w:eastAsia="arial" w:hAnsi="arial" w:cs="arial"/>
          <w:color w:val="000000"/>
          <w:sz w:val="20"/>
          <w:lang w:val="en-US" w:eastAsia="en-US" w:bidi="ar-SA"/>
        </w:rPr>
        <w:t xml:space="preserve">, </w:t>
      </w:r>
      <w:hyperlink r:id="rId823" w:history="1">
        <w:r>
          <w:rPr>
            <w:rFonts w:ascii="arial" w:eastAsia="arial" w:hAnsi="arial" w:cs="arial"/>
            <w:i/>
            <w:color w:val="0077CC"/>
            <w:sz w:val="20"/>
            <w:u w:val="single"/>
            <w:shd w:val="clear" w:color="auto" w:fill="FFFFFF"/>
            <w:lang w:val="en-US" w:eastAsia="en-US" w:bidi="ar-SA"/>
          </w:rPr>
          <w:t>2010 BCCA 192</w:t>
        </w:r>
      </w:hyperlink>
      <w:r>
        <w:rPr>
          <w:rFonts w:ascii="arial" w:eastAsia="arial" w:hAnsi="arial" w:cs="arial"/>
          <w:color w:val="000000"/>
          <w:sz w:val="20"/>
          <w:lang w:val="en-US" w:eastAsia="en-US" w:bidi="ar-SA"/>
        </w:rPr>
        <w:t xml:space="preserve"> at paras. 90-91, leave to appeal to S.C.C. refused, </w:t>
      </w:r>
      <w:hyperlink r:id="rId824" w:history="1">
        <w:r>
          <w:rPr>
            <w:rFonts w:ascii="arial" w:eastAsia="arial" w:hAnsi="arial" w:cs="arial"/>
            <w:i/>
            <w:color w:val="0077CC"/>
            <w:sz w:val="20"/>
            <w:u w:val="single"/>
            <w:shd w:val="clear" w:color="auto" w:fill="FFFFFF"/>
            <w:lang w:val="en-US" w:eastAsia="en-US" w:bidi="ar-SA"/>
          </w:rPr>
          <w:t>[2010] S.C.C.A. 215</w:t>
        </w:r>
      </w:hyperlink>
      <w:r>
        <w:rPr>
          <w:rFonts w:ascii="arial" w:eastAsia="arial" w:hAnsi="arial" w:cs="arial"/>
          <w:color w:val="000000"/>
          <w:sz w:val="20"/>
          <w:lang w:val="en-US" w:eastAsia="en-US" w:bidi="ar-SA"/>
        </w:rPr>
        <w:t>, 33740 (June 17, 2010).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51</w:t>
      </w:r>
      <w:r>
        <w:rPr>
          <w:rFonts w:ascii="arial" w:eastAsia="arial" w:hAnsi="arial" w:cs="arial"/>
          <w:color w:val="000000"/>
          <w:sz w:val="20"/>
          <w:lang w:val="en-US" w:eastAsia="en-US" w:bidi="ar-SA"/>
        </w:rPr>
        <w:t xml:space="preserve">  Gencor also relies on </w:t>
      </w:r>
      <w:r>
        <w:rPr>
          <w:rFonts w:ascii="arial" w:eastAsia="arial" w:hAnsi="arial" w:cs="arial"/>
          <w:i/>
          <w:color w:val="000000"/>
          <w:sz w:val="20"/>
          <w:lang w:val="en-US" w:eastAsia="en-US" w:bidi="ar-SA"/>
        </w:rPr>
        <w:t>B.A. Blacktop Ltd. v. Gencor Industries, Inc.</w:t>
      </w:r>
      <w:r>
        <w:rPr>
          <w:rFonts w:ascii="arial" w:eastAsia="arial" w:hAnsi="arial" w:cs="arial"/>
          <w:color w:val="000000"/>
          <w:sz w:val="20"/>
          <w:lang w:val="en-US" w:eastAsia="en-US" w:bidi="ar-SA"/>
        </w:rPr>
        <w:t xml:space="preserve">, </w:t>
      </w:r>
      <w:hyperlink r:id="rId825" w:history="1">
        <w:r>
          <w:rPr>
            <w:rFonts w:ascii="arial" w:eastAsia="arial" w:hAnsi="arial" w:cs="arial"/>
            <w:i/>
            <w:color w:val="0077CC"/>
            <w:sz w:val="20"/>
            <w:u w:val="single"/>
            <w:shd w:val="clear" w:color="auto" w:fill="FFFFFF"/>
            <w:lang w:val="en-US" w:eastAsia="en-US" w:bidi="ar-SA"/>
          </w:rPr>
          <w:t>2008 BCSC 231</w:t>
        </w:r>
      </w:hyperlink>
      <w:r>
        <w:rPr>
          <w:rFonts w:ascii="arial" w:eastAsia="arial" w:hAnsi="arial" w:cs="arial"/>
          <w:color w:val="000000"/>
          <w:sz w:val="20"/>
          <w:lang w:val="en-US" w:eastAsia="en-US" w:bidi="ar-SA"/>
        </w:rPr>
        <w:t>, where the identical clause in issue on this application was successfully invoked by it on a similar application. However, unlike the present situation, there were only two parties in that proceeding both of whom were signatories to the agreement containing the forum selection clause.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52</w:t>
      </w:r>
      <w:r>
        <w:rPr>
          <w:rFonts w:ascii="arial" w:eastAsia="arial" w:hAnsi="arial" w:cs="arial"/>
          <w:color w:val="000000"/>
          <w:sz w:val="20"/>
          <w:lang w:val="en-US" w:eastAsia="en-US" w:bidi="ar-SA"/>
        </w:rPr>
        <w:t xml:space="preserve">  Several of the factors to which I have referred would also lead to the conclusion that British Columbia is the convenient forum if the issue were considered within the framework of section 11 of the </w:t>
      </w:r>
      <w:r>
        <w:rPr>
          <w:rFonts w:ascii="arial" w:eastAsia="arial" w:hAnsi="arial" w:cs="arial"/>
          <w:i/>
          <w:color w:val="000000"/>
          <w:sz w:val="20"/>
          <w:lang w:val="en-US" w:eastAsia="en-US" w:bidi="ar-SA"/>
        </w:rPr>
        <w:t>CJPTA</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53</w:t>
      </w:r>
      <w:r>
        <w:rPr>
          <w:rFonts w:ascii="arial" w:eastAsia="arial" w:hAnsi="arial" w:cs="arial"/>
          <w:color w:val="000000"/>
          <w:sz w:val="20"/>
          <w:lang w:val="en-US" w:eastAsia="en-US" w:bidi="ar-SA"/>
        </w:rPr>
        <w:t>  In so far as it is Gencor's submission that the case against it is extremely weak, it has avenues to have that issue determined summarily should it choose to do so. There is also the separate claim advanced by the BCSA against Gencor which is not dependant on the strength of Winvan's claims against Gencor.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54</w:t>
      </w:r>
      <w:r>
        <w:rPr>
          <w:rFonts w:ascii="arial" w:eastAsia="arial" w:hAnsi="arial" w:cs="arial"/>
          <w:color w:val="000000"/>
          <w:sz w:val="20"/>
          <w:lang w:val="en-US" w:eastAsia="en-US" w:bidi="ar-SA"/>
        </w:rPr>
        <w:t>  Accordingly, when I apply the legal principles and factors to which I have referred to the circumstances before me, the application for a stay of proceedings is dismissed.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1045"/>
        <w:gridCol w:w="8365"/>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1024"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18"/>
                <w:lang w:val="en-US" w:eastAsia="en-US" w:bidi="ar-SA"/>
              </w:rPr>
              <w:t>IV:</w:t>
            </w:r>
          </w:p>
        </w:tc>
        <w:tc>
          <w:tcPr>
            <w:tcW w:w="819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18"/>
                <w:lang w:val="en-US" w:eastAsia="en-US" w:bidi="ar-SA"/>
              </w:rPr>
              <w:t>ISSUANCE OF THIRD PARTY PROCEEDINGS AGAINST GENCOR</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55</w:t>
      </w:r>
      <w:r>
        <w:rPr>
          <w:rFonts w:ascii="arial" w:eastAsia="arial" w:hAnsi="arial" w:cs="arial"/>
          <w:color w:val="000000"/>
          <w:sz w:val="20"/>
          <w:lang w:val="en-US" w:eastAsia="en-US" w:bidi="ar-SA"/>
        </w:rPr>
        <w:t xml:space="preserve">  The test is the same under Rule 3-5(1) as under Rule 9-5. The proposed third party must establish that the pleadings disclose no cause of action. The court is permitted to reject proposed claims only if the action is "bound to fail" or there is no </w:t>
      </w:r>
      <w:r>
        <w:rPr>
          <w:rFonts w:ascii="arial" w:eastAsia="arial" w:hAnsi="arial" w:cs="arial"/>
          <w:i/>
          <w:color w:val="000000"/>
          <w:sz w:val="20"/>
          <w:lang w:val="en-US" w:eastAsia="en-US" w:bidi="ar-SA"/>
        </w:rPr>
        <w:t>bona fide</w:t>
      </w:r>
      <w:r>
        <w:rPr>
          <w:rFonts w:ascii="arial" w:eastAsia="arial" w:hAnsi="arial" w:cs="arial"/>
          <w:color w:val="000000"/>
          <w:sz w:val="20"/>
          <w:lang w:val="en-US" w:eastAsia="en-US" w:bidi="ar-SA"/>
        </w:rPr>
        <w:t xml:space="preserve"> triable issue.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56</w:t>
      </w:r>
      <w:r>
        <w:rPr>
          <w:rFonts w:ascii="arial" w:eastAsia="arial" w:hAnsi="arial" w:cs="arial"/>
          <w:color w:val="000000"/>
          <w:sz w:val="20"/>
          <w:lang w:val="en-US" w:eastAsia="en-US" w:bidi="ar-SA"/>
        </w:rPr>
        <w:t xml:space="preserve">  The court is required to assume that all pleaded facts are true: </w:t>
      </w:r>
      <w:r>
        <w:rPr>
          <w:rFonts w:ascii="arial" w:eastAsia="arial" w:hAnsi="arial" w:cs="arial"/>
          <w:i/>
          <w:color w:val="000000"/>
          <w:sz w:val="20"/>
          <w:lang w:val="en-US" w:eastAsia="en-US" w:bidi="ar-SA"/>
        </w:rPr>
        <w:t>Hunt v. Carey Canada Inc. (sub nom Hunt v. T &amp; N plc),</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[1990] 2 S.C.R. 959</w:t>
      </w:r>
      <w:r>
        <w:rPr>
          <w:rFonts w:ascii="arial" w:eastAsia="arial" w:hAnsi="arial" w:cs="arial"/>
          <w:color w:val="000000"/>
          <w:sz w:val="20"/>
          <w:lang w:val="en-US" w:eastAsia="en-US" w:bidi="ar-SA"/>
        </w:rPr>
        <w:t xml:space="preserve"> at 979; </w:t>
      </w:r>
      <w:r>
        <w:rPr>
          <w:rFonts w:ascii="arial" w:eastAsia="arial" w:hAnsi="arial" w:cs="arial"/>
          <w:i/>
          <w:color w:val="000000"/>
          <w:sz w:val="20"/>
          <w:lang w:val="en-US" w:eastAsia="en-US" w:bidi="ar-SA"/>
        </w:rPr>
        <w:t>Dhillon v. Coape</w:t>
      </w:r>
      <w:r>
        <w:rPr>
          <w:rFonts w:ascii="arial" w:eastAsia="arial" w:hAnsi="arial" w:cs="arial"/>
          <w:color w:val="000000"/>
          <w:sz w:val="20"/>
          <w:lang w:val="en-US" w:eastAsia="en-US" w:bidi="ar-SA"/>
        </w:rPr>
        <w:t xml:space="preserve">, </w:t>
      </w:r>
      <w:hyperlink r:id="rId407" w:history="1">
        <w:r>
          <w:rPr>
            <w:rFonts w:ascii="arial" w:eastAsia="arial" w:hAnsi="arial" w:cs="arial"/>
            <w:i/>
            <w:color w:val="0077CC"/>
            <w:sz w:val="20"/>
            <w:u w:val="single"/>
            <w:shd w:val="clear" w:color="auto" w:fill="FFFFFF"/>
            <w:lang w:val="en-US" w:eastAsia="en-US" w:bidi="ar-SA"/>
          </w:rPr>
          <w:t>2004 BCSC 1208</w:t>
        </w:r>
      </w:hyperlink>
      <w:r>
        <w:rPr>
          <w:rFonts w:ascii="arial" w:eastAsia="arial" w:hAnsi="arial" w:cs="arial"/>
          <w:color w:val="000000"/>
          <w:sz w:val="20"/>
          <w:lang w:val="en-US" w:eastAsia="en-US" w:bidi="ar-SA"/>
        </w:rPr>
        <w:t xml:space="preserve"> at para. 18.</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57</w:t>
      </w:r>
      <w:r>
        <w:rPr>
          <w:rFonts w:ascii="arial" w:eastAsia="arial" w:hAnsi="arial" w:cs="arial"/>
          <w:color w:val="000000"/>
          <w:sz w:val="20"/>
          <w:lang w:val="en-US" w:eastAsia="en-US" w:bidi="ar-SA"/>
        </w:rPr>
        <w:t>  In determining whether or not to exercise its discretion to grant leave the court may consider the following:</w:t>
      </w:r>
      <w:r>
        <w:rPr>
          <w:rFonts w:ascii="arial" w:eastAsia="arial" w:hAnsi="arial" w:cs="arial"/>
          <w:sz w:val="20"/>
          <w:lang w:val="en-US" w:eastAsia="en-US" w:bidi="ar-SA"/>
        </w:rPr>
        <w:cr/>
      </w:r>
    </w:p>
    <w:p>
      <w:pPr>
        <w:numPr>
          <w:numId w:val="43"/>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prejudice to the parties which must be weighed relatively and must affect the ability to respond to the proposed claim;</w:t>
      </w:r>
    </w:p>
    <w:p>
      <w:pPr>
        <w:numPr>
          <w:numId w:val="44"/>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expiration of a limitation period;</w:t>
      </w:r>
    </w:p>
    <w:p>
      <w:pPr>
        <w:numPr>
          <w:numId w:val="4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merits of the proposed action;</w:t>
      </w:r>
    </w:p>
    <w:p>
      <w:pPr>
        <w:numPr>
          <w:numId w:val="46"/>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any delay in the proceedings; and</w:t>
      </w:r>
    </w:p>
    <w:p>
      <w:pPr>
        <w:numPr>
          <w:numId w:val="4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timeliness of the application.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See </w:t>
      </w:r>
      <w:r>
        <w:rPr>
          <w:rFonts w:ascii="arial" w:eastAsia="arial" w:hAnsi="arial" w:cs="arial"/>
          <w:i/>
          <w:color w:val="000000"/>
          <w:sz w:val="20"/>
          <w:lang w:val="en-US" w:eastAsia="en-US" w:bidi="ar-SA"/>
        </w:rPr>
        <w:t>Clayton Systems 2001 Ltd</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v. Quizno's Canada Corp.</w:t>
      </w:r>
      <w:r>
        <w:rPr>
          <w:rFonts w:ascii="arial" w:eastAsia="arial" w:hAnsi="arial" w:cs="arial"/>
          <w:color w:val="000000"/>
          <w:sz w:val="20"/>
          <w:lang w:val="en-US" w:eastAsia="en-US" w:bidi="ar-SA"/>
        </w:rPr>
        <w:t xml:space="preserve">, </w:t>
      </w:r>
      <w:hyperlink r:id="rId406" w:history="1">
        <w:r>
          <w:rPr>
            <w:rFonts w:ascii="arial" w:eastAsia="arial" w:hAnsi="arial" w:cs="arial"/>
            <w:i/>
            <w:color w:val="0077CC"/>
            <w:sz w:val="20"/>
            <w:u w:val="single"/>
            <w:shd w:val="clear" w:color="auto" w:fill="FFFFFF"/>
            <w:lang w:val="en-US" w:eastAsia="en-US" w:bidi="ar-SA"/>
          </w:rPr>
          <w:t>2003 BCSC 1573</w:t>
        </w:r>
      </w:hyperlink>
      <w:r>
        <w:rPr>
          <w:rFonts w:ascii="arial" w:eastAsia="arial" w:hAnsi="arial" w:cs="arial"/>
          <w:color w:val="000000"/>
          <w:sz w:val="20"/>
          <w:lang w:val="en-US" w:eastAsia="en-US" w:bidi="ar-SA"/>
        </w:rPr>
        <w:t xml:space="preserve"> at para. 9; </w:t>
      </w:r>
      <w:r>
        <w:rPr>
          <w:rFonts w:ascii="arial" w:eastAsia="arial" w:hAnsi="arial" w:cs="arial"/>
          <w:i/>
          <w:color w:val="000000"/>
          <w:sz w:val="20"/>
          <w:lang w:val="en-US" w:eastAsia="en-US" w:bidi="ar-SA"/>
        </w:rPr>
        <w:t>Wadsworth v. McLeod</w:t>
      </w:r>
      <w:r>
        <w:rPr>
          <w:rFonts w:ascii="arial" w:eastAsia="arial" w:hAnsi="arial" w:cs="arial"/>
          <w:color w:val="000000"/>
          <w:sz w:val="20"/>
          <w:lang w:val="en-US" w:eastAsia="en-US" w:bidi="ar-SA"/>
        </w:rPr>
        <w:t xml:space="preserve">, </w:t>
      </w:r>
      <w:hyperlink r:id="rId826" w:history="1">
        <w:r>
          <w:rPr>
            <w:rFonts w:ascii="arial" w:eastAsia="arial" w:hAnsi="arial" w:cs="arial"/>
            <w:i/>
            <w:color w:val="0077CC"/>
            <w:sz w:val="20"/>
            <w:u w:val="single"/>
            <w:shd w:val="clear" w:color="auto" w:fill="FFFFFF"/>
            <w:lang w:val="en-US" w:eastAsia="en-US" w:bidi="ar-SA"/>
          </w:rPr>
          <w:t>2004 BCSC 1824</w:t>
        </w:r>
      </w:hyperlink>
      <w:r>
        <w:rPr>
          <w:rFonts w:ascii="arial" w:eastAsia="arial" w:hAnsi="arial" w:cs="arial"/>
          <w:color w:val="000000"/>
          <w:sz w:val="20"/>
          <w:lang w:val="en-US" w:eastAsia="en-US" w:bidi="ar-SA"/>
        </w:rPr>
        <w:t xml:space="preserve"> at paras. 22-23; </w:t>
      </w:r>
      <w:r>
        <w:rPr>
          <w:rFonts w:ascii="arial" w:eastAsia="arial" w:hAnsi="arial" w:cs="arial"/>
          <w:i/>
          <w:color w:val="000000"/>
          <w:sz w:val="20"/>
          <w:lang w:val="en-US" w:eastAsia="en-US" w:bidi="ar-SA"/>
        </w:rPr>
        <w:t>Gordon v. Krieg</w:t>
      </w:r>
      <w:r>
        <w:rPr>
          <w:rFonts w:ascii="arial" w:eastAsia="arial" w:hAnsi="arial" w:cs="arial"/>
          <w:color w:val="000000"/>
          <w:sz w:val="20"/>
          <w:lang w:val="en-US" w:eastAsia="en-US" w:bidi="ar-SA"/>
        </w:rPr>
        <w:t xml:space="preserve">, </w:t>
      </w:r>
      <w:hyperlink r:id="rId827" w:history="1">
        <w:r>
          <w:rPr>
            <w:rFonts w:ascii="arial" w:eastAsia="arial" w:hAnsi="arial" w:cs="arial"/>
            <w:i/>
            <w:color w:val="0077CC"/>
            <w:sz w:val="20"/>
            <w:u w:val="single"/>
            <w:shd w:val="clear" w:color="auto" w:fill="FFFFFF"/>
            <w:lang w:val="en-US" w:eastAsia="en-US" w:bidi="ar-SA"/>
          </w:rPr>
          <w:t>2011 BCSC 1248</w:t>
        </w:r>
      </w:hyperlink>
      <w:r>
        <w:rPr>
          <w:rFonts w:ascii="arial" w:eastAsia="arial" w:hAnsi="arial" w:cs="arial"/>
          <w:color w:val="000000"/>
          <w:sz w:val="20"/>
          <w:lang w:val="en-US" w:eastAsia="en-US" w:bidi="ar-SA"/>
        </w:rPr>
        <w:t xml:space="preserve"> at paras. 42, 44.</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58</w:t>
      </w:r>
      <w:r>
        <w:rPr>
          <w:rFonts w:ascii="arial" w:eastAsia="arial" w:hAnsi="arial" w:cs="arial"/>
          <w:color w:val="000000"/>
          <w:sz w:val="20"/>
          <w:lang w:val="en-US" w:eastAsia="en-US" w:bidi="ar-SA"/>
        </w:rPr>
        <w:t xml:space="preserve">  An important consideration is whether it is "just and convenient" in all the circumstances of the case to grant leave to file the third party notice: </w:t>
      </w:r>
      <w:r>
        <w:rPr>
          <w:rFonts w:ascii="arial" w:eastAsia="arial" w:hAnsi="arial" w:cs="arial"/>
          <w:i/>
          <w:color w:val="000000"/>
          <w:sz w:val="20"/>
          <w:lang w:val="en-US" w:eastAsia="en-US" w:bidi="ar-SA"/>
        </w:rPr>
        <w:t>Symes v. Knooihuizen</w:t>
      </w:r>
      <w:r>
        <w:rPr>
          <w:rFonts w:ascii="arial" w:eastAsia="arial" w:hAnsi="arial" w:cs="arial"/>
          <w:color w:val="000000"/>
          <w:sz w:val="20"/>
          <w:lang w:val="en-US" w:eastAsia="en-US" w:bidi="ar-SA"/>
        </w:rPr>
        <w:t xml:space="preserve">, </w:t>
      </w:r>
      <w:hyperlink r:id="rId408" w:history="1">
        <w:r>
          <w:rPr>
            <w:rFonts w:ascii="arial" w:eastAsia="arial" w:hAnsi="arial" w:cs="arial"/>
            <w:i/>
            <w:color w:val="0077CC"/>
            <w:sz w:val="20"/>
            <w:u w:val="single"/>
            <w:shd w:val="clear" w:color="auto" w:fill="FFFFFF"/>
            <w:lang w:val="en-US" w:eastAsia="en-US" w:bidi="ar-SA"/>
          </w:rPr>
          <w:t>[1998] B.C.J. No. 611</w:t>
        </w:r>
      </w:hyperlink>
      <w:r>
        <w:rPr>
          <w:rFonts w:ascii="arial" w:eastAsia="arial" w:hAnsi="arial" w:cs="arial"/>
          <w:color w:val="000000"/>
          <w:sz w:val="20"/>
          <w:lang w:val="en-US" w:eastAsia="en-US" w:bidi="ar-SA"/>
        </w:rPr>
        <w:t xml:space="preserve">, </w:t>
      </w:r>
      <w:hyperlink r:id="rId408" w:history="1">
        <w:r>
          <w:rPr>
            <w:rFonts w:ascii="arial" w:eastAsia="arial" w:hAnsi="arial" w:cs="arial"/>
            <w:i/>
            <w:color w:val="0077CC"/>
            <w:sz w:val="20"/>
            <w:u w:val="single"/>
            <w:shd w:val="clear" w:color="auto" w:fill="FFFFFF"/>
            <w:lang w:val="en-US" w:eastAsia="en-US" w:bidi="ar-SA"/>
          </w:rPr>
          <w:t>1998 CanLII 2231</w:t>
        </w:r>
      </w:hyperlink>
      <w:r>
        <w:rPr>
          <w:rFonts w:ascii="arial" w:eastAsia="arial" w:hAnsi="arial" w:cs="arial"/>
          <w:color w:val="000000"/>
          <w:sz w:val="20"/>
          <w:lang w:val="en-US" w:eastAsia="en-US" w:bidi="ar-SA"/>
        </w:rPr>
        <w:t xml:space="preserve"> at paras. 38-39; </w:t>
      </w:r>
      <w:r>
        <w:rPr>
          <w:rFonts w:ascii="arial" w:eastAsia="arial" w:hAnsi="arial" w:cs="arial"/>
          <w:i/>
          <w:color w:val="000000"/>
          <w:sz w:val="20"/>
          <w:lang w:val="en-US" w:eastAsia="en-US" w:bidi="ar-SA"/>
        </w:rPr>
        <w:t>Clayton Systems 2001 Ltd.</w:t>
      </w:r>
      <w:r>
        <w:rPr>
          <w:rFonts w:ascii="arial" w:eastAsia="arial" w:hAnsi="arial" w:cs="arial"/>
          <w:color w:val="000000"/>
          <w:sz w:val="20"/>
          <w:lang w:val="en-US" w:eastAsia="en-US" w:bidi="ar-SA"/>
        </w:rPr>
        <w:t xml:space="preserve"> at paras. 9, 14.</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59</w:t>
      </w:r>
      <w:r>
        <w:rPr>
          <w:rFonts w:ascii="arial" w:eastAsia="arial" w:hAnsi="arial" w:cs="arial"/>
          <w:color w:val="000000"/>
          <w:sz w:val="20"/>
          <w:lang w:val="en-US" w:eastAsia="en-US" w:bidi="ar-SA"/>
        </w:rPr>
        <w:t xml:space="preserve">  A third party claim will not lie against another person with respect to an obligation belonging to the plaintiff which the defendant can raise directly against the plaintiff by way of defence. See </w:t>
      </w:r>
      <w:r>
        <w:rPr>
          <w:rFonts w:ascii="arial" w:eastAsia="arial" w:hAnsi="arial" w:cs="arial"/>
          <w:i/>
          <w:color w:val="000000"/>
          <w:sz w:val="20"/>
          <w:lang w:val="en-US" w:eastAsia="en-US" w:bidi="ar-SA"/>
        </w:rPr>
        <w:t>Adams v. Thompson</w:t>
      </w:r>
      <w:r>
        <w:rPr>
          <w:rFonts w:ascii="arial" w:eastAsia="arial" w:hAnsi="arial" w:cs="arial"/>
          <w:color w:val="000000"/>
          <w:sz w:val="20"/>
          <w:lang w:val="en-US" w:eastAsia="en-US" w:bidi="ar-SA"/>
        </w:rPr>
        <w:t xml:space="preserve"> </w:t>
      </w:r>
      <w:hyperlink r:id="rId402" w:history="1">
        <w:r>
          <w:rPr>
            <w:rFonts w:ascii="arial" w:eastAsia="arial" w:hAnsi="arial" w:cs="arial"/>
            <w:i/>
            <w:color w:val="0077CC"/>
            <w:sz w:val="20"/>
            <w:u w:val="single"/>
            <w:shd w:val="clear" w:color="auto" w:fill="FFFFFF"/>
            <w:lang w:val="en-US" w:eastAsia="en-US" w:bidi="ar-SA"/>
          </w:rPr>
          <w:t>(1987), 15 B.C.L.R. (2d) 51</w:t>
        </w:r>
      </w:hyperlink>
      <w:r>
        <w:rPr>
          <w:rFonts w:ascii="arial" w:eastAsia="arial" w:hAnsi="arial" w:cs="arial"/>
          <w:color w:val="000000"/>
          <w:sz w:val="20"/>
          <w:lang w:val="en-US" w:eastAsia="en-US" w:bidi="ar-SA"/>
        </w:rPr>
        <w:t xml:space="preserve"> at 54 (C.A.); </w:t>
      </w:r>
      <w:r>
        <w:rPr>
          <w:rFonts w:ascii="arial" w:eastAsia="arial" w:hAnsi="arial" w:cs="arial"/>
          <w:i/>
          <w:color w:val="000000"/>
          <w:sz w:val="20"/>
          <w:lang w:val="en-US" w:eastAsia="en-US" w:bidi="ar-SA"/>
        </w:rPr>
        <w:t>Laidar Holdings Ltd. v. Lindt &amp; Sprungli (Canada) Inc.</w:t>
      </w:r>
      <w:r>
        <w:rPr>
          <w:rFonts w:ascii="arial" w:eastAsia="arial" w:hAnsi="arial" w:cs="arial"/>
          <w:color w:val="000000"/>
          <w:sz w:val="20"/>
          <w:lang w:val="en-US" w:eastAsia="en-US" w:bidi="ar-SA"/>
        </w:rPr>
        <w:t xml:space="preserve">, </w:t>
      </w:r>
      <w:hyperlink r:id="rId409" w:history="1">
        <w:r>
          <w:rPr>
            <w:rFonts w:ascii="arial" w:eastAsia="arial" w:hAnsi="arial" w:cs="arial"/>
            <w:i/>
            <w:color w:val="0077CC"/>
            <w:sz w:val="20"/>
            <w:u w:val="single"/>
            <w:shd w:val="clear" w:color="auto" w:fill="FFFFFF"/>
            <w:lang w:val="en-US" w:eastAsia="en-US" w:bidi="ar-SA"/>
          </w:rPr>
          <w:t>2012 BCCA 22</w:t>
        </w:r>
      </w:hyperlink>
      <w:r>
        <w:rPr>
          <w:rFonts w:ascii="arial" w:eastAsia="arial" w:hAnsi="arial" w:cs="arial"/>
          <w:color w:val="000000"/>
          <w:sz w:val="20"/>
          <w:lang w:val="en-US" w:eastAsia="en-US" w:bidi="ar-SA"/>
        </w:rPr>
        <w:t xml:space="preserve"> at para. 1.</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60</w:t>
      </w:r>
      <w:r>
        <w:rPr>
          <w:rFonts w:ascii="arial" w:eastAsia="arial" w:hAnsi="arial" w:cs="arial"/>
          <w:color w:val="000000"/>
          <w:sz w:val="20"/>
          <w:lang w:val="en-US" w:eastAsia="en-US" w:bidi="ar-SA"/>
        </w:rPr>
        <w:t>  Gencor's principal objection to third party proceedings being brought against it is the position that the action in its entirety should be stayed.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61</w:t>
      </w:r>
      <w:r>
        <w:rPr>
          <w:rFonts w:ascii="arial" w:eastAsia="arial" w:hAnsi="arial" w:cs="arial"/>
          <w:color w:val="000000"/>
          <w:sz w:val="20"/>
          <w:lang w:val="en-US" w:eastAsia="en-US" w:bidi="ar-SA"/>
        </w:rPr>
        <w:t>  In that I have not acceded to that argument, I grant leave to the BCSA and the Lillie Defendants to file the proposed third party claims against Gencor. They are not bound to fail and there is no prejudice to Gencor. Were the applications not granted, the BCSA and the Lillie Defendants would simply commence separate proceedings. This should be avoided. The action has not been set down for trial and the only examination for discovery that has occurred to date is one conducted by the plaintiff of a representative of the BCSA.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941"/>
        <w:gridCol w:w="8469"/>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92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18"/>
                <w:lang w:val="en-US" w:eastAsia="en-US" w:bidi="ar-SA"/>
              </w:rPr>
              <w:t>V:</w:t>
            </w:r>
          </w:p>
        </w:tc>
        <w:tc>
          <w:tcPr>
            <w:tcW w:w="8294"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18"/>
                <w:lang w:val="en-US" w:eastAsia="en-US" w:bidi="ar-SA"/>
              </w:rPr>
              <w:t>THE APPLICATION TO STRIKE THE CLAIMS AGAINST STOWE AND PRICE</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62</w:t>
      </w:r>
      <w:r>
        <w:rPr>
          <w:rFonts w:ascii="arial" w:eastAsia="arial" w:hAnsi="arial" w:cs="arial"/>
          <w:color w:val="000000"/>
          <w:sz w:val="20"/>
          <w:lang w:val="en-US" w:eastAsia="en-US" w:bidi="ar-SA"/>
        </w:rPr>
        <w:t xml:space="preserve">  Gencor seeks to strike the claims against Stowe and Price pursuant to Rule 9-5(1)(a) or (b) of the British Columbia </w:t>
      </w:r>
      <w:r>
        <w:rPr>
          <w:rFonts w:ascii="arial" w:eastAsia="arial" w:hAnsi="arial" w:cs="arial"/>
          <w:i/>
          <w:color w:val="000000"/>
          <w:sz w:val="20"/>
          <w:lang w:val="en-US" w:eastAsia="en-US" w:bidi="ar-SA"/>
        </w:rPr>
        <w:t>Supreme Court Civil Rules</w:t>
      </w:r>
      <w:r>
        <w:rPr>
          <w:rFonts w:ascii="arial" w:eastAsia="arial" w:hAnsi="arial" w:cs="arial"/>
          <w:color w:val="000000"/>
          <w:sz w:val="20"/>
          <w:lang w:val="en-US" w:eastAsia="en-US" w:bidi="ar-SA"/>
        </w:rPr>
        <w:t xml:space="preserve"> as disclosing no reasonable claim, or as unnecessary, scandalous, frivolous, or vexatious.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63</w:t>
      </w:r>
      <w:r>
        <w:rPr>
          <w:rFonts w:ascii="arial" w:eastAsia="arial" w:hAnsi="arial" w:cs="arial"/>
          <w:color w:val="000000"/>
          <w:sz w:val="20"/>
          <w:lang w:val="en-US" w:eastAsia="en-US" w:bidi="ar-SA"/>
        </w:rPr>
        <w:t>  The legal principles are accurately summarized in Gencor's written argument.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64</w:t>
      </w:r>
      <w:r>
        <w:rPr>
          <w:rFonts w:ascii="arial" w:eastAsia="arial" w:hAnsi="arial" w:cs="arial"/>
          <w:color w:val="000000"/>
          <w:sz w:val="20"/>
          <w:lang w:val="en-US" w:eastAsia="en-US" w:bidi="ar-SA"/>
        </w:rPr>
        <w:t xml:space="preserve">  For a claim to be struck under Rule 9-5(1)(a), it must be "plain and obvious" that no reasonable cause of action has been pleaded: </w:t>
      </w:r>
      <w:r>
        <w:rPr>
          <w:rFonts w:ascii="arial" w:eastAsia="arial" w:hAnsi="arial" w:cs="arial"/>
          <w:i/>
          <w:color w:val="000000"/>
          <w:sz w:val="20"/>
          <w:lang w:val="en-US" w:eastAsia="en-US" w:bidi="ar-SA"/>
        </w:rPr>
        <w:t>Ridge-Meadows Realty Ltd. v. 670206 B.C. Ltd.</w:t>
      </w:r>
      <w:r>
        <w:rPr>
          <w:rFonts w:ascii="arial" w:eastAsia="arial" w:hAnsi="arial" w:cs="arial"/>
          <w:color w:val="000000"/>
          <w:sz w:val="20"/>
          <w:lang w:val="en-US" w:eastAsia="en-US" w:bidi="ar-SA"/>
        </w:rPr>
        <w:t xml:space="preserve">, </w:t>
      </w:r>
      <w:hyperlink r:id="rId828" w:history="1">
        <w:r>
          <w:rPr>
            <w:rFonts w:ascii="arial" w:eastAsia="arial" w:hAnsi="arial" w:cs="arial"/>
            <w:i/>
            <w:color w:val="0077CC"/>
            <w:sz w:val="20"/>
            <w:u w:val="single"/>
            <w:shd w:val="clear" w:color="auto" w:fill="FFFFFF"/>
            <w:lang w:val="en-US" w:eastAsia="en-US" w:bidi="ar-SA"/>
          </w:rPr>
          <w:t>2013 BCSC 637</w:t>
        </w:r>
      </w:hyperlink>
      <w:r>
        <w:rPr>
          <w:rFonts w:ascii="arial" w:eastAsia="arial" w:hAnsi="arial" w:cs="arial"/>
          <w:color w:val="000000"/>
          <w:sz w:val="20"/>
          <w:lang w:val="en-US" w:eastAsia="en-US" w:bidi="ar-SA"/>
        </w:rPr>
        <w:t xml:space="preserve"> at para. 9, citing </w:t>
      </w:r>
      <w:r>
        <w:rPr>
          <w:rFonts w:ascii="arial" w:eastAsia="arial" w:hAnsi="arial" w:cs="arial"/>
          <w:i/>
          <w:color w:val="000000"/>
          <w:sz w:val="20"/>
          <w:lang w:val="en-US" w:eastAsia="en-US" w:bidi="ar-SA"/>
        </w:rPr>
        <w:t>Hunt v. Carey</w:t>
      </w:r>
      <w:r>
        <w:rPr>
          <w:rFonts w:ascii="arial" w:eastAsia="arial" w:hAnsi="arial" w:cs="arial"/>
          <w:color w:val="000000"/>
          <w:sz w:val="20"/>
          <w:lang w:val="en-US" w:eastAsia="en-US" w:bidi="ar-SA"/>
        </w:rPr>
        <w:t xml:space="preserve"> at 980.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65</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Canadian Bar Assn. v. British Columbia</w:t>
      </w:r>
      <w:r>
        <w:rPr>
          <w:rFonts w:ascii="arial" w:eastAsia="arial" w:hAnsi="arial" w:cs="arial"/>
          <w:color w:val="000000"/>
          <w:sz w:val="20"/>
          <w:lang w:val="en-US" w:eastAsia="en-US" w:bidi="ar-SA"/>
        </w:rPr>
        <w:t xml:space="preserve">, </w:t>
      </w:r>
      <w:hyperlink r:id="rId829" w:history="1">
        <w:r>
          <w:rPr>
            <w:rFonts w:ascii="arial" w:eastAsia="arial" w:hAnsi="arial" w:cs="arial"/>
            <w:i/>
            <w:color w:val="0077CC"/>
            <w:sz w:val="20"/>
            <w:u w:val="single"/>
            <w:shd w:val="clear" w:color="auto" w:fill="FFFFFF"/>
            <w:lang w:val="en-US" w:eastAsia="en-US" w:bidi="ar-SA"/>
          </w:rPr>
          <w:t>2008 BCCA 92</w:t>
        </w:r>
      </w:hyperlink>
      <w:r>
        <w:rPr>
          <w:rFonts w:ascii="arial" w:eastAsia="arial" w:hAnsi="arial" w:cs="arial"/>
          <w:color w:val="000000"/>
          <w:sz w:val="20"/>
          <w:lang w:val="en-US" w:eastAsia="en-US" w:bidi="ar-SA"/>
        </w:rPr>
        <w:t>, Madam Justice Saunders set out the standard for striking a claim under the previous version of Rule 9-5(1)(a):</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[37] In considering whether a reasonable claim is alleged under Rule 19(24)(a), the court considers the case on the basis the facts alleged are true. That is, this enquiry does not engage any of the evidence adduced by the parties, and the case is taken at its highest for the plaintiff: </w:t>
      </w:r>
      <w:r>
        <w:rPr>
          <w:rFonts w:ascii="arial" w:eastAsia="arial" w:hAnsi="arial" w:cs="arial"/>
          <w:i/>
          <w:color w:val="000000"/>
          <w:sz w:val="20"/>
          <w:lang w:val="en-US" w:eastAsia="en-US" w:bidi="ar-SA"/>
        </w:rPr>
        <w:t>Hunt v. Carey Canada Inc.</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[1990] 2 S.C.R. 959</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66</w:t>
      </w:r>
      <w:r>
        <w:rPr>
          <w:rFonts w:ascii="arial" w:eastAsia="arial" w:hAnsi="arial" w:cs="arial"/>
          <w:color w:val="000000"/>
          <w:sz w:val="20"/>
          <w:lang w:val="en-US" w:eastAsia="en-US" w:bidi="ar-SA"/>
        </w:rPr>
        <w:t xml:space="preserve">  In Micka v. Oliver &amp; District Community Economic Development Society, </w:t>
      </w:r>
      <w:hyperlink r:id="rId830" w:history="1">
        <w:r>
          <w:rPr>
            <w:rFonts w:ascii="arial" w:eastAsia="arial" w:hAnsi="arial" w:cs="arial"/>
            <w:i/>
            <w:color w:val="0077CC"/>
            <w:sz w:val="20"/>
            <w:u w:val="single"/>
            <w:shd w:val="clear" w:color="auto" w:fill="FFFFFF"/>
            <w:lang w:val="en-US" w:eastAsia="en-US" w:bidi="ar-SA"/>
          </w:rPr>
          <w:t>2008 BCSC 1623</w:t>
        </w:r>
      </w:hyperlink>
      <w:r>
        <w:rPr>
          <w:rFonts w:ascii="arial" w:eastAsia="arial" w:hAnsi="arial" w:cs="arial"/>
          <w:color w:val="000000"/>
          <w:sz w:val="20"/>
          <w:lang w:val="en-US" w:eastAsia="en-US" w:bidi="ar-SA"/>
        </w:rPr>
        <w:t>, the court stated: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[10] The issue is not whether the plaintiff has failed to identify the specific causes of action or tort claims advanced. Rather, the Court is to examine the statement of claim to see whether the material facts set out would, if proved, complete all the constituent elements of causes of action known in law: [citations omitted].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67</w:t>
      </w:r>
      <w:r>
        <w:rPr>
          <w:rFonts w:ascii="arial" w:eastAsia="arial" w:hAnsi="arial" w:cs="arial"/>
          <w:color w:val="000000"/>
          <w:sz w:val="20"/>
          <w:lang w:val="en-US" w:eastAsia="en-US" w:bidi="ar-SA"/>
        </w:rPr>
        <w:t xml:space="preserve">  Material facts are "those facts necessary for the purpose of formulating a complete cause of action": </w:t>
      </w:r>
      <w:r>
        <w:rPr>
          <w:rFonts w:ascii="arial" w:eastAsia="arial" w:hAnsi="arial" w:cs="arial"/>
          <w:i/>
          <w:color w:val="000000"/>
          <w:sz w:val="20"/>
          <w:lang w:val="en-US" w:eastAsia="en-US" w:bidi="ar-SA"/>
        </w:rPr>
        <w:t>Canadian Bar Assn.</w:t>
      </w:r>
      <w:r>
        <w:rPr>
          <w:rFonts w:ascii="arial" w:eastAsia="arial" w:hAnsi="arial" w:cs="arial"/>
          <w:color w:val="000000"/>
          <w:sz w:val="20"/>
          <w:lang w:val="en-US" w:eastAsia="en-US" w:bidi="ar-SA"/>
        </w:rPr>
        <w:t xml:space="preserve"> at para. 59.</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68</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The Owners, Strata Plan No. VIS3578 v. John A. Neilson Architects Inc. (sub nom Strata Plan VIS3578 v. Canan Investment Group Ltd.)</w:t>
      </w:r>
      <w:r>
        <w:rPr>
          <w:rFonts w:ascii="arial" w:eastAsia="arial" w:hAnsi="arial" w:cs="arial"/>
          <w:color w:val="000000"/>
          <w:sz w:val="20"/>
          <w:lang w:val="en-US" w:eastAsia="en-US" w:bidi="ar-SA"/>
        </w:rPr>
        <w:t xml:space="preserve">, </w:t>
      </w:r>
      <w:hyperlink r:id="rId831" w:history="1">
        <w:r>
          <w:rPr>
            <w:rFonts w:ascii="arial" w:eastAsia="arial" w:hAnsi="arial" w:cs="arial"/>
            <w:i/>
            <w:color w:val="0077CC"/>
            <w:sz w:val="20"/>
            <w:u w:val="single"/>
            <w:shd w:val="clear" w:color="auto" w:fill="FFFFFF"/>
            <w:lang w:val="en-US" w:eastAsia="en-US" w:bidi="ar-SA"/>
          </w:rPr>
          <w:t>2010 BCCA 329</w:t>
        </w:r>
      </w:hyperlink>
      <w:r>
        <w:rPr>
          <w:rFonts w:ascii="arial" w:eastAsia="arial" w:hAnsi="arial" w:cs="arial"/>
          <w:color w:val="000000"/>
          <w:sz w:val="20"/>
          <w:lang w:val="en-US" w:eastAsia="en-US" w:bidi="ar-SA"/>
        </w:rPr>
        <w:t>, Madam Justice Neilson summarized the law with respect to personal liability of corporate officers, directors, and employees as follows: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[63] In </w:t>
      </w:r>
      <w:r>
        <w:rPr>
          <w:rFonts w:ascii="arial" w:eastAsia="arial" w:hAnsi="arial" w:cs="arial"/>
          <w:i/>
          <w:color w:val="000000"/>
          <w:sz w:val="20"/>
          <w:lang w:val="en-US" w:eastAsia="en-US" w:bidi="ar-SA"/>
        </w:rPr>
        <w:t>London Drugs</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Ltd. v. Kuehne &amp; Nagel International Ltd.</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[1992] 3 S.C.R. 299</w:t>
      </w:r>
      <w:r>
        <w:rPr>
          <w:rFonts w:ascii="arial" w:eastAsia="arial" w:hAnsi="arial" w:cs="arial"/>
          <w:color w:val="000000"/>
          <w:sz w:val="20"/>
          <w:lang w:val="en-US" w:eastAsia="en-US" w:bidi="ar-SA"/>
        </w:rPr>
        <w:t>] Iacobucci J., writing for the majority, stated at 407-08:</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 There is no general rule in Canada to the effect that an employee acting in the course of his or her employment and performing the "very essence" of his or her employer's contractual obligations with a customer does not owe a duty of care, whether one labels it "independent" or otherwise, to the employer's customer.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69</w:t>
      </w:r>
      <w:r>
        <w:rPr>
          <w:rFonts w:ascii="arial" w:eastAsia="arial" w:hAnsi="arial" w:cs="arial"/>
          <w:color w:val="000000"/>
          <w:sz w:val="20"/>
          <w:lang w:val="en-US" w:eastAsia="en-US" w:bidi="ar-SA"/>
        </w:rPr>
        <w:t>  Furthermore: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[66] ... The fact that a director, officer or employee was acting within the course of employment and the corporation is vicariously liable for his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does not preclude a claim in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against the employee personally. However, in my view, the </w:t>
      </w:r>
      <w:r>
        <w:rPr>
          <w:rFonts w:ascii="arial" w:eastAsia="arial" w:hAnsi="arial" w:cs="arial"/>
          <w:i/>
          <w:color w:val="000000"/>
          <w:sz w:val="20"/>
          <w:lang w:val="en-US" w:eastAsia="en-US" w:bidi="ar-SA"/>
        </w:rPr>
        <w:t>London Drugs</w:t>
      </w:r>
      <w:r>
        <w:rPr>
          <w:rFonts w:ascii="arial" w:eastAsia="arial" w:hAnsi="arial" w:cs="arial"/>
          <w:color w:val="000000"/>
          <w:sz w:val="20"/>
          <w:lang w:val="en-US" w:eastAsia="en-US" w:bidi="ar-SA"/>
        </w:rPr>
        <w:t xml:space="preserve"> principle requires that claim against the individual must be based on the breach of a duty of care that would support an action against the individual personally. The material facts that support that personal claim in tort must be specifically pleaded to establish a possible cause of action under R. 15(5)(a)(iii).</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70</w:t>
      </w:r>
      <w:r>
        <w:rPr>
          <w:rFonts w:ascii="arial" w:eastAsia="arial" w:hAnsi="arial" w:cs="arial"/>
          <w:color w:val="000000"/>
          <w:sz w:val="20"/>
          <w:lang w:val="en-US" w:eastAsia="en-US" w:bidi="ar-SA"/>
        </w:rPr>
        <w:t xml:space="preserve">  I agree with Gencor that the amended notice of civil claim contains, at most, a generic plea </w:t>
      </w:r>
      <w:r>
        <w:rPr>
          <w:rFonts w:ascii="arial" w:eastAsia="arial" w:hAnsi="arial" w:cs="arial"/>
          <w:i/>
          <w:color w:val="000000"/>
          <w:sz w:val="20"/>
          <w:lang w:val="en-US" w:eastAsia="en-US" w:bidi="ar-SA"/>
        </w:rPr>
        <w:t>vis a vis</w:t>
      </w:r>
      <w:r>
        <w:rPr>
          <w:rFonts w:ascii="arial" w:eastAsia="arial" w:hAnsi="arial" w:cs="arial"/>
          <w:color w:val="000000"/>
          <w:sz w:val="20"/>
          <w:lang w:val="en-US" w:eastAsia="en-US" w:bidi="ar-SA"/>
        </w:rPr>
        <w:t xml:space="preserve"> Stowe and Price in that it is alleged that all the defendants owed duties of care to the plaintiff, the defendants breached these duties and were negligent, and the plaintiff suffered loss, damage, and expense as a result.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71</w:t>
      </w:r>
      <w:r>
        <w:rPr>
          <w:rFonts w:ascii="arial" w:eastAsia="arial" w:hAnsi="arial" w:cs="arial"/>
          <w:color w:val="000000"/>
          <w:sz w:val="20"/>
          <w:lang w:val="en-US" w:eastAsia="en-US" w:bidi="ar-SA"/>
        </w:rPr>
        <w:t xml:space="preserve">  The amended notice of civil claim fails to set out material facts sufficient to establish personal breaches of duty and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on the part of either Stowe or Price that would support a cause of action against them personally.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72</w:t>
      </w:r>
      <w:r>
        <w:rPr>
          <w:rFonts w:ascii="arial" w:eastAsia="arial" w:hAnsi="arial" w:cs="arial"/>
          <w:color w:val="000000"/>
          <w:sz w:val="20"/>
          <w:lang w:val="en-US" w:eastAsia="en-US" w:bidi="ar-SA"/>
        </w:rPr>
        <w:t>  The issue then becomes whether Gencor should be granted the relief it seeks with respect to Stowe and Price, that is dismissal of the claim against them, or if the plaintiff should be provided with the opportunity to remedy what is clearly, in my view, a defective pleading in so far as these defendants are concerned.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73</w:t>
      </w:r>
      <w:r>
        <w:rPr>
          <w:rFonts w:ascii="arial" w:eastAsia="arial" w:hAnsi="arial" w:cs="arial"/>
          <w:color w:val="000000"/>
          <w:sz w:val="20"/>
          <w:lang w:val="en-US" w:eastAsia="en-US" w:bidi="ar-SA"/>
        </w:rPr>
        <w:t xml:space="preserve">  I have concluded that the draconian relief sought by Gencor should not be granted at this point in time. As I have noted, the action has not yet been set for trial and no examinations for discovery have been conducted of or on behalf of the Gencor defendants. Rather, I order that by March 2, 2015 the plaintiff shall provide written particulars of its claim against Stowe and Price which shall include those material facts sufficient to establish personal breaches of duty and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on the part of either Stowe or Price that would support a cause of action against them personally. Without limiting the foregoing, the plaintiff is to provide particulars of the alleged misrepresentations made by Stowe and Price including:</w:t>
      </w:r>
      <w:r>
        <w:rPr>
          <w:rFonts w:ascii="arial" w:eastAsia="arial" w:hAnsi="arial" w:cs="arial"/>
          <w:sz w:val="20"/>
          <w:lang w:val="en-US" w:eastAsia="en-US" w:bidi="ar-SA"/>
        </w:rPr>
        <w:cr/>
      </w:r>
    </w:p>
    <w:p>
      <w:pPr>
        <w:numPr>
          <w:numId w:val="48"/>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which representation was made by either or both, Stowe and Price;</w:t>
      </w:r>
    </w:p>
    <w:p>
      <w:pPr>
        <w:numPr>
          <w:numId w:val="49"/>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how the representation was made;</w:t>
      </w:r>
    </w:p>
    <w:p>
      <w:pPr>
        <w:numPr>
          <w:numId w:val="50"/>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how the representation was untrue, inaccurate, or misleading; and</w:t>
      </w:r>
    </w:p>
    <w:p>
      <w:pPr>
        <w:numPr>
          <w:numId w:val="5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to whom the representation was made.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See </w:t>
      </w:r>
      <w:r>
        <w:rPr>
          <w:rFonts w:ascii="arial" w:eastAsia="arial" w:hAnsi="arial" w:cs="arial"/>
          <w:i/>
          <w:color w:val="000000"/>
          <w:sz w:val="20"/>
          <w:lang w:val="en-US" w:eastAsia="en-US" w:bidi="ar-SA"/>
        </w:rPr>
        <w:t>Bilfinger Berger (Canada) Inc. v. Greater Vancouver Water District</w:t>
      </w:r>
      <w:r>
        <w:rPr>
          <w:rFonts w:ascii="arial" w:eastAsia="arial" w:hAnsi="arial" w:cs="arial"/>
          <w:color w:val="000000"/>
          <w:sz w:val="20"/>
          <w:lang w:val="en-US" w:eastAsia="en-US" w:bidi="ar-SA"/>
        </w:rPr>
        <w:t xml:space="preserve">, </w:t>
      </w:r>
      <w:hyperlink r:id="rId832" w:history="1">
        <w:r>
          <w:rPr>
            <w:rFonts w:ascii="arial" w:eastAsia="arial" w:hAnsi="arial" w:cs="arial"/>
            <w:i/>
            <w:color w:val="0077CC"/>
            <w:sz w:val="20"/>
            <w:u w:val="single"/>
            <w:shd w:val="clear" w:color="auto" w:fill="FFFFFF"/>
            <w:lang w:val="en-US" w:eastAsia="en-US" w:bidi="ar-SA"/>
          </w:rPr>
          <w:t>2013 BCSC 2324</w:t>
        </w:r>
      </w:hyperlink>
      <w:r>
        <w:rPr>
          <w:rFonts w:ascii="arial" w:eastAsia="arial" w:hAnsi="arial" w:cs="arial"/>
          <w:color w:val="000000"/>
          <w:sz w:val="20"/>
          <w:lang w:val="en-US" w:eastAsia="en-US" w:bidi="ar-SA"/>
        </w:rPr>
        <w:t xml:space="preserve"> at paras. 13, 31.</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74</w:t>
      </w:r>
      <w:r>
        <w:rPr>
          <w:rFonts w:ascii="arial" w:eastAsia="arial" w:hAnsi="arial" w:cs="arial"/>
          <w:color w:val="000000"/>
          <w:sz w:val="20"/>
          <w:lang w:val="en-US" w:eastAsia="en-US" w:bidi="ar-SA"/>
        </w:rPr>
        <w:t>  Gencor is at liberty to reset the application to strike the claims against Stowe and Price after March 2, 2015. I will seize myself of that application which can be set for hearing for one hour at 9:00 a.m. at a date convenient to the parties and which accords with my rota.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1045"/>
        <w:gridCol w:w="8365"/>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1024"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18"/>
                <w:lang w:val="en-US" w:eastAsia="en-US" w:bidi="ar-SA"/>
              </w:rPr>
              <w:t>VI:</w:t>
            </w:r>
          </w:p>
        </w:tc>
        <w:tc>
          <w:tcPr>
            <w:tcW w:w="819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18"/>
                <w:lang w:val="en-US" w:eastAsia="en-US" w:bidi="ar-SA"/>
              </w:rPr>
              <w:t>CONCLUSION</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75</w:t>
      </w:r>
      <w:r>
        <w:rPr>
          <w:rFonts w:ascii="arial" w:eastAsia="arial" w:hAnsi="arial" w:cs="arial"/>
          <w:color w:val="000000"/>
          <w:sz w:val="20"/>
          <w:lang w:val="en-US" w:eastAsia="en-US" w:bidi="ar-SA"/>
        </w:rPr>
        <w:t>  The applications are disposed of as set out in paragraph 5 of these reasons for judgment.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76</w:t>
      </w:r>
      <w:r>
        <w:rPr>
          <w:rFonts w:ascii="arial" w:eastAsia="arial" w:hAnsi="arial" w:cs="arial"/>
          <w:color w:val="000000"/>
          <w:sz w:val="20"/>
          <w:lang w:val="en-US" w:eastAsia="en-US" w:bidi="ar-SA"/>
        </w:rPr>
        <w:t>  The plaintiff, the BCSA, and the Lillie Defendants are awarded their costs of responding to the stay of proceedings application at Scale B those costs not payable forthwith.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77</w:t>
      </w:r>
      <w:r>
        <w:rPr>
          <w:rFonts w:ascii="arial" w:eastAsia="arial" w:hAnsi="arial" w:cs="arial"/>
          <w:color w:val="000000"/>
          <w:sz w:val="20"/>
          <w:lang w:val="en-US" w:eastAsia="en-US" w:bidi="ar-SA"/>
        </w:rPr>
        <w:t>  I make a similar order in favour of the BCSA and the Lillie Defendants in respect to their applications seeking leave to issue the third party proceedings against Gencor.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78</w:t>
      </w:r>
      <w:r>
        <w:rPr>
          <w:rFonts w:ascii="arial" w:eastAsia="arial" w:hAnsi="arial" w:cs="arial"/>
          <w:color w:val="000000"/>
          <w:sz w:val="20"/>
          <w:lang w:val="en-US" w:eastAsia="en-US" w:bidi="ar-SA"/>
        </w:rPr>
        <w:t>  There will be no order as to costs at this time with respect to Gencor's application to strike the claims as against Stowe and Price. This can be revisited by Gencor and the plaintiff in the event the application proceeds after particulars have been provided.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P. ABRIOUX J.</w:t>
      </w:r>
      <w:r>
        <w:rPr>
          <w:rFonts w:ascii="arial" w:eastAsia="arial" w:hAnsi="arial" w:cs="arial"/>
          <w:sz w:val="20"/>
          <w:lang w:val="en-US" w:eastAsia="en-US" w:bidi="ar-SA"/>
        </w:rPr>
        <w:cr/>
      </w:r>
    </w:p>
    <w:p>
      <w:pPr>
        <w:rPr>
          <w:rFonts w:ascii="arial" w:eastAsia="arial" w:hAnsi="arial" w:cs="arial"/>
          <w:sz w:val="20"/>
          <w:lang w:val="en-US" w:eastAsia="en-US" w:bidi="ar-SA"/>
        </w:rPr>
      </w:pPr>
    </w:p>
    <w:p>
      <w:pPr>
        <w:ind w:left="200"/>
        <w:rPr>
          <w:rFonts w:ascii="arial" w:eastAsia="arial" w:hAnsi="arial" w:cs="arial"/>
          <w:sz w:val="20"/>
          <w:lang w:val="en-US" w:eastAsia="en-US" w:bidi="ar-SA"/>
        </w:rPr>
        <w:sectPr>
          <w:type w:val="continuous"/>
          <w:pgMar w:top="840" w:right="1000" w:bottom="840" w:left="1000" w:header="400" w:footer="400"/>
          <w:pgNumType w:fmt="decimal"/>
          <w:cols w:space="720"/>
        </w:sectPr>
      </w:pPr>
      <w:r>
        <w:rPr>
          <w:rFonts w:ascii="arial" w:eastAsia="arial" w:hAnsi="arial" w:cs="arial"/>
          <w:sz w:val="20"/>
          <w:lang w:val="en-US" w:eastAsia="en-US" w:bidi="ar-SA"/>
        </w:rPr>
        <w:br/>
      </w:r>
      <w:r>
        <w:pict>
          <v:line id="_x0000_s1228" style="position:absolute;z-index:251889664" from="0,10pt" to="512pt,10pt" strokecolor="black" strokeweight="1pt">
            <v:stroke linestyle="single"/>
          </v:line>
        </w:pict>
      </w:r>
      <w:r>
        <w:rPr>
          <w:b/>
          <w:color w:val="767676"/>
          <w:sz w:val="16"/>
          <w:lang w:val="en-US" w:eastAsia="en-US" w:bidi="ar-SA"/>
        </w:rPr>
        <w:t>End of Document</w:t>
      </w:r>
    </w:p>
    <w:p>
      <w:pPr>
        <w:rPr>
          <w:rFonts w:ascii="arial" w:eastAsia="arial" w:hAnsi="arial" w:cs="arial"/>
          <w:sz w:val="20"/>
          <w:lang w:val="en-US" w:eastAsia="en-US" w:bidi="ar-SA"/>
        </w:rPr>
        <w:sectPr>
          <w:headerReference w:type="even" r:id="rId833"/>
          <w:headerReference w:type="default" r:id="rId834"/>
          <w:footerReference w:type="even" r:id="rId835"/>
          <w:footerReference w:type="default" r:id="rId836"/>
          <w:headerReference w:type="first" r:id="rId837"/>
          <w:footerReference w:type="first" r:id="rId838"/>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eastAsia="arial" w:hAnsi="Arial" w:cs="Arial"/>
          <w:b/>
          <w:bCs/>
          <w:kern w:val="32"/>
          <w:sz w:val="32"/>
          <w:szCs w:val="32"/>
          <w:lang w:val="en-US" w:eastAsia="en-US" w:bidi="ar-SA"/>
        </w:rPr>
      </w:pPr>
      <w:hyperlink r:id="rId839" w:history="1">
        <w:r>
          <w:rPr>
            <w:rFonts w:ascii="arial" w:eastAsia="arial" w:hAnsi="arial" w:cs="arial"/>
            <w:b/>
            <w:bCs/>
            <w:i/>
            <w:color w:val="0077CC"/>
            <w:kern w:val="32"/>
            <w:sz w:val="28"/>
            <w:szCs w:val="32"/>
            <w:u w:val="single"/>
            <w:shd w:val="clear" w:color="auto" w:fill="FFFFFF"/>
            <w:lang w:val="en-US" w:eastAsia="en-US" w:bidi="ar-SA"/>
          </w:rPr>
          <w:t>British Columbia Teachers' Federation v. British Columbia, [2014] B.C.J. No. 91</w:t>
        </w:r>
      </w:hyperlink>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Judgments</w:t>
      </w:r>
    </w:p>
    <w:p>
      <w:pPr>
        <w:rPr>
          <w:rFonts w:ascii="arial" w:eastAsia="arial" w:hAnsi="arial" w:cs="arial"/>
          <w:sz w:val="20"/>
          <w:lang w:val="en-US" w:eastAsia="en-US" w:bidi="ar-SA"/>
        </w:rPr>
      </w:pP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Vancouver, British Columbia</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S.A. Griffin J.</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Heard: September 9-13, 16-20, 23-26 and November 18-22,</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2013.</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Post-Trial Application: January 13, 2014.</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Oral judgment: January 27, 2014.</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Dockets: L021662</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Registry: Vancouver</w:t>
      </w:r>
    </w:p>
    <w:p>
      <w:pPr>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r>
        <w:rPr>
          <w:rFonts w:ascii="arial" w:eastAsia="arial" w:hAnsi="arial" w:cs="arial"/>
          <w:b/>
          <w:color w:val="000000"/>
          <w:sz w:val="20"/>
          <w:lang w:val="en-US" w:eastAsia="en-US" w:bidi="ar-SA"/>
        </w:rPr>
        <w:t>[2014] B.C.J. No. 91</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hyperlink r:id="rId840" w:history="1">
        <w:r>
          <w:rPr>
            <w:rFonts w:ascii="arial" w:eastAsia="arial" w:hAnsi="arial" w:cs="arial"/>
            <w:i/>
            <w:color w:val="0077CC"/>
            <w:sz w:val="20"/>
            <w:u w:val="single"/>
            <w:shd w:val="clear" w:color="auto" w:fill="FFFFFF"/>
            <w:lang w:val="en-US" w:eastAsia="en-US" w:bidi="ar-SA"/>
          </w:rPr>
          <w:t>2014 BCSC 121</w:t>
        </w:r>
      </w:hyperlink>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hyperlink r:id="rId840" w:history="1">
        <w:r>
          <w:rPr>
            <w:rFonts w:ascii="arial" w:eastAsia="arial" w:hAnsi="arial" w:cs="arial"/>
            <w:i/>
            <w:color w:val="0077CC"/>
            <w:sz w:val="20"/>
            <w:u w:val="single"/>
            <w:shd w:val="clear" w:color="auto" w:fill="FFFFFF"/>
            <w:lang w:val="en-US" w:eastAsia="en-US" w:bidi="ar-SA"/>
          </w:rPr>
          <w:t>237 A.C.W.S. (3d) 378</w:t>
        </w:r>
      </w:hyperlink>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hyperlink r:id="rId840" w:history="1">
        <w:r>
          <w:rPr>
            <w:rFonts w:ascii="arial" w:eastAsia="arial" w:hAnsi="arial" w:cs="arial"/>
            <w:i/>
            <w:color w:val="0077CC"/>
            <w:sz w:val="20"/>
            <w:u w:val="single"/>
            <w:shd w:val="clear" w:color="auto" w:fill="FFFFFF"/>
            <w:lang w:val="en-US" w:eastAsia="en-US" w:bidi="ar-SA"/>
          </w:rPr>
          <w:t>[2014] CLLC para. 220-019</w:t>
        </w:r>
      </w:hyperlink>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hyperlink r:id="rId840" w:history="1">
        <w:r>
          <w:rPr>
            <w:rFonts w:ascii="arial" w:eastAsia="arial" w:hAnsi="arial" w:cs="arial"/>
            <w:i/>
            <w:color w:val="0077CC"/>
            <w:sz w:val="20"/>
            <w:u w:val="single"/>
            <w:shd w:val="clear" w:color="auto" w:fill="FFFFFF"/>
            <w:lang w:val="en-US" w:eastAsia="en-US" w:bidi="ar-SA"/>
          </w:rPr>
          <w:t>[2014] 3 W.W.R. 672</w:t>
        </w:r>
      </w:hyperlink>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hyperlink r:id="rId840" w:history="1">
        <w:r>
          <w:rPr>
            <w:rFonts w:ascii="arial" w:eastAsia="arial" w:hAnsi="arial" w:cs="arial"/>
            <w:i/>
            <w:color w:val="0077CC"/>
            <w:sz w:val="20"/>
            <w:u w:val="single"/>
            <w:shd w:val="clear" w:color="auto" w:fill="FFFFFF"/>
            <w:lang w:val="en-US" w:eastAsia="en-US" w:bidi="ar-SA"/>
          </w:rPr>
          <w:t>299 C.R.R. (2d) 106</w:t>
        </w:r>
      </w:hyperlink>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hyperlink r:id="rId840" w:history="1">
        <w:r>
          <w:rPr>
            <w:rFonts w:ascii="arial" w:eastAsia="arial" w:hAnsi="arial" w:cs="arial"/>
            <w:i/>
            <w:color w:val="0077CC"/>
            <w:sz w:val="20"/>
            <w:u w:val="single"/>
            <w:shd w:val="clear" w:color="auto" w:fill="FFFFFF"/>
            <w:lang w:val="en-US" w:eastAsia="en-US" w:bidi="ar-SA"/>
          </w:rPr>
          <w:t>54 B.C.L.R. (5th) 286</w:t>
        </w:r>
      </w:hyperlink>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hyperlink r:id="rId840" w:history="1">
        <w:r>
          <w:rPr>
            <w:rFonts w:ascii="arial" w:eastAsia="arial" w:hAnsi="arial" w:cs="arial"/>
            <w:i/>
            <w:color w:val="0077CC"/>
            <w:sz w:val="20"/>
            <w:u w:val="single"/>
            <w:shd w:val="clear" w:color="auto" w:fill="FFFFFF"/>
            <w:lang w:val="en-US" w:eastAsia="en-US" w:bidi="ar-SA"/>
          </w:rPr>
          <w:t>2014 CarswellBC 182</w:t>
        </w:r>
      </w:hyperlink>
    </w:p>
    <w:p>
      <w:pPr>
        <w:spacing w:before="120" w:line="260" w:lineRule="atLeast"/>
        <w:rPr>
          <w:rFonts w:ascii="arial" w:eastAsia="arial" w:hAnsi="arial" w:cs="arial"/>
          <w:sz w:val="20"/>
          <w:lang w:val="en-US" w:eastAsia="en-US" w:bidi="ar-SA"/>
        </w:rPr>
      </w:pPr>
      <w:r>
        <w:rPr>
          <w:rFonts w:ascii="arial" w:eastAsia="arial" w:hAnsi="arial" w:cs="arial"/>
          <w:color w:val="000000"/>
          <w:sz w:val="20"/>
          <w:lang w:val="en-US" w:eastAsia="en-US" w:bidi="ar-SA"/>
        </w:rPr>
        <w:t>Between British Columbia Teachers' Federation, and David Chudnosky, on his own behalf, and on behalf of all Members of the British Columbia Teacher's Federation, Plaintiffs, and Her Majesty the Queen in Right of the Province of British Columbia, Defendant And between British Columbia Teachers' Federation on behalf of all Members of the British Columbia Teachers' Federation, Plaintiff, and Her Majesty the Queen in Right of the Province of British Columbia, Defendant</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(683 paras.)</w:t>
      </w:r>
    </w:p>
    <w:p>
      <w:pPr>
        <w:keepNext/>
        <w:spacing w:before="12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Case Summary</w:t>
      </w:r>
    </w:p>
    <w:p>
      <w:pPr>
        <w:spacing w:line="60" w:lineRule="exact"/>
        <w:rPr>
          <w:rFonts w:ascii="arial" w:eastAsia="arial" w:hAnsi="arial" w:cs="arial"/>
          <w:sz w:val="20"/>
          <w:lang w:val="en-US" w:eastAsia="en-US" w:bidi="ar-SA"/>
        </w:rPr>
      </w:pPr>
      <w:r>
        <w:pict>
          <v:line id="_x0000_s1229" style="position:absolute;z-index:251702272"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bookmarkStart w:id="272" w:name="Keywords_41"/>
      <w:bookmarkEnd w:id="272"/>
      <w:r>
        <w:rPr>
          <w:rFonts w:ascii="arial" w:eastAsia="arial" w:hAnsi="arial" w:cs="arial"/>
          <w:b/>
          <w:color w:val="000000"/>
          <w:sz w:val="20"/>
          <w:lang w:val="en-US" w:eastAsia="en-US" w:bidi="ar-SA"/>
        </w:rPr>
        <w:t>Constitutional law — Canadian Charter of Rights and Freedoms — Fundamental freedoms — Freedom of association — Collective bargaining — Remedies for denial of rights — Legislative remedies — Severance or striking down of provisions — Procedural remedies — Damages — Action and application by British Columbia Teachers' Federation for constitutional remedies allowed — Prior proceeding successfully challenged provincial legislation deleting collective agreement terms and prohibiting bargaining on certain working conditions issues — Following expiration of 12-month suspension of remedy, government enacted largely duplicative legislation — Discussions between parties prior to enactment did not immunize legislation from challenge and were not undertaken in good faith — Limitation on length of bargaining prohibition did not save duplicative legislation, as it remained contrary to teachers' s. 2(d) Charter rights — Impugned provisions struck down and Federation awarded damages of $2 million — Canadian Charter of Rights and Freedoms, ss. 1, 2(d), 24(1) — Class Size and Compensation Regulation — Constitution Act, s. 52(1) — Education Improvement Act, ss. 6, 8, 13, 14(c), 18, 19, 21, 22, 24 — Learning Improvement Fund Regulation — School Act, s. 27.</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Education law — School regulation and administration — Constitutional issues — Canadian Charter of Rights and Freedoms — Action and application by British Columbia Teachers' Federation for constitutional remedies allowed — Prior proceeding successfully challenged provincial legislation deleting collective agreement terms and prohibiting bargaining on certain working conditions issues — Following expiration of 12-month suspension of remedy, government enacted largely duplicative legislation — Discussions between parties prior to enactment did not immunize legislation from challenge and were not undertaken in good faith — Limitation on length of bargaining prohibition did not save duplicative legislation, as it remained contrary to teachers' s. 2(d) Charter rights — Impugned provisions struck down and Federation awarded damages of $2 million — Canadian Charter of Rights and Freedoms, ss. 1, 2(d), 24(1) — Class Size and Compensation Regulation — Constitution Act, s. 52(1) — Education Improvement Act, ss. 6, 8, 13, 14(c), 18, 19, 21, 22, 24 — Learning Improvement Fund Regulation — School Act, s. 27.</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Labour law — Constitutional issues — Canadian Charter of Rights and Freedoms — Freedom of association — Action and application by British Columbia Teachers' Federation for constitutional remedies allowed — Prior proceeding successfully challenged provincial legislation deleting collective agreement terms and prohibiting bargaining on certain working conditions issues — Following expiration of 12-month suspension of remedy, government enacted largely duplicative legislation — Discussions between parties prior to enactment did not immunize legislation from challenge and were not undertaken in good faith — Limitation on length of bargaining prohibition did not save duplicative legislation, as it remained contrary to teachers' s. 2(d) Charter rights — Impugned provisions struck down and Federation awarded damages of $2 million — Canadian Charter of Rights and Freedoms, ss. 1, 2(d), 24(1) — Class Size and Compensation Regulation — Constitution Act, s. 52(1) — Education Improvement Act, ss. 6, 8, 13, 14(c), 18, 19, 21, 22, 24 — Learning Improvement Fund Regulation — School Act, s. 27.</w:t>
      </w:r>
    </w:p>
    <w:p>
      <w:pPr>
        <w:rPr>
          <w:rFonts w:ascii="arial" w:eastAsia="arial" w:hAnsi="arial" w:cs="arial"/>
          <w:sz w:val="20"/>
          <w:lang w:val="en-US" w:eastAsia="en-US" w:bidi="ar-SA"/>
        </w:rPr>
      </w:pPr>
    </w:p>
    <w:tbl>
      <w:tblPr>
        <w:tblStyle w:val="TableNormal"/>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
      <w:tblGrid>
        <w:gridCol w:w="10225"/>
      </w:tblGrid>
      <w:tr>
        <w:tblPrEx>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Ex>
        <w:tc>
          <w:tcPr/>
          <w:p>
            <w:pPr>
              <w:rPr>
                <w:rFonts w:ascii="arial" w:eastAsia="arial" w:hAnsi="arial" w:cs="arial"/>
                <w:sz w:val="20"/>
                <w:lang w:val="en-US" w:eastAsia="en-US" w:bidi="ar-SA"/>
              </w:rPr>
            </w:pPr>
            <w:bookmarkStart w:id="273" w:name="Case Summary_39"/>
            <w:bookmarkEnd w:id="273"/>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Action and application by the British Columbia Teachers' Federation for constitutional remedies against the Province of British Columbia based on continuing violations of s. 2(d) Charter rights. A prior proceeding challenged the constitutionality of provincial legislation, the Education Improvement Act, which deleted collective agreement terms and prohibited collective bargaining on issues related to class size, class composition, and supports for special needs students. The court issued a declaration that the legislation interfered with teachers' collective bargaining rights and breached s. 2(d) of the Charter. An order striking down the legislation was suspended for 12 months to grant the Province time to address the decision. The decision was not appealed. Upon expiration of the suspension period, the Province enacted virtually identical legislation. The Province submitted that the new legislation followed consultations with the Federation undertaken in good faith, and contained a material difference from the prior legislation by limiting the prohibition on collective bargaining about working conditions. The Federation challenged the new legislation and additional measures taken by the Province, including its net zero mandate for collective agreements, the appointment of a mediator with narrow terms of reference for bargaining, and the enactment of various regulations. The Federation sought orders striking down the impugned legislation and regulations, and damages pursuant to s. 24(1) of the Charter. </w:t>
            </w:r>
            <w:r>
              <w:rPr>
                <w:rFonts w:ascii="arial" w:eastAsia="arial" w:hAnsi="arial" w:cs="arial"/>
                <w:sz w:val="20"/>
                <w:lang w:val="en-US" w:eastAsia="en-US" w:bidi="ar-SA"/>
              </w:rPr>
              <w:cr/>
            </w:r>
          </w:p>
          <w:p>
            <w:pPr>
              <w:spacing w:before="120" w:line="260" w:lineRule="atLeast"/>
              <w:ind w:left="240"/>
              <w:jc w:val="both"/>
              <w:rPr>
                <w:rFonts w:ascii="arial" w:eastAsia="arial" w:hAnsi="arial" w:cs="arial"/>
                <w:sz w:val="20"/>
                <w:lang w:val="en-US" w:eastAsia="en-US" w:bidi="ar-SA"/>
              </w:rPr>
            </w:pPr>
            <w:bookmarkStart w:id="274" w:name="Holdings of Court_33"/>
            <w:bookmarkEnd w:id="274"/>
            <w:r>
              <w:rPr>
                <w:rFonts w:ascii="arial" w:eastAsia="arial" w:hAnsi="arial" w:cs="arial"/>
                <w:color w:val="000000"/>
                <w:sz w:val="20"/>
                <w:lang w:val="en-US" w:eastAsia="en-US" w:bidi="ar-SA"/>
              </w:rPr>
              <w:t>HELD: Action and application allowed.</w:t>
            </w:r>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The discussions between the Province and the Federation did not cure the unconstitutionality of the legislation or immunize the subsequent duplicative legislation from further constitutional challenge. The discussions were not undertaken in good faith, as the Province utilized a strategy designed to provoke a strike in order to gain political support for imposition of the legislation upon the Federation. There was no basis for distinguishing the new legislation from the previous findings of unconstitutionality. The new legislation substantially interfered with teachers' s. 2(d) Charter rights, which protected a freedom to associate to make representations to their employer and to have the employer consider those representations in good faith. The impugned provisions were not saved by s. 1 of the Charter, as the harmful effects were adversely disproportionate to the legislative objectives. In the result, ss. 8, 13, and 24 of the Education Improvement Act were struck down with the effect that deleted terms in the teachers' collective agreement were restored retroactively and were a permitted subject for future bargaining. In addition, the Province's conduct in effectively extending unconstitutional prohibitions on collective bargaining justified an award of damages pursuant to s. 24(1) of the Charter. The Federation was awarded $2 million in damages. The remaining impugned conduct by the Province was not unconstitutional, as it was within the scope of the Province's role and responsibility in establishing fiscal and policy parameters around collective bargaining with the Federation. </w:t>
            </w:r>
            <w:r>
              <w:rPr>
                <w:rFonts w:ascii="arial" w:eastAsia="arial" w:hAnsi="arial" w:cs="arial"/>
                <w:sz w:val="20"/>
                <w:lang w:val="en-US" w:eastAsia="en-US" w:bidi="ar-SA"/>
              </w:rPr>
              <w:cr/>
            </w:r>
          </w:p>
          <w:p>
            <w:pPr>
              <w:rPr>
                <w:rFonts w:ascii="arial" w:eastAsia="arial" w:hAnsi="arial" w:cs="arial"/>
                <w:sz w:val="20"/>
                <w:lang w:val="en-US" w:eastAsia="en-US" w:bidi="ar-SA"/>
              </w:rPr>
            </w:pPr>
          </w:p>
        </w:tc>
      </w:tr>
    </w:tbl>
    <w:p>
      <w:pPr>
        <w:jc w:val="both"/>
        <w:rPr>
          <w:rFonts w:ascii="arial" w:eastAsia="arial" w:hAnsi="arial" w:cs="arial"/>
          <w:sz w:val="20"/>
          <w:lang w:val="en-US" w:eastAsia="en-US" w:bidi="ar-SA"/>
        </w:rPr>
      </w:pPr>
      <w:bookmarkStart w:id="275" w:name="Legislation Cited_28"/>
      <w:bookmarkEnd w:id="275"/>
      <w:r>
        <w:rPr>
          <w:rFonts w:ascii="arial" w:eastAsia="arial" w:hAnsi="arial" w:cs="arial"/>
          <w:sz w:val="20"/>
          <w:lang w:val="en-US" w:eastAsia="en-US" w:bidi="ar-SA"/>
        </w:rPr>
        <w:br/>
      </w:r>
    </w:p>
    <w:p>
      <w:pPr>
        <w:keepNext/>
        <w:spacing w:before="24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Statutes, Regulations and Rules Cited:</w:t>
      </w:r>
    </w:p>
    <w:p>
      <w:pPr>
        <w:spacing w:line="60" w:lineRule="exact"/>
        <w:rPr>
          <w:rFonts w:ascii="arial" w:eastAsia="arial" w:hAnsi="arial" w:cs="arial"/>
          <w:sz w:val="20"/>
          <w:lang w:val="en-US" w:eastAsia="en-US" w:bidi="ar-SA"/>
        </w:rPr>
      </w:pPr>
      <w:r>
        <w:pict>
          <v:line id="_x0000_s1230" style="position:absolute;z-index:251753472"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Canadian Charter of Rights and Freedoms, 1982, R.S.C. 1985, App. II, No. 44, Schedule B, s. 1, s. 2(d), s. 24(1)</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Class Size and Compensation Regulation, </w:t>
      </w:r>
      <w:hyperlink r:id="rId841" w:history="1">
        <w:r>
          <w:rPr>
            <w:rFonts w:ascii="arial" w:eastAsia="arial" w:hAnsi="arial" w:cs="arial"/>
            <w:i/>
            <w:color w:val="0077CC"/>
            <w:sz w:val="20"/>
            <w:u w:val="single"/>
            <w:shd w:val="clear" w:color="auto" w:fill="FFFFFF"/>
            <w:lang w:val="en-US" w:eastAsia="en-US" w:bidi="ar-SA"/>
          </w:rPr>
          <w:t>B.C. Reg 52/2012</w:t>
        </w:r>
      </w:hyperlink>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Constitution Act, 1982, R.S.C. 1985, App. II, No. 44, Schedule B, s. 52(1)</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Education and Health Collective Bargaining Assistance Act, S.B.C. 1996, c. 1,</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Education Improvement Act, </w:t>
      </w:r>
      <w:hyperlink r:id="rId842" w:history="1">
        <w:r>
          <w:rPr>
            <w:rFonts w:ascii="arial" w:eastAsia="arial" w:hAnsi="arial" w:cs="arial"/>
            <w:i/>
            <w:color w:val="0077CC"/>
            <w:sz w:val="20"/>
            <w:u w:val="single"/>
            <w:shd w:val="clear" w:color="auto" w:fill="FFFFFF"/>
            <w:lang w:val="en-US" w:eastAsia="en-US" w:bidi="ar-SA"/>
          </w:rPr>
          <w:t>S.B.C. 2012, c. 3, s. 6</w:t>
        </w:r>
      </w:hyperlink>
      <w:r>
        <w:rPr>
          <w:rFonts w:ascii="arial" w:eastAsia="arial" w:hAnsi="arial" w:cs="arial"/>
          <w:color w:val="000000"/>
          <w:sz w:val="20"/>
          <w:lang w:val="en-US" w:eastAsia="en-US" w:bidi="ar-SA"/>
        </w:rPr>
        <w:t>, s. 8, s. 13, s. 14(c), s. 18, s. 19, s. 21, s. 22, s. 24, s. 26</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Education (Leaning Enhancement) Statutes Amendment Act, 2006, SBC 2006, CHAPTER 21,</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Education Services Collective Agreement Amendment Act, 2004, SBC 2004, CHAPTER 16,</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Education Services Collective Agreement Act, </w:t>
      </w:r>
      <w:hyperlink r:id="rId843" w:history="1">
        <w:r>
          <w:rPr>
            <w:rFonts w:ascii="arial" w:eastAsia="arial" w:hAnsi="arial" w:cs="arial"/>
            <w:i/>
            <w:color w:val="0077CC"/>
            <w:sz w:val="20"/>
            <w:u w:val="single"/>
            <w:shd w:val="clear" w:color="auto" w:fill="FFFFFF"/>
            <w:lang w:val="en-US" w:eastAsia="en-US" w:bidi="ar-SA"/>
          </w:rPr>
          <w:t>SBC 2002, CHAPTER 1, s. 4</w:t>
        </w:r>
      </w:hyperlink>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Industrial Relations Act, R.S.B.C. 1979, c. 212,</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Labour Relations Code, </w:t>
      </w:r>
      <w:r>
        <w:rPr>
          <w:rFonts w:ascii="arial" w:eastAsia="arial" w:hAnsi="arial" w:cs="arial"/>
          <w:i/>
          <w:color w:val="000000"/>
          <w:sz w:val="20"/>
          <w:lang w:val="en-US" w:eastAsia="en-US" w:bidi="ar-SA"/>
        </w:rPr>
        <w:t>RSBC 1996, CHAPTER 244</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Learning Improvement Fund Regulation, B.C. Reg. 103/2012,</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Public Education Collective Agreement Act, SBC 1998, CHAPTER 41, s. 8, s. 9, s. 15</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Public Education Flexibility and Choice Act, SBC 2002, CHAPTER 3, s. 8, s. 9</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Public Education Labour Relations Act, S.B.C. 1994, c. 21,</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Public Sector Employers Act, S.B.C. 1993, c. 65, s. 4</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School Act, R.S.B.C. 1996. c. 412, s. 27, s. 27(3)(d), s. 27(3) (j), s. 27(7), s. 27.1, s. 76.1, s. 115.2</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Skills Development and Labour Statutes Amendment Act, 2001, SBC 2001, CHAPTER 33,</w:t>
      </w:r>
      <w:r>
        <w:rPr>
          <w:rFonts w:ascii="arial" w:eastAsia="arial" w:hAnsi="arial" w:cs="arial"/>
          <w:sz w:val="20"/>
          <w:lang w:val="en-US" w:eastAsia="en-US" w:bidi="ar-SA"/>
        </w:rPr>
        <w:cr/>
      </w:r>
    </w:p>
    <w:p>
      <w:pPr>
        <w:rPr>
          <w:rFonts w:ascii="arial" w:eastAsia="arial" w:hAnsi="arial" w:cs="arial"/>
          <w:sz w:val="20"/>
          <w:lang w:val="en-US" w:eastAsia="en-US" w:bidi="ar-SA"/>
        </w:rPr>
      </w:pPr>
    </w:p>
    <w:tbl>
      <w:tblPr>
        <w:tblStyle w:val="TableNormal"/>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
      <w:tblGrid>
        <w:gridCol w:w="10225"/>
      </w:tblGrid>
      <w:tr>
        <w:tblPrEx>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Ex>
        <w:tc>
          <w:tcPr/>
          <w:p>
            <w:pPr>
              <w:spacing w:before="120" w:line="260" w:lineRule="atLeast"/>
              <w:ind w:left="240"/>
              <w:rPr>
                <w:rFonts w:ascii="arial" w:eastAsia="arial" w:hAnsi="arial" w:cs="arial"/>
                <w:sz w:val="20"/>
                <w:lang w:val="en-US" w:eastAsia="en-US" w:bidi="ar-SA"/>
              </w:rPr>
            </w:pPr>
            <w:r>
              <w:rPr>
                <w:rFonts w:ascii="arial" w:eastAsia="arial" w:hAnsi="arial" w:cs="arial"/>
                <w:b/>
                <w:color w:val="000000"/>
                <w:sz w:val="20"/>
                <w:lang w:val="en-US" w:eastAsia="en-US" w:bidi="ar-SA"/>
              </w:rPr>
              <w:t>Summary:</w:t>
            </w:r>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hearing before this Court follows on the Court's declaration on April 13, 2011 that legislation interfering with teachers' collective bargaining rights was unconstitutional as a breach of s. 2(d) of the Canadian Charter of Rights and Freedoms, which guarantees freedom of association. </w:t>
            </w:r>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legislation at issue deleted collective agreement terms and prohibited collective bargaining having to do with a range of working conditions, many having to do with class size and composition and the number of supports provided in classes to students with special needs. </w:t>
            </w:r>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freedom of workers to associate has long been recognized internationally and in Canada as an important aspect of a fair and democratic society. Collective action by workers helps protect individuals from unfairness in one of the most fundamental aspects of their lives, their employment. Normally the result after legislation is determined by a court to be unconstitutional is that it is struck down. This is part of Canada's democratic structure, which requires that governments must act legally, within the supreme law of the country, the Constitution. </w:t>
            </w:r>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Here this result was suspended for twelve months to give the government time to address the repercussions of the decision. The government did not appeal. </w:t>
            </w:r>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After the twelve months expired, the government enacted virtually identical legislation in Bill 22, with the duplicative provisions coming into force on April 14, 2012. The over-arching question, then, is whether there is something new that makes the new legislation constitutional when the previous legislation was not. </w:t>
            </w:r>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government argues that there is a crucial difference between the Bill 22 package of legislation and the earlier legislation declared unconstitutional, in that in Bill 22 it temporally limited the second branch of the legislation: the continued prohibition on collective bargaining about the working conditions terms was extended until the end of June 2013 and then repealed., However, in Bill 22 the government re-enacted legislation identical to that first branch of what was previously declared unconstitutional, namely, the deletion and prohibition of hundreds of collective agreement terms on working conditions., The Court concludes that there is no basis for distinguishing the new legislation from the previous findings of this Court. The new duplicative legislation substantially interferes with the s. 2(d) Charter rights of teachers, which protects their freedom to associate to make representations to their employer and have the employer consider them in good faith., As a result, the Court finds the duplicative legislation in Bill 22 to be unconstitutional, namely s. 8, part of s. 13, and s. 24, set out in Appendix A. The unconstitutional provisions that have not already expired, ss. 8 and 24, are struck down., When legislation is struck down as unconstitutional, it means it was never valid, from the date of its enactment. This means that the legislatively deleted terms in the teachers' collective agreement have been restored retroactively and can also be the subject of future bargaining., Striking down the unconstitutional legislation will have implications for teachers and their employers but both sides will have interests in resolving these implications through collective bargaining and the tools already existing to resolve labour disputes., The Court has also concluded that it is appropriate and just to award damages against the government pursuant to s. 24(1) of the Charter. This is in order to provide an effective remedy in relation to the government's unlawful action in extending the unconstitutional prohibitions on collective bargaining to the end of June 2013. The government must pay the BCTF damages of $2 million., The BCTF has also challenged other action taken by the government since the Bill 28 Decision: the government's conduct in issuing Mandate 2010 to the employers' association for collective bargaining, commonly known as the net zero mandate; the government's legislation appointing a mediator with a narrow mandate at the end of the 2011-2012 round of collective bargaining, Mr. Charles Jago; and two regulations enacted by the government, the Learning Improvement Fund Regulation, and the Class Size and Compensation Regulation., The Court concludes that none of this other challenged government conduct was unconstitutional. The government has a role and responsibility in respect of the education system that entitles it to establish some fiscal and policy parameters around the collective bargaining between the teachers' employee association, the BCTF, and that of the employers' association, BCPSEA, so long as there can still be room for movement within those parameters. </w:t>
            </w:r>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Cases cited: </w:t>
            </w:r>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Alberta v. Hutterian Brethren of Wilson Colony, </w:t>
            </w:r>
            <w:hyperlink r:id="rId844" w:history="1">
              <w:r>
                <w:rPr>
                  <w:rFonts w:ascii="arial" w:eastAsia="arial" w:hAnsi="arial" w:cs="arial"/>
                  <w:i/>
                  <w:color w:val="0077CC"/>
                  <w:sz w:val="20"/>
                  <w:u w:val="single"/>
                  <w:shd w:val="clear" w:color="auto" w:fill="FFFFFF"/>
                  <w:lang w:val="en-US" w:eastAsia="en-US" w:bidi="ar-SA"/>
                </w:rPr>
                <w:t>2009 SCC 3</w:t>
              </w:r>
            </w:hyperlink>
            <w:r>
              <w:rPr>
                <w:rFonts w:ascii="arial" w:eastAsia="arial" w:hAnsi="arial" w:cs="arial"/>
                <w:color w:val="000000"/>
                <w:sz w:val="20"/>
                <w:lang w:val="en-US" w:eastAsia="en-US" w:bidi="ar-SA"/>
              </w:rPr>
              <w:t xml:space="preserve">. </w:t>
            </w:r>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Association of Justice Counsel v. Canada (Attorney General), </w:t>
            </w:r>
            <w:hyperlink r:id="rId845" w:history="1">
              <w:r>
                <w:rPr>
                  <w:rFonts w:ascii="arial" w:eastAsia="arial" w:hAnsi="arial" w:cs="arial"/>
                  <w:i/>
                  <w:color w:val="0077CC"/>
                  <w:sz w:val="20"/>
                  <w:u w:val="single"/>
                  <w:shd w:val="clear" w:color="auto" w:fill="FFFFFF"/>
                  <w:lang w:val="en-US" w:eastAsia="en-US" w:bidi="ar-SA"/>
                </w:rPr>
                <w:t>2012 ONCA 530</w:t>
              </w:r>
            </w:hyperlink>
            <w:r>
              <w:rPr>
                <w:rFonts w:ascii="arial" w:eastAsia="arial" w:hAnsi="arial" w:cs="arial"/>
                <w:color w:val="000000"/>
                <w:sz w:val="20"/>
                <w:lang w:val="en-US" w:eastAsia="en-US" w:bidi="ar-SA"/>
              </w:rPr>
              <w:t xml:space="preserve">. </w:t>
            </w:r>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Authorson v. Canada (Attorney General), </w:t>
            </w:r>
            <w:hyperlink r:id="rId846" w:history="1">
              <w:r>
                <w:rPr>
                  <w:rFonts w:ascii="arial" w:eastAsia="arial" w:hAnsi="arial" w:cs="arial"/>
                  <w:i/>
                  <w:color w:val="0077CC"/>
                  <w:sz w:val="20"/>
                  <w:u w:val="single"/>
                  <w:shd w:val="clear" w:color="auto" w:fill="FFFFFF"/>
                  <w:lang w:val="en-US" w:eastAsia="en-US" w:bidi="ar-SA"/>
                </w:rPr>
                <w:t>2003 SCC 39</w:t>
              </w:r>
            </w:hyperlink>
            <w:r>
              <w:rPr>
                <w:rFonts w:ascii="arial" w:eastAsia="arial" w:hAnsi="arial" w:cs="arial"/>
                <w:color w:val="000000"/>
                <w:sz w:val="20"/>
                <w:lang w:val="en-US" w:eastAsia="en-US" w:bidi="ar-SA"/>
              </w:rPr>
              <w:t xml:space="preserve">. </w:t>
            </w:r>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Babcock v. Canada (Attorney General), </w:t>
            </w:r>
            <w:hyperlink r:id="rId847" w:history="1">
              <w:r>
                <w:rPr>
                  <w:rFonts w:ascii="arial" w:eastAsia="arial" w:hAnsi="arial" w:cs="arial"/>
                  <w:i/>
                  <w:color w:val="0077CC"/>
                  <w:sz w:val="20"/>
                  <w:u w:val="single"/>
                  <w:shd w:val="clear" w:color="auto" w:fill="FFFFFF"/>
                  <w:lang w:val="en-US" w:eastAsia="en-US" w:bidi="ar-SA"/>
                </w:rPr>
                <w:t>2002 SCC 57</w:t>
              </w:r>
            </w:hyperlink>
            <w:r>
              <w:rPr>
                <w:rFonts w:ascii="arial" w:eastAsia="arial" w:hAnsi="arial" w:cs="arial"/>
                <w:color w:val="000000"/>
                <w:sz w:val="20"/>
                <w:lang w:val="en-US" w:eastAsia="en-US" w:bidi="ar-SA"/>
              </w:rPr>
              <w:t xml:space="preserve">. </w:t>
            </w:r>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British Columbia Teachers' Federation v. British Columbia, </w:t>
            </w:r>
            <w:hyperlink r:id="rId848" w:history="1">
              <w:r>
                <w:rPr>
                  <w:rFonts w:ascii="arial" w:eastAsia="arial" w:hAnsi="arial" w:cs="arial"/>
                  <w:i/>
                  <w:color w:val="0077CC"/>
                  <w:sz w:val="20"/>
                  <w:u w:val="single"/>
                  <w:shd w:val="clear" w:color="auto" w:fill="FFFFFF"/>
                  <w:lang w:val="en-US" w:eastAsia="en-US" w:bidi="ar-SA"/>
                </w:rPr>
                <w:t>2011 BCSC 469</w:t>
              </w:r>
            </w:hyperlink>
            <w:r>
              <w:rPr>
                <w:rFonts w:ascii="arial" w:eastAsia="arial" w:hAnsi="arial" w:cs="arial"/>
                <w:color w:val="000000"/>
                <w:sz w:val="20"/>
                <w:lang w:val="en-US" w:eastAsia="en-US" w:bidi="ar-SA"/>
              </w:rPr>
              <w:t xml:space="preserve">. </w:t>
            </w:r>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British Columbia Teachers' Federation v. British Columbia, </w:t>
            </w:r>
            <w:hyperlink r:id="rId849" w:history="1">
              <w:r>
                <w:rPr>
                  <w:rFonts w:ascii="arial" w:eastAsia="arial" w:hAnsi="arial" w:cs="arial"/>
                  <w:i/>
                  <w:color w:val="0077CC"/>
                  <w:sz w:val="20"/>
                  <w:u w:val="single"/>
                  <w:shd w:val="clear" w:color="auto" w:fill="FFFFFF"/>
                  <w:lang w:val="en-US" w:eastAsia="en-US" w:bidi="ar-SA"/>
                </w:rPr>
                <w:t>2011 BCSC 1372</w:t>
              </w:r>
            </w:hyperlink>
            <w:r>
              <w:rPr>
                <w:rFonts w:ascii="arial" w:eastAsia="arial" w:hAnsi="arial" w:cs="arial"/>
                <w:color w:val="000000"/>
                <w:sz w:val="20"/>
                <w:lang w:val="en-US" w:eastAsia="en-US" w:bidi="ar-SA"/>
              </w:rPr>
              <w:t xml:space="preserve">. </w:t>
            </w:r>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British Columbia Teachers' Federation v. British Columbia, </w:t>
            </w:r>
            <w:hyperlink r:id="rId850" w:history="1">
              <w:r>
                <w:rPr>
                  <w:rFonts w:ascii="arial" w:eastAsia="arial" w:hAnsi="arial" w:cs="arial"/>
                  <w:i/>
                  <w:color w:val="0077CC"/>
                  <w:sz w:val="20"/>
                  <w:u w:val="single"/>
                  <w:shd w:val="clear" w:color="auto" w:fill="FFFFFF"/>
                  <w:lang w:val="en-US" w:eastAsia="en-US" w:bidi="ar-SA"/>
                </w:rPr>
                <w:t>2012 BCSC 2090</w:t>
              </w:r>
            </w:hyperlink>
            <w:r>
              <w:rPr>
                <w:rFonts w:ascii="arial" w:eastAsia="arial" w:hAnsi="arial" w:cs="arial"/>
                <w:color w:val="000000"/>
                <w:sz w:val="20"/>
                <w:lang w:val="en-US" w:eastAsia="en-US" w:bidi="ar-SA"/>
              </w:rPr>
              <w:t xml:space="preserve">. </w:t>
            </w:r>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British Columbia Teachers' Federation v. British Columbia, </w:t>
            </w:r>
            <w:hyperlink r:id="rId851" w:history="1">
              <w:r>
                <w:rPr>
                  <w:rFonts w:ascii="arial" w:eastAsia="arial" w:hAnsi="arial" w:cs="arial"/>
                  <w:i/>
                  <w:color w:val="0077CC"/>
                  <w:sz w:val="20"/>
                  <w:u w:val="single"/>
                  <w:shd w:val="clear" w:color="auto" w:fill="FFFFFF"/>
                  <w:lang w:val="en-US" w:eastAsia="en-US" w:bidi="ar-SA"/>
                </w:rPr>
                <w:t>2013 BCSC 1216</w:t>
              </w:r>
            </w:hyperlink>
            <w:r>
              <w:rPr>
                <w:rFonts w:ascii="arial" w:eastAsia="arial" w:hAnsi="arial" w:cs="arial"/>
                <w:color w:val="000000"/>
                <w:sz w:val="20"/>
                <w:lang w:val="en-US" w:eastAsia="en-US" w:bidi="ar-SA"/>
              </w:rPr>
              <w:t xml:space="preserve">. </w:t>
            </w:r>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British Columbia Teachers' Federation v. British Columbia Public School Employers' Assn. (Class Size and Composition Grievance), </w:t>
            </w:r>
            <w:hyperlink r:id="rId852" w:history="1">
              <w:r>
                <w:rPr>
                  <w:rFonts w:ascii="arial" w:eastAsia="arial" w:hAnsi="arial" w:cs="arial"/>
                  <w:i/>
                  <w:color w:val="0077CC"/>
                  <w:sz w:val="20"/>
                  <w:u w:val="single"/>
                  <w:shd w:val="clear" w:color="auto" w:fill="FFFFFF"/>
                  <w:lang w:val="en-US" w:eastAsia="en-US" w:bidi="ar-SA"/>
                </w:rPr>
                <w:t>[2010] B.C.C.A.A.A. No. 1</w:t>
              </w:r>
            </w:hyperlink>
            <w:r>
              <w:rPr>
                <w:rFonts w:ascii="arial" w:eastAsia="arial" w:hAnsi="arial" w:cs="arial"/>
                <w:color w:val="000000"/>
                <w:sz w:val="20"/>
                <w:lang w:val="en-US" w:eastAsia="en-US" w:bidi="ar-SA"/>
              </w:rPr>
              <w:t xml:space="preserve">. </w:t>
            </w:r>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British Columbia Teachers' Federation v. British Columbia Public School Employers' Association, </w:t>
            </w:r>
            <w:hyperlink r:id="rId853" w:history="1">
              <w:r>
                <w:rPr>
                  <w:rFonts w:ascii="arial" w:eastAsia="arial" w:hAnsi="arial" w:cs="arial"/>
                  <w:i/>
                  <w:color w:val="0077CC"/>
                  <w:sz w:val="20"/>
                  <w:u w:val="single"/>
                  <w:shd w:val="clear" w:color="auto" w:fill="FFFFFF"/>
                  <w:lang w:val="en-US" w:eastAsia="en-US" w:bidi="ar-SA"/>
                </w:rPr>
                <w:t>2004 BCSC 86</w:t>
              </w:r>
            </w:hyperlink>
            <w:r>
              <w:rPr>
                <w:rFonts w:ascii="arial" w:eastAsia="arial" w:hAnsi="arial" w:cs="arial"/>
                <w:color w:val="000000"/>
                <w:sz w:val="20"/>
                <w:lang w:val="en-US" w:eastAsia="en-US" w:bidi="ar-SA"/>
              </w:rPr>
              <w:t xml:space="preserve">. </w:t>
            </w:r>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Canadian Broadcasting Corp. v. New Brunswick (Attorney General) (Re R. v. Carson), </w:t>
            </w:r>
            <w:hyperlink r:id="rId854" w:history="1">
              <w:r>
                <w:rPr>
                  <w:rFonts w:ascii="arial" w:eastAsia="arial" w:hAnsi="arial" w:cs="arial"/>
                  <w:i/>
                  <w:color w:val="0077CC"/>
                  <w:sz w:val="20"/>
                  <w:u w:val="single"/>
                  <w:shd w:val="clear" w:color="auto" w:fill="FFFFFF"/>
                  <w:lang w:val="en-US" w:eastAsia="en-US" w:bidi="ar-SA"/>
                </w:rPr>
                <w:t>[1996] 3 S.C.R. 480</w:t>
              </w:r>
            </w:hyperlink>
            <w:r>
              <w:rPr>
                <w:rFonts w:ascii="arial" w:eastAsia="arial" w:hAnsi="arial" w:cs="arial"/>
                <w:color w:val="000000"/>
                <w:sz w:val="20"/>
                <w:lang w:val="en-US" w:eastAsia="en-US" w:bidi="ar-SA"/>
              </w:rPr>
              <w:t xml:space="preserve">. </w:t>
            </w:r>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Canadian Union of Public Employees v. Nova Scotia (Labour Relations Board), </w:t>
            </w:r>
            <w:hyperlink r:id="rId855" w:history="1">
              <w:r>
                <w:rPr>
                  <w:rFonts w:ascii="arial" w:eastAsia="arial" w:hAnsi="arial" w:cs="arial"/>
                  <w:i/>
                  <w:color w:val="0077CC"/>
                  <w:sz w:val="20"/>
                  <w:u w:val="single"/>
                  <w:shd w:val="clear" w:color="auto" w:fill="FFFFFF"/>
                  <w:lang w:val="en-US" w:eastAsia="en-US" w:bidi="ar-SA"/>
                </w:rPr>
                <w:t>[1983] 2 S.C.R. 311</w:t>
              </w:r>
            </w:hyperlink>
            <w:r>
              <w:rPr>
                <w:rFonts w:ascii="arial" w:eastAsia="arial" w:hAnsi="arial" w:cs="arial"/>
                <w:color w:val="000000"/>
                <w:sz w:val="20"/>
                <w:lang w:val="en-US" w:eastAsia="en-US" w:bidi="ar-SA"/>
              </w:rPr>
              <w:t xml:space="preserve">. </w:t>
            </w:r>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Carey v. Ontario, </w:t>
            </w:r>
            <w:hyperlink r:id="rId856" w:history="1">
              <w:r>
                <w:rPr>
                  <w:rFonts w:ascii="arial" w:eastAsia="arial" w:hAnsi="arial" w:cs="arial"/>
                  <w:i/>
                  <w:color w:val="0077CC"/>
                  <w:sz w:val="20"/>
                  <w:u w:val="single"/>
                  <w:shd w:val="clear" w:color="auto" w:fill="FFFFFF"/>
                  <w:lang w:val="en-US" w:eastAsia="en-US" w:bidi="ar-SA"/>
                </w:rPr>
                <w:t>[1986] 2 S.C.R. 637</w:t>
              </w:r>
            </w:hyperlink>
            <w:r>
              <w:rPr>
                <w:rFonts w:ascii="arial" w:eastAsia="arial" w:hAnsi="arial" w:cs="arial"/>
                <w:color w:val="000000"/>
                <w:sz w:val="20"/>
                <w:lang w:val="en-US" w:eastAsia="en-US" w:bidi="ar-SA"/>
              </w:rPr>
              <w:t xml:space="preserve">. </w:t>
            </w:r>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Dagenais v. Canadian Broadcasting Corp., </w:t>
            </w:r>
            <w:hyperlink r:id="rId857" w:history="1">
              <w:r>
                <w:rPr>
                  <w:rFonts w:ascii="arial" w:eastAsia="arial" w:hAnsi="arial" w:cs="arial"/>
                  <w:i/>
                  <w:color w:val="0077CC"/>
                  <w:sz w:val="20"/>
                  <w:u w:val="single"/>
                  <w:shd w:val="clear" w:color="auto" w:fill="FFFFFF"/>
                  <w:lang w:val="en-US" w:eastAsia="en-US" w:bidi="ar-SA"/>
                </w:rPr>
                <w:t>[1994] 3 S.C.R. 835</w:t>
              </w:r>
            </w:hyperlink>
            <w:r>
              <w:rPr>
                <w:rFonts w:ascii="arial" w:eastAsia="arial" w:hAnsi="arial" w:cs="arial"/>
                <w:color w:val="000000"/>
                <w:sz w:val="20"/>
                <w:lang w:val="en-US" w:eastAsia="en-US" w:bidi="ar-SA"/>
              </w:rPr>
              <w:t xml:space="preserve">. </w:t>
            </w:r>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Dunmore v. Ontario (Attorney General), </w:t>
            </w:r>
            <w:hyperlink r:id="rId858" w:history="1">
              <w:r>
                <w:rPr>
                  <w:rFonts w:ascii="arial" w:eastAsia="arial" w:hAnsi="arial" w:cs="arial"/>
                  <w:i/>
                  <w:color w:val="0077CC"/>
                  <w:sz w:val="20"/>
                  <w:u w:val="single"/>
                  <w:shd w:val="clear" w:color="auto" w:fill="FFFFFF"/>
                  <w:lang w:val="en-US" w:eastAsia="en-US" w:bidi="ar-SA"/>
                </w:rPr>
                <w:t>2001 SCC 94</w:t>
              </w:r>
            </w:hyperlink>
            <w:r>
              <w:rPr>
                <w:rFonts w:ascii="arial" w:eastAsia="arial" w:hAnsi="arial" w:cs="arial"/>
                <w:color w:val="000000"/>
                <w:sz w:val="20"/>
                <w:lang w:val="en-US" w:eastAsia="en-US" w:bidi="ar-SA"/>
              </w:rPr>
              <w:t xml:space="preserve">. </w:t>
            </w:r>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Federal Government Dockyard Trades and Labour Council v. The Attorney General, </w:t>
            </w:r>
            <w:hyperlink r:id="rId859" w:history="1">
              <w:r>
                <w:rPr>
                  <w:rFonts w:ascii="arial" w:eastAsia="arial" w:hAnsi="arial" w:cs="arial"/>
                  <w:i/>
                  <w:color w:val="0077CC"/>
                  <w:sz w:val="20"/>
                  <w:u w:val="single"/>
                  <w:shd w:val="clear" w:color="auto" w:fill="FFFFFF"/>
                  <w:lang w:val="en-US" w:eastAsia="en-US" w:bidi="ar-SA"/>
                </w:rPr>
                <w:t>2011 BCSC 1210</w:t>
              </w:r>
            </w:hyperlink>
            <w:r>
              <w:rPr>
                <w:rFonts w:ascii="arial" w:eastAsia="arial" w:hAnsi="arial" w:cs="arial"/>
                <w:color w:val="000000"/>
                <w:sz w:val="20"/>
                <w:lang w:val="en-US" w:eastAsia="en-US" w:bidi="ar-SA"/>
              </w:rPr>
              <w:t xml:space="preserve">, aff'd </w:t>
            </w:r>
            <w:hyperlink r:id="rId860" w:history="1">
              <w:r>
                <w:rPr>
                  <w:rFonts w:ascii="arial" w:eastAsia="arial" w:hAnsi="arial" w:cs="arial"/>
                  <w:i/>
                  <w:color w:val="0077CC"/>
                  <w:sz w:val="20"/>
                  <w:u w:val="single"/>
                  <w:shd w:val="clear" w:color="auto" w:fill="FFFFFF"/>
                  <w:lang w:val="en-US" w:eastAsia="en-US" w:bidi="ar-SA"/>
                </w:rPr>
                <w:t>2013 BCCA 371</w:t>
              </w:r>
            </w:hyperlink>
            <w:r>
              <w:rPr>
                <w:rFonts w:ascii="arial" w:eastAsia="arial" w:hAnsi="arial" w:cs="arial"/>
                <w:color w:val="000000"/>
                <w:sz w:val="20"/>
                <w:lang w:val="en-US" w:eastAsia="en-US" w:bidi="ar-SA"/>
              </w:rPr>
              <w:t xml:space="preserve">. </w:t>
            </w:r>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Gardner v. Williams Lake (City), </w:t>
            </w:r>
            <w:hyperlink r:id="rId861" w:history="1">
              <w:r>
                <w:rPr>
                  <w:rFonts w:ascii="arial" w:eastAsia="arial" w:hAnsi="arial" w:cs="arial"/>
                  <w:i/>
                  <w:color w:val="0077CC"/>
                  <w:sz w:val="20"/>
                  <w:u w:val="single"/>
                  <w:shd w:val="clear" w:color="auto" w:fill="FFFFFF"/>
                  <w:lang w:val="en-US" w:eastAsia="en-US" w:bidi="ar-SA"/>
                </w:rPr>
                <w:t>2006 BCCA 307</w:t>
              </w:r>
            </w:hyperlink>
            <w:r>
              <w:rPr>
                <w:rFonts w:ascii="arial" w:eastAsia="arial" w:hAnsi="arial" w:cs="arial"/>
                <w:color w:val="000000"/>
                <w:sz w:val="20"/>
                <w:lang w:val="en-US" w:eastAsia="en-US" w:bidi="ar-SA"/>
              </w:rPr>
              <w:t xml:space="preserve">. </w:t>
            </w:r>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Halvorson v. British Columbia (Medical Services Commission), </w:t>
            </w:r>
            <w:hyperlink r:id="rId862" w:history="1">
              <w:r>
                <w:rPr>
                  <w:rFonts w:ascii="arial" w:eastAsia="arial" w:hAnsi="arial" w:cs="arial"/>
                  <w:i/>
                  <w:color w:val="0077CC"/>
                  <w:sz w:val="20"/>
                  <w:u w:val="single"/>
                  <w:shd w:val="clear" w:color="auto" w:fill="FFFFFF"/>
                  <w:lang w:val="en-US" w:eastAsia="en-US" w:bidi="ar-SA"/>
                </w:rPr>
                <w:t>2003 BCCA 264</w:t>
              </w:r>
            </w:hyperlink>
            <w:r>
              <w:rPr>
                <w:rFonts w:ascii="arial" w:eastAsia="arial" w:hAnsi="arial" w:cs="arial"/>
                <w:color w:val="000000"/>
                <w:sz w:val="20"/>
                <w:lang w:val="en-US" w:eastAsia="en-US" w:bidi="ar-SA"/>
              </w:rPr>
              <w:t xml:space="preserve">. </w:t>
            </w:r>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Health Services and Support-Facilities Subsector Bargaining Association v. British Columbia, </w:t>
            </w:r>
            <w:hyperlink r:id="rId863" w:history="1">
              <w:r>
                <w:rPr>
                  <w:rFonts w:ascii="arial" w:eastAsia="arial" w:hAnsi="arial" w:cs="arial"/>
                  <w:i/>
                  <w:color w:val="0077CC"/>
                  <w:sz w:val="20"/>
                  <w:u w:val="single"/>
                  <w:shd w:val="clear" w:color="auto" w:fill="FFFFFF"/>
                  <w:lang w:val="en-US" w:eastAsia="en-US" w:bidi="ar-SA"/>
                </w:rPr>
                <w:t>2002 BCSC 1509</w:t>
              </w:r>
            </w:hyperlink>
            <w:r>
              <w:rPr>
                <w:rFonts w:ascii="arial" w:eastAsia="arial" w:hAnsi="arial" w:cs="arial"/>
                <w:color w:val="000000"/>
                <w:sz w:val="20"/>
                <w:lang w:val="en-US" w:eastAsia="en-US" w:bidi="ar-SA"/>
              </w:rPr>
              <w:t xml:space="preserve">. </w:t>
            </w:r>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Health Services and Support - Facilities Subsector Bargaining Assn. v. British Columbia, </w:t>
            </w:r>
            <w:hyperlink r:id="rId864" w:history="1">
              <w:r>
                <w:rPr>
                  <w:rFonts w:ascii="arial" w:eastAsia="arial" w:hAnsi="arial" w:cs="arial"/>
                  <w:i/>
                  <w:color w:val="0077CC"/>
                  <w:sz w:val="20"/>
                  <w:u w:val="single"/>
                  <w:shd w:val="clear" w:color="auto" w:fill="FFFFFF"/>
                  <w:lang w:val="en-US" w:eastAsia="en-US" w:bidi="ar-SA"/>
                </w:rPr>
                <w:t>2007 SCC 27</w:t>
              </w:r>
            </w:hyperlink>
            <w:r>
              <w:rPr>
                <w:rFonts w:ascii="arial" w:eastAsia="arial" w:hAnsi="arial" w:cs="arial"/>
                <w:color w:val="000000"/>
                <w:sz w:val="20"/>
                <w:lang w:val="en-US" w:eastAsia="en-US" w:bidi="ar-SA"/>
              </w:rPr>
              <w:t xml:space="preserve">. </w:t>
            </w:r>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Louis v. British Columbia (Minister of Energy, Mines, and Petroleum Resources), </w:t>
            </w:r>
            <w:hyperlink r:id="rId865" w:history="1">
              <w:r>
                <w:rPr>
                  <w:rFonts w:ascii="arial" w:eastAsia="arial" w:hAnsi="arial" w:cs="arial"/>
                  <w:i/>
                  <w:color w:val="0077CC"/>
                  <w:sz w:val="20"/>
                  <w:u w:val="single"/>
                  <w:shd w:val="clear" w:color="auto" w:fill="FFFFFF"/>
                  <w:lang w:val="en-US" w:eastAsia="en-US" w:bidi="ar-SA"/>
                </w:rPr>
                <w:t>2013 BCCA 412</w:t>
              </w:r>
            </w:hyperlink>
            <w:r>
              <w:rPr>
                <w:rFonts w:ascii="arial" w:eastAsia="arial" w:hAnsi="arial" w:cs="arial"/>
                <w:color w:val="000000"/>
                <w:sz w:val="20"/>
                <w:lang w:val="en-US" w:eastAsia="en-US" w:bidi="ar-SA"/>
              </w:rPr>
              <w:t xml:space="preserve">. </w:t>
            </w:r>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Mackin v. New Brunswick (Minister of Finance); Rice v. New Brunswick, </w:t>
            </w:r>
            <w:hyperlink r:id="rId866" w:history="1">
              <w:r>
                <w:rPr>
                  <w:rFonts w:ascii="arial" w:eastAsia="arial" w:hAnsi="arial" w:cs="arial"/>
                  <w:i/>
                  <w:color w:val="0077CC"/>
                  <w:sz w:val="20"/>
                  <w:u w:val="single"/>
                  <w:shd w:val="clear" w:color="auto" w:fill="FFFFFF"/>
                  <w:lang w:val="en-US" w:eastAsia="en-US" w:bidi="ar-SA"/>
                </w:rPr>
                <w:t>2002 SCC 13</w:t>
              </w:r>
            </w:hyperlink>
            <w:r>
              <w:rPr>
                <w:rFonts w:ascii="arial" w:eastAsia="arial" w:hAnsi="arial" w:cs="arial"/>
                <w:color w:val="000000"/>
                <w:sz w:val="20"/>
                <w:lang w:val="en-US" w:eastAsia="en-US" w:bidi="ar-SA"/>
              </w:rPr>
              <w:t xml:space="preserve">. </w:t>
            </w:r>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Meredith v. Canada (Attorney General), </w:t>
            </w:r>
            <w:hyperlink r:id="rId867" w:history="1">
              <w:r>
                <w:rPr>
                  <w:rFonts w:ascii="arial" w:eastAsia="arial" w:hAnsi="arial" w:cs="arial"/>
                  <w:i/>
                  <w:color w:val="0077CC"/>
                  <w:sz w:val="20"/>
                  <w:u w:val="single"/>
                  <w:shd w:val="clear" w:color="auto" w:fill="FFFFFF"/>
                  <w:lang w:val="en-US" w:eastAsia="en-US" w:bidi="ar-SA"/>
                </w:rPr>
                <w:t>2013 FCA 112</w:t>
              </w:r>
            </w:hyperlink>
            <w:r>
              <w:rPr>
                <w:rFonts w:ascii="arial" w:eastAsia="arial" w:hAnsi="arial" w:cs="arial"/>
                <w:color w:val="000000"/>
                <w:sz w:val="20"/>
                <w:lang w:val="en-US" w:eastAsia="en-US" w:bidi="ar-SA"/>
              </w:rPr>
              <w:t xml:space="preserve">. </w:t>
            </w:r>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Mounted Police Association of Ontario v. Canada (Attorney General), </w:t>
            </w:r>
            <w:hyperlink r:id="rId868" w:history="1">
              <w:r>
                <w:rPr>
                  <w:rFonts w:ascii="arial" w:eastAsia="arial" w:hAnsi="arial" w:cs="arial"/>
                  <w:i/>
                  <w:color w:val="0077CC"/>
                  <w:sz w:val="20"/>
                  <w:u w:val="single"/>
                  <w:shd w:val="clear" w:color="auto" w:fill="FFFFFF"/>
                  <w:lang w:val="en-US" w:eastAsia="en-US" w:bidi="ar-SA"/>
                </w:rPr>
                <w:t>2012 ONCA 363</w:t>
              </w:r>
            </w:hyperlink>
            <w:r>
              <w:rPr>
                <w:rFonts w:ascii="arial" w:eastAsia="arial" w:hAnsi="arial" w:cs="arial"/>
                <w:color w:val="000000"/>
                <w:sz w:val="20"/>
                <w:lang w:val="en-US" w:eastAsia="en-US" w:bidi="ar-SA"/>
              </w:rPr>
              <w:t xml:space="preserve">. </w:t>
            </w:r>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Nova Scotia (Workers' Compensation Board) v. Martin; Nova Scotia (Workers' Compensation Board) v. Laseur, </w:t>
            </w:r>
            <w:hyperlink r:id="rId869" w:history="1">
              <w:r>
                <w:rPr>
                  <w:rFonts w:ascii="arial" w:eastAsia="arial" w:hAnsi="arial" w:cs="arial"/>
                  <w:i/>
                  <w:color w:val="0077CC"/>
                  <w:sz w:val="20"/>
                  <w:u w:val="single"/>
                  <w:shd w:val="clear" w:color="auto" w:fill="FFFFFF"/>
                  <w:lang w:val="en-US" w:eastAsia="en-US" w:bidi="ar-SA"/>
                </w:rPr>
                <w:t>2003 SCC 54</w:t>
              </w:r>
            </w:hyperlink>
            <w:r>
              <w:rPr>
                <w:rFonts w:ascii="arial" w:eastAsia="arial" w:hAnsi="arial" w:cs="arial"/>
                <w:color w:val="000000"/>
                <w:sz w:val="20"/>
                <w:lang w:val="en-US" w:eastAsia="en-US" w:bidi="ar-SA"/>
              </w:rPr>
              <w:t xml:space="preserve">. </w:t>
            </w:r>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Norton v. Shelby County (1896), 118 U.S. 425 at 442. </w:t>
            </w:r>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Ontario (Attorney General) v. Fraser, </w:t>
            </w:r>
            <w:hyperlink r:id="rId870" w:history="1">
              <w:r>
                <w:rPr>
                  <w:rFonts w:ascii="arial" w:eastAsia="arial" w:hAnsi="arial" w:cs="arial"/>
                  <w:i/>
                  <w:color w:val="0077CC"/>
                  <w:sz w:val="20"/>
                  <w:u w:val="single"/>
                  <w:shd w:val="clear" w:color="auto" w:fill="FFFFFF"/>
                  <w:lang w:val="en-US" w:eastAsia="en-US" w:bidi="ar-SA"/>
                </w:rPr>
                <w:t>2011 SCC 20</w:t>
              </w:r>
            </w:hyperlink>
            <w:r>
              <w:rPr>
                <w:rFonts w:ascii="arial" w:eastAsia="arial" w:hAnsi="arial" w:cs="arial"/>
                <w:color w:val="000000"/>
                <w:sz w:val="20"/>
                <w:lang w:val="en-US" w:eastAsia="en-US" w:bidi="ar-SA"/>
              </w:rPr>
              <w:t xml:space="preserve">. </w:t>
            </w:r>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R. v. Demers, </w:t>
            </w:r>
            <w:hyperlink r:id="rId871" w:history="1">
              <w:r>
                <w:rPr>
                  <w:rFonts w:ascii="arial" w:eastAsia="arial" w:hAnsi="arial" w:cs="arial"/>
                  <w:i/>
                  <w:color w:val="0077CC"/>
                  <w:sz w:val="20"/>
                  <w:u w:val="single"/>
                  <w:shd w:val="clear" w:color="auto" w:fill="FFFFFF"/>
                  <w:lang w:val="en-US" w:eastAsia="en-US" w:bidi="ar-SA"/>
                </w:rPr>
                <w:t>2004 SCC 46</w:t>
              </w:r>
            </w:hyperlink>
            <w:r>
              <w:rPr>
                <w:rFonts w:ascii="arial" w:eastAsia="arial" w:hAnsi="arial" w:cs="arial"/>
                <w:color w:val="000000"/>
                <w:sz w:val="20"/>
                <w:lang w:val="en-US" w:eastAsia="en-US" w:bidi="ar-SA"/>
              </w:rPr>
              <w:t xml:space="preserve">. </w:t>
            </w:r>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R. v. Ferguson, </w:t>
            </w:r>
            <w:hyperlink r:id="rId872" w:history="1">
              <w:r>
                <w:rPr>
                  <w:rFonts w:ascii="arial" w:eastAsia="arial" w:hAnsi="arial" w:cs="arial"/>
                  <w:i/>
                  <w:color w:val="0077CC"/>
                  <w:sz w:val="20"/>
                  <w:u w:val="single"/>
                  <w:shd w:val="clear" w:color="auto" w:fill="FFFFFF"/>
                  <w:lang w:val="en-US" w:eastAsia="en-US" w:bidi="ar-SA"/>
                </w:rPr>
                <w:t>2008 SCC 6</w:t>
              </w:r>
            </w:hyperlink>
            <w:r>
              <w:rPr>
                <w:rFonts w:ascii="arial" w:eastAsia="arial" w:hAnsi="arial" w:cs="arial"/>
                <w:color w:val="000000"/>
                <w:sz w:val="20"/>
                <w:lang w:val="en-US" w:eastAsia="en-US" w:bidi="ar-SA"/>
              </w:rPr>
              <w:t xml:space="preserve">. </w:t>
            </w:r>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R. v. Mentuck, </w:t>
            </w:r>
            <w:hyperlink r:id="rId873" w:history="1">
              <w:r>
                <w:rPr>
                  <w:rFonts w:ascii="arial" w:eastAsia="arial" w:hAnsi="arial" w:cs="arial"/>
                  <w:i/>
                  <w:color w:val="0077CC"/>
                  <w:sz w:val="20"/>
                  <w:u w:val="single"/>
                  <w:shd w:val="clear" w:color="auto" w:fill="FFFFFF"/>
                  <w:lang w:val="en-US" w:eastAsia="en-US" w:bidi="ar-SA"/>
                </w:rPr>
                <w:t>2001 SCC 76</w:t>
              </w:r>
            </w:hyperlink>
            <w:r>
              <w:rPr>
                <w:rFonts w:ascii="arial" w:eastAsia="arial" w:hAnsi="arial" w:cs="arial"/>
                <w:color w:val="000000"/>
                <w:sz w:val="20"/>
                <w:lang w:val="en-US" w:eastAsia="en-US" w:bidi="ar-SA"/>
              </w:rPr>
              <w:t xml:space="preserve">. </w:t>
            </w:r>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Royal Oak Mines Inc. v. Canada (Labour Relations Board), </w:t>
            </w:r>
            <w:hyperlink r:id="rId874" w:history="1">
              <w:r>
                <w:rPr>
                  <w:rFonts w:ascii="arial" w:eastAsia="arial" w:hAnsi="arial" w:cs="arial"/>
                  <w:i/>
                  <w:color w:val="0077CC"/>
                  <w:sz w:val="20"/>
                  <w:u w:val="single"/>
                  <w:shd w:val="clear" w:color="auto" w:fill="FFFFFF"/>
                  <w:lang w:val="en-US" w:eastAsia="en-US" w:bidi="ar-SA"/>
                </w:rPr>
                <w:t>[1996] 1 S.C.R. 369</w:t>
              </w:r>
            </w:hyperlink>
            <w:r>
              <w:rPr>
                <w:rFonts w:ascii="arial" w:eastAsia="arial" w:hAnsi="arial" w:cs="arial"/>
                <w:color w:val="000000"/>
                <w:sz w:val="20"/>
                <w:lang w:val="en-US" w:eastAsia="en-US" w:bidi="ar-SA"/>
              </w:rPr>
              <w:t xml:space="preserve">. </w:t>
            </w:r>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Schachter v. Canada, </w:t>
            </w:r>
            <w:r>
              <w:rPr>
                <w:rFonts w:ascii="arial" w:eastAsia="arial" w:hAnsi="arial" w:cs="arial"/>
                <w:i/>
                <w:color w:val="000000"/>
                <w:sz w:val="20"/>
                <w:lang w:val="en-US" w:eastAsia="en-US" w:bidi="ar-SA"/>
              </w:rPr>
              <w:t>[1992] 2 S.C.R. 679</w:t>
            </w:r>
            <w:r>
              <w:rPr>
                <w:rFonts w:ascii="arial" w:eastAsia="arial" w:hAnsi="arial" w:cs="arial"/>
                <w:color w:val="000000"/>
                <w:sz w:val="20"/>
                <w:lang w:val="en-US" w:eastAsia="en-US" w:bidi="ar-SA"/>
              </w:rPr>
              <w:t xml:space="preserve">. </w:t>
            </w:r>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Sierra Club of Canada v. Canada (Minister of Finance), </w:t>
            </w:r>
            <w:hyperlink r:id="rId875" w:history="1">
              <w:r>
                <w:rPr>
                  <w:rFonts w:ascii="arial" w:eastAsia="arial" w:hAnsi="arial" w:cs="arial"/>
                  <w:i/>
                  <w:color w:val="0077CC"/>
                  <w:sz w:val="20"/>
                  <w:u w:val="single"/>
                  <w:shd w:val="clear" w:color="auto" w:fill="FFFFFF"/>
                  <w:lang w:val="en-US" w:eastAsia="en-US" w:bidi="ar-SA"/>
                </w:rPr>
                <w:t>2002 SCC 41</w:t>
              </w:r>
            </w:hyperlink>
            <w:r>
              <w:rPr>
                <w:rFonts w:ascii="arial" w:eastAsia="arial" w:hAnsi="arial" w:cs="arial"/>
                <w:color w:val="000000"/>
                <w:sz w:val="20"/>
                <w:lang w:val="en-US" w:eastAsia="en-US" w:bidi="ar-SA"/>
              </w:rPr>
              <w:t xml:space="preserve">. </w:t>
            </w:r>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Vancouver (City) v. Ward, </w:t>
            </w:r>
            <w:hyperlink r:id="rId876" w:history="1">
              <w:r>
                <w:rPr>
                  <w:rFonts w:ascii="arial" w:eastAsia="arial" w:hAnsi="arial" w:cs="arial"/>
                  <w:i/>
                  <w:color w:val="0077CC"/>
                  <w:sz w:val="20"/>
                  <w:u w:val="single"/>
                  <w:shd w:val="clear" w:color="auto" w:fill="FFFFFF"/>
                  <w:lang w:val="en-US" w:eastAsia="en-US" w:bidi="ar-SA"/>
                </w:rPr>
                <w:t>2010 SCC 27</w:t>
              </w:r>
            </w:hyperlink>
            <w:r>
              <w:rPr>
                <w:rFonts w:ascii="arial" w:eastAsia="arial" w:hAnsi="arial" w:cs="arial"/>
                <w:color w:val="000000"/>
                <w:sz w:val="20"/>
                <w:lang w:val="en-US" w:eastAsia="en-US" w:bidi="ar-SA"/>
              </w:rPr>
              <w:t xml:space="preserve">. </w:t>
            </w:r>
          </w:p>
          <w:p>
            <w:pPr>
              <w:spacing w:before="120" w:line="260" w:lineRule="atLeast"/>
              <w:ind w:left="240"/>
              <w:jc w:val="both"/>
              <w:rPr>
                <w:rFonts w:ascii="arial" w:eastAsia="arial" w:hAnsi="arial" w:cs="arial"/>
                <w:sz w:val="20"/>
                <w:lang w:val="en-US" w:eastAsia="en-US" w:bidi="ar-SA"/>
              </w:rPr>
            </w:pPr>
            <w:r>
              <w:rPr>
                <w:rFonts w:ascii="arial" w:eastAsia="arial" w:hAnsi="arial" w:cs="arial"/>
                <w:b/>
                <w:color w:val="000000"/>
                <w:sz w:val="20"/>
                <w:u w:val="single"/>
                <w:lang w:val="en-US" w:eastAsia="en-US" w:bidi="ar-SA"/>
              </w:rPr>
              <w:t>Statutes and Regulations Cited:.</w:t>
            </w:r>
            <w:r>
              <w:rPr>
                <w:rFonts w:ascii="arial" w:eastAsia="arial" w:hAnsi="arial" w:cs="arial"/>
                <w:color w:val="000000"/>
                <w:sz w:val="20"/>
                <w:lang w:val="en-US" w:eastAsia="en-US" w:bidi="ar-SA"/>
              </w:rPr>
              <w:t xml:space="preserve"> </w:t>
            </w:r>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Canadian Charter of Rights and Freedoms, Part I of the Constitution Act, 1982, being Schedule B to the Canada Act 1982 (U.K.), 1982, c. 11. </w:t>
            </w:r>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Constitution Act, 1982, being Schedule B to the Canada Act 1982 (U.K.), 1982, c. 11. </w:t>
            </w:r>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Class Size and Compensation Regulation, </w:t>
            </w:r>
            <w:hyperlink r:id="rId841" w:history="1">
              <w:r>
                <w:rPr>
                  <w:rFonts w:ascii="arial" w:eastAsia="arial" w:hAnsi="arial" w:cs="arial"/>
                  <w:i/>
                  <w:color w:val="0077CC"/>
                  <w:sz w:val="20"/>
                  <w:u w:val="single"/>
                  <w:shd w:val="clear" w:color="auto" w:fill="FFFFFF"/>
                  <w:lang w:val="en-US" w:eastAsia="en-US" w:bidi="ar-SA"/>
                </w:rPr>
                <w:t>B.C. Reg 52/2012</w:t>
              </w:r>
            </w:hyperlink>
            <w:r>
              <w:rPr>
                <w:rFonts w:ascii="arial" w:eastAsia="arial" w:hAnsi="arial" w:cs="arial"/>
                <w:color w:val="000000"/>
                <w:sz w:val="20"/>
                <w:lang w:val="en-US" w:eastAsia="en-US" w:bidi="ar-SA"/>
              </w:rPr>
              <w:t xml:space="preserve">. </w:t>
            </w:r>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Education and Health Collective Bargaining Assistance Act, S.B.C. 1996, c. 1. </w:t>
            </w:r>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Education Improvement Act, </w:t>
            </w:r>
            <w:r>
              <w:rPr>
                <w:rFonts w:ascii="arial" w:eastAsia="arial" w:hAnsi="arial" w:cs="arial"/>
                <w:i/>
                <w:color w:val="000000"/>
                <w:sz w:val="20"/>
                <w:lang w:val="en-US" w:eastAsia="en-US" w:bidi="ar-SA"/>
              </w:rPr>
              <w:t>S.B.C. 2012, c. 3</w:t>
            </w:r>
            <w:r>
              <w:rPr>
                <w:rFonts w:ascii="arial" w:eastAsia="arial" w:hAnsi="arial" w:cs="arial"/>
                <w:color w:val="000000"/>
                <w:sz w:val="20"/>
                <w:lang w:val="en-US" w:eastAsia="en-US" w:bidi="ar-SA"/>
              </w:rPr>
              <w:t xml:space="preserve">. </w:t>
            </w:r>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Education (Leaning Enhancement) Statutes Amendment Act, 2006, S.B.C. 2006, c. 21. </w:t>
            </w:r>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Education Services Collective Agreement Amendment Act, 2004, S.B.C. 2004, c. 16. </w:t>
            </w:r>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Education Services Collective Agreement Act, </w:t>
            </w:r>
            <w:r>
              <w:rPr>
                <w:rFonts w:ascii="arial" w:eastAsia="arial" w:hAnsi="arial" w:cs="arial"/>
                <w:i/>
                <w:color w:val="000000"/>
                <w:sz w:val="20"/>
                <w:lang w:val="en-US" w:eastAsia="en-US" w:bidi="ar-SA"/>
              </w:rPr>
              <w:t>S.B.C. 2002, c. 1</w:t>
            </w:r>
            <w:r>
              <w:rPr>
                <w:rFonts w:ascii="arial" w:eastAsia="arial" w:hAnsi="arial" w:cs="arial"/>
                <w:color w:val="000000"/>
                <w:sz w:val="20"/>
                <w:lang w:val="en-US" w:eastAsia="en-US" w:bidi="ar-SA"/>
              </w:rPr>
              <w:t xml:space="preserve">. </w:t>
            </w:r>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Industrial Relations Act, R.S.B.C. 1979, c. 212. </w:t>
            </w:r>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Labour Relations Code, </w:t>
            </w:r>
            <w:r>
              <w:rPr>
                <w:rFonts w:ascii="arial" w:eastAsia="arial" w:hAnsi="arial" w:cs="arial"/>
                <w:i/>
                <w:color w:val="000000"/>
                <w:sz w:val="20"/>
                <w:lang w:val="en-US" w:eastAsia="en-US" w:bidi="ar-SA"/>
              </w:rPr>
              <w:t>R.S.B.C. 1996, c. 244</w:t>
            </w:r>
            <w:r>
              <w:rPr>
                <w:rFonts w:ascii="arial" w:eastAsia="arial" w:hAnsi="arial" w:cs="arial"/>
                <w:color w:val="000000"/>
                <w:sz w:val="20"/>
                <w:lang w:val="en-US" w:eastAsia="en-US" w:bidi="ar-SA"/>
              </w:rPr>
              <w:t xml:space="preserve">. </w:t>
            </w:r>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Learning Improvement Fund Regulation, B.C. Reg. 103/2012. </w:t>
            </w:r>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Public Education Collective Agreement Act, </w:t>
            </w:r>
            <w:r>
              <w:rPr>
                <w:rFonts w:ascii="arial" w:eastAsia="arial" w:hAnsi="arial" w:cs="arial"/>
                <w:i/>
                <w:color w:val="000000"/>
                <w:sz w:val="20"/>
                <w:lang w:val="en-US" w:eastAsia="en-US" w:bidi="ar-SA"/>
              </w:rPr>
              <w:t>S.B.C. 1998, c. 41</w:t>
            </w:r>
            <w:r>
              <w:rPr>
                <w:rFonts w:ascii="arial" w:eastAsia="arial" w:hAnsi="arial" w:cs="arial"/>
                <w:color w:val="000000"/>
                <w:sz w:val="20"/>
                <w:lang w:val="en-US" w:eastAsia="en-US" w:bidi="ar-SA"/>
              </w:rPr>
              <w:t xml:space="preserve">. </w:t>
            </w:r>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Public Education Flexibility and Choice Act, </w:t>
            </w:r>
            <w:hyperlink r:id="rId877" w:history="1">
              <w:r>
                <w:rPr>
                  <w:rFonts w:ascii="arial" w:eastAsia="arial" w:hAnsi="arial" w:cs="arial"/>
                  <w:i/>
                  <w:color w:val="0077CC"/>
                  <w:sz w:val="20"/>
                  <w:u w:val="single"/>
                  <w:shd w:val="clear" w:color="auto" w:fill="FFFFFF"/>
                  <w:lang w:val="en-US" w:eastAsia="en-US" w:bidi="ar-SA"/>
                </w:rPr>
                <w:t>S.B.C. 2002, c. 3</w:t>
              </w:r>
            </w:hyperlink>
            <w:r>
              <w:rPr>
                <w:rFonts w:ascii="arial" w:eastAsia="arial" w:hAnsi="arial" w:cs="arial"/>
                <w:color w:val="000000"/>
                <w:sz w:val="20"/>
                <w:lang w:val="en-US" w:eastAsia="en-US" w:bidi="ar-SA"/>
              </w:rPr>
              <w:t xml:space="preserve">. </w:t>
            </w:r>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Public Education Labour Relations Act, S.B.C. 1994, c. 21 (now </w:t>
            </w:r>
            <w:r>
              <w:rPr>
                <w:rFonts w:ascii="arial" w:eastAsia="arial" w:hAnsi="arial" w:cs="arial"/>
                <w:i/>
                <w:color w:val="000000"/>
                <w:sz w:val="20"/>
                <w:lang w:val="en-US" w:eastAsia="en-US" w:bidi="ar-SA"/>
              </w:rPr>
              <w:t>R.S.B.C. 1996, c. 382</w:t>
            </w:r>
            <w:r>
              <w:rPr>
                <w:rFonts w:ascii="arial" w:eastAsia="arial" w:hAnsi="arial" w:cs="arial"/>
                <w:color w:val="000000"/>
                <w:sz w:val="20"/>
                <w:lang w:val="en-US" w:eastAsia="en-US" w:bidi="ar-SA"/>
              </w:rPr>
              <w:t xml:space="preserve">). </w:t>
            </w:r>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Public Sector Employers Act, S.B.C. 1993, c. 65 (now </w:t>
            </w:r>
            <w:r>
              <w:rPr>
                <w:rFonts w:ascii="arial" w:eastAsia="arial" w:hAnsi="arial" w:cs="arial"/>
                <w:i/>
                <w:color w:val="000000"/>
                <w:sz w:val="20"/>
                <w:lang w:val="en-US" w:eastAsia="en-US" w:bidi="ar-SA"/>
              </w:rPr>
              <w:t>R.S.B.C. 1996, c. 384</w:t>
            </w:r>
            <w:r>
              <w:rPr>
                <w:rFonts w:ascii="arial" w:eastAsia="arial" w:hAnsi="arial" w:cs="arial"/>
                <w:color w:val="000000"/>
                <w:sz w:val="20"/>
                <w:lang w:val="en-US" w:eastAsia="en-US" w:bidi="ar-SA"/>
              </w:rPr>
              <w:t xml:space="preserve">). </w:t>
            </w:r>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School Act, R.S.B.C. 1996. c. 412. </w:t>
            </w:r>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Skills Development and Labour Statutes Amendment Act, 2001, S.B.C. 2001, c. 33. </w:t>
            </w:r>
            <w:r>
              <w:rPr>
                <w:rFonts w:ascii="arial" w:eastAsia="arial" w:hAnsi="arial" w:cs="arial"/>
                <w:sz w:val="20"/>
                <w:lang w:val="en-US" w:eastAsia="en-US" w:bidi="ar-SA"/>
              </w:rPr>
              <w:cr/>
            </w:r>
          </w:p>
          <w:p>
            <w:pPr>
              <w:rPr>
                <w:rFonts w:ascii="arial" w:eastAsia="arial" w:hAnsi="arial" w:cs="arial"/>
                <w:sz w:val="20"/>
                <w:lang w:val="en-US" w:eastAsia="en-US" w:bidi="ar-SA"/>
              </w:rPr>
            </w:pPr>
          </w:p>
        </w:tc>
      </w:tr>
    </w:tbl>
    <w:p>
      <w:pPr>
        <w:jc w:val="both"/>
        <w:rPr>
          <w:rFonts w:ascii="arial" w:eastAsia="arial" w:hAnsi="arial" w:cs="arial"/>
          <w:sz w:val="20"/>
          <w:lang w:val="en-US" w:eastAsia="en-US" w:bidi="ar-SA"/>
        </w:rPr>
      </w:pPr>
      <w:bookmarkStart w:id="276" w:name="Counsel_41"/>
      <w:bookmarkEnd w:id="276"/>
      <w:r>
        <w:rPr>
          <w:rFonts w:ascii="arial" w:eastAsia="arial" w:hAnsi="arial" w:cs="arial"/>
          <w:sz w:val="20"/>
          <w:lang w:val="en-US" w:eastAsia="en-US" w:bidi="ar-SA"/>
        </w:rPr>
        <w:br/>
      </w:r>
    </w:p>
    <w:p>
      <w:pPr>
        <w:keepNext/>
        <w:spacing w:before="24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Counsel</w:t>
      </w:r>
    </w:p>
    <w:p>
      <w:pPr>
        <w:spacing w:line="60" w:lineRule="exact"/>
        <w:rPr>
          <w:rFonts w:ascii="arial" w:eastAsia="arial" w:hAnsi="arial" w:cs="arial"/>
          <w:sz w:val="20"/>
          <w:lang w:val="en-US" w:eastAsia="en-US" w:bidi="ar-SA"/>
        </w:rPr>
      </w:pPr>
      <w:r>
        <w:pict>
          <v:line id="_x0000_s1231" style="position:absolute;z-index:251804672"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Counsel for the Plaintiffs: John D. Rogers, Q.C., Steven Rogers, Amanda D. Merritt, Diane MacDonald.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Counsel for the Defendant: Karen A. Horsman, Eva L. Ross, Keith D. Evans.</w:t>
      </w:r>
      <w:r>
        <w:rPr>
          <w:rFonts w:ascii="arial" w:eastAsia="arial" w:hAnsi="arial" w:cs="arial"/>
          <w:sz w:val="20"/>
          <w:lang w:val="en-US" w:eastAsia="en-US" w:bidi="ar-SA"/>
        </w:rPr>
        <w:cr/>
      </w:r>
    </w:p>
    <w:p>
      <w:pPr>
        <w:spacing w:after="240"/>
        <w:rPr>
          <w:rFonts w:ascii="arial" w:eastAsia="arial" w:hAnsi="arial" w:cs="arial"/>
          <w:sz w:val="20"/>
          <w:lang w:val="en-US" w:eastAsia="en-US" w:bidi="ar-SA"/>
        </w:rPr>
      </w:pPr>
      <w:bookmarkStart w:id="277" w:name="Judgment_42"/>
      <w:bookmarkEnd w:id="277"/>
      <w:r>
        <w:pict>
          <v:line id="_x0000_s1232" style="position:absolute;z-index:251853824" from="0,12pt" to="512pt,12pt" strokecolor="#009ddb" strokeweight="1.5pt">
            <v:stroke linestyle="single"/>
          </v:line>
        </w:pict>
      </w:r>
    </w:p>
    <w:p>
      <w:pPr>
        <w:spacing w:before="120" w:line="260" w:lineRule="atLeast"/>
        <w:jc w:val="center"/>
        <w:rPr>
          <w:rFonts w:ascii="arial" w:eastAsia="arial" w:hAnsi="arial" w:cs="arial"/>
          <w:sz w:val="20"/>
          <w:lang w:val="en-US" w:eastAsia="en-US" w:bidi="ar-SA"/>
        </w:rPr>
      </w:pPr>
      <w:r>
        <w:rPr>
          <w:rFonts w:ascii="arial" w:eastAsia="arial" w:hAnsi="arial" w:cs="arial"/>
          <w:b/>
          <w:color w:val="000000"/>
          <w:sz w:val="20"/>
          <w:u w:val="single"/>
          <w:lang w:val="en-US" w:eastAsia="en-US" w:bidi="ar-SA"/>
        </w:rPr>
        <w:t>TABLE OF CONTENTS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SUMMARY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BACKGROUND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ISSUES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GLOSSARY AND CHRONOLOGY AND CAST OF CHARACTERS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ISSUE 1: WHAT IS THE LEGAL RELEVANCE OF GOVERNMENT CONSULTATION IN THE ANALYSIS OF S. 2(D) </w:t>
      </w:r>
      <w:r>
        <w:rPr>
          <w:rFonts w:ascii="arial" w:eastAsia="arial" w:hAnsi="arial" w:cs="arial"/>
          <w:i/>
          <w:color w:val="000000"/>
          <w:sz w:val="20"/>
          <w:lang w:val="en-US" w:eastAsia="en-US" w:bidi="ar-SA"/>
        </w:rPr>
        <w:t>CHARTER</w:t>
      </w:r>
      <w:r>
        <w:rPr>
          <w:rFonts w:ascii="arial" w:eastAsia="arial" w:hAnsi="arial" w:cs="arial"/>
          <w:color w:val="000000"/>
          <w:sz w:val="20"/>
          <w:lang w:val="en-US" w:eastAsia="en-US" w:bidi="ar-SA"/>
        </w:rPr>
        <w:t xml:space="preserve"> PROTECTION OF FREEDOM OF ASSOCIATION?</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w:t>
      </w:r>
      <w:r>
        <w:rPr>
          <w:rFonts w:ascii="arial" w:eastAsia="arial" w:hAnsi="arial" w:cs="arial"/>
          <w:i/>
          <w:color w:val="000000"/>
          <w:sz w:val="20"/>
          <w:lang w:val="en-US" w:eastAsia="en-US" w:bidi="ar-SA"/>
        </w:rPr>
        <w:t>Health Services</w:t>
      </w:r>
      <w:r>
        <w:rPr>
          <w:rFonts w:ascii="arial" w:eastAsia="arial" w:hAnsi="arial" w:cs="arial"/>
          <w:color w:val="000000"/>
          <w:sz w:val="20"/>
          <w:lang w:val="en-US" w:eastAsia="en-US" w:bidi="ar-SA"/>
        </w:rPr>
        <w:t xml:space="preserve"> Decision</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 The </w:t>
      </w:r>
      <w:r>
        <w:rPr>
          <w:rFonts w:ascii="arial" w:eastAsia="arial" w:hAnsi="arial" w:cs="arial"/>
          <w:i/>
          <w:color w:val="000000"/>
          <w:sz w:val="20"/>
          <w:lang w:val="en-US" w:eastAsia="en-US" w:bidi="ar-SA"/>
        </w:rPr>
        <w:t>Fraser</w:t>
      </w:r>
      <w:r>
        <w:rPr>
          <w:rFonts w:ascii="arial" w:eastAsia="arial" w:hAnsi="arial" w:cs="arial"/>
          <w:color w:val="000000"/>
          <w:sz w:val="20"/>
          <w:lang w:val="en-US" w:eastAsia="en-US" w:bidi="ar-SA"/>
        </w:rPr>
        <w:t xml:space="preserve"> Decision</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 The Bill 28 Decision and Consultation</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 Analysis of Relevance of Pre-Legislative Consultation</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 Content of Consultation Relevant to the s. 2(d) Inquiry</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 36.</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ISSUE 2: WHAT ARE THE FACTS REGARDING THE NATURE OF THE PARTIES' DISCUSSIONS POST-THE BILL 28 DECISION AND PRIOR TO THE ENACTMENT OF BILL 22?</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Context of Bill 28 Decision</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 Remedy in Bill 28 Decision</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 Collective Agreement Carry-Forward Clause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 Government Acting </w:t>
      </w:r>
      <w:r>
        <w:rPr>
          <w:rFonts w:ascii="arial" w:eastAsia="arial" w:hAnsi="arial" w:cs="arial"/>
          <w:i/>
          <w:color w:val="000000"/>
          <w:sz w:val="20"/>
          <w:lang w:val="en-US" w:eastAsia="en-US" w:bidi="ar-SA"/>
        </w:rPr>
        <w:t>Qua</w:t>
      </w:r>
      <w:r>
        <w:rPr>
          <w:rFonts w:ascii="arial" w:eastAsia="arial" w:hAnsi="arial" w:cs="arial"/>
          <w:color w:val="000000"/>
          <w:sz w:val="20"/>
          <w:lang w:val="en-US" w:eastAsia="en-US" w:bidi="ar-SA"/>
        </w:rPr>
        <w:t xml:space="preserve"> Employer or Not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 Content of Negotiations Post-Bill 28 Decision</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 Government Position Post-Bill 28 Decision</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 BCTF Position Post-Bill 28 Decision</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 Course of Negotiations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 Summary of Negotiations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 Health Sector Unions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ISSUE 3: DID THE PARTIES' DISCUSSIONS POST-THE BILL DECISION, AND PRIOR TO THE ENACTMENT OF BILL 22, SAVE THE BILL 22 DUPLICATE PROVISIONS?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Reasonableness of Asserted Positions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 Opportunity to Influence Employer</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 Commitment of Time and Preparation</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 A Willingness to Exchange and Explain Positions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 Avoidance of Unjustified Delays in Negotiations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 Endeavouring to Reach an Agreement and to Strive to Find</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 a Middle Ground</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 Source of Funding the Proposed COF</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 Conclusion Issue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ISSUE 4: DOES THE TIME LIMIT ON THE COLLECTIVE BARGAINING PROHIBITION IN BILL 22 CHANGE THE ANALYSIS OF THE CONSTITUTIONALITY OF EITHER OF THE BILL 22 DUPLICATIVE PROVISIONS?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Continued Prohibition on Bargaining Repeated Deletion of Working Conditions Terms Conclusion Issue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ISSUE 5: DOES S. 1 OF THE </w:t>
      </w:r>
      <w:r>
        <w:rPr>
          <w:rFonts w:ascii="arial" w:eastAsia="arial" w:hAnsi="arial" w:cs="arial"/>
          <w:i/>
          <w:color w:val="000000"/>
          <w:sz w:val="20"/>
          <w:lang w:val="en-US" w:eastAsia="en-US" w:bidi="ar-SA"/>
        </w:rPr>
        <w:t>CHARTER</w:t>
      </w:r>
      <w:r>
        <w:rPr>
          <w:rFonts w:ascii="arial" w:eastAsia="arial" w:hAnsi="arial" w:cs="arial"/>
          <w:color w:val="000000"/>
          <w:sz w:val="20"/>
          <w:lang w:val="en-US" w:eastAsia="en-US" w:bidi="ar-SA"/>
        </w:rPr>
        <w:t xml:space="preserve"> APPLY TO SAVE THE BILL 22 DUPLICATE PROVISIONS FROM A FINDING OF UNCONSTITUTIONALITY?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ISSUE 6: ARE EITHER OR BOTH OF THE TWO REGULATIONS UNCONSTITUTIONAL?</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Learning Improvement Fund Regulation Class Size Compensation Regulation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ISSUE 7: IS THE GOVERNMENT'S DIRECTIVE TO PUBLIC SECTOR EMPLOYERS CONTAINED IN MANDATE 2010 UNCONSTITUTIONAL?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ISSUE 8: IS S. 6 OF THE </w:t>
      </w:r>
      <w:r>
        <w:rPr>
          <w:rFonts w:ascii="arial" w:eastAsia="arial" w:hAnsi="arial" w:cs="arial"/>
          <w:i/>
          <w:color w:val="000000"/>
          <w:sz w:val="20"/>
          <w:lang w:val="en-US" w:eastAsia="en-US" w:bidi="ar-SA"/>
        </w:rPr>
        <w:t>EIA</w:t>
      </w:r>
      <w:r>
        <w:rPr>
          <w:rFonts w:ascii="arial" w:eastAsia="arial" w:hAnsi="arial" w:cs="arial"/>
          <w:color w:val="000000"/>
          <w:sz w:val="20"/>
          <w:lang w:val="en-US" w:eastAsia="en-US" w:bidi="ar-SA"/>
        </w:rPr>
        <w:t>, WHICH PROVIDED FOR THE APPOINTMENT OF A MEDIATOR TO SETTLE THE TERMS OF A COLLECTIVE AGREEMENT WITHIN LEGISLATED TERMS OF REFERENCE, UNCONSTITUTIONAL?</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Ongoing Relationship</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ISSUE 9: WHAT REMEDIES ARE THE PLAINTIFFS ENTITLED TO, IF AT ALL, IN THE TWO ACTIONS?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Bill 28 Decision Declaration of Invalidity</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 Bill 22 Unconstitutionality</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 Additional Remedies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 Bill 28 Action Additional Remedies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 Bill 22 Action Additional Remedies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 Costs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ISSUE 10: MISCELLANEOUS ISSUES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Cabinet Documents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CONCLUSION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APPENDIX A</w:t>
      </w:r>
    </w:p>
    <w:p>
      <w:pPr>
        <w:spacing w:line="260" w:lineRule="atLeast"/>
        <w:jc w:val="center"/>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Reasons for Judgment</w:t>
      </w:r>
      <w:r>
        <w:rPr>
          <w:rFonts w:ascii="arial" w:eastAsia="arial" w:hAnsi="arial" w:cs="arial"/>
          <w:sz w:val="20"/>
          <w:lang w:val="en-US" w:eastAsia="en-US" w:bidi="ar-SA"/>
        </w:rPr>
        <w:cr/>
      </w:r>
    </w:p>
    <w:p>
      <w:pPr>
        <w:rPr>
          <w:rFonts w:ascii="arial" w:eastAsia="arial" w:hAnsi="arial" w:cs="arial"/>
          <w:sz w:val="20"/>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2470"/>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rFonts w:ascii="arial" w:eastAsia="arial" w:hAnsi="arial" w:cs="arial"/>
                <w:sz w:val="20"/>
                <w:lang w:val="en-US" w:eastAsia="en-US" w:bidi="ar-SA"/>
              </w:rPr>
            </w:pPr>
            <w:bookmarkStart w:id="278" w:name="S.A. GRIFFIN J."/>
            <w:bookmarkEnd w:id="278"/>
            <w:r>
              <w:rPr>
                <w:rFonts w:ascii="arial" w:eastAsia="arial" w:hAnsi="arial" w:cs="arial"/>
                <w:b/>
                <w:color w:val="000000"/>
                <w:sz w:val="30"/>
                <w:lang w:val="en-US" w:eastAsia="en-US" w:bidi="ar-SA"/>
              </w:rPr>
              <w:t>S.A. GRIFFIN J.</w:t>
            </w:r>
          </w:p>
        </w:tc>
      </w:tr>
    </w:tbl>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Background.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xml:space="preserve">  On April 13, 2011, this Court concluded that the defendant Province of British Columbia (the "government") had infringed teachers' freedom of association guaranteed by s. 2(d) of the </w:t>
      </w:r>
      <w:r>
        <w:rPr>
          <w:rFonts w:ascii="arial" w:eastAsia="arial" w:hAnsi="arial" w:cs="arial"/>
          <w:i/>
          <w:color w:val="000000"/>
          <w:sz w:val="20"/>
          <w:lang w:val="en-US" w:eastAsia="en-US" w:bidi="ar-SA"/>
        </w:rPr>
        <w:t>Canadian Charter of Rights and Freedoms</w:t>
      </w:r>
      <w:r>
        <w:rPr>
          <w:rFonts w:ascii="arial" w:eastAsia="arial" w:hAnsi="arial" w:cs="arial"/>
          <w:color w:val="000000"/>
          <w:sz w:val="20"/>
          <w:lang w:val="en-US" w:eastAsia="en-US" w:bidi="ar-SA"/>
        </w:rPr>
        <w:t xml:space="preserve">, Part I of the </w:t>
      </w:r>
      <w:r>
        <w:rPr>
          <w:rFonts w:ascii="arial" w:eastAsia="arial" w:hAnsi="arial" w:cs="arial"/>
          <w:i/>
          <w:color w:val="000000"/>
          <w:sz w:val="20"/>
          <w:lang w:val="en-US" w:eastAsia="en-US" w:bidi="ar-SA"/>
        </w:rPr>
        <w:t>Constitution Act, 1982</w:t>
      </w:r>
      <w:r>
        <w:rPr>
          <w:rFonts w:ascii="arial" w:eastAsia="arial" w:hAnsi="arial" w:cs="arial"/>
          <w:color w:val="000000"/>
          <w:sz w:val="20"/>
          <w:lang w:val="en-US" w:eastAsia="en-US" w:bidi="ar-SA"/>
        </w:rPr>
        <w:t xml:space="preserve">, being Schedule B to the </w:t>
      </w:r>
      <w:r>
        <w:rPr>
          <w:rFonts w:ascii="arial" w:eastAsia="arial" w:hAnsi="arial" w:cs="arial"/>
          <w:i/>
          <w:color w:val="000000"/>
          <w:sz w:val="20"/>
          <w:lang w:val="en-US" w:eastAsia="en-US" w:bidi="ar-SA"/>
        </w:rPr>
        <w:t>Canada Act 1982</w:t>
      </w:r>
      <w:r>
        <w:rPr>
          <w:rFonts w:ascii="arial" w:eastAsia="arial" w:hAnsi="arial" w:cs="arial"/>
          <w:color w:val="000000"/>
          <w:sz w:val="20"/>
          <w:lang w:val="en-US" w:eastAsia="en-US" w:bidi="ar-SA"/>
        </w:rPr>
        <w:t xml:space="preserve"> (U.K.), 1982, c. 11 [</w:t>
      </w:r>
      <w:r>
        <w:rPr>
          <w:rFonts w:ascii="arial" w:eastAsia="arial" w:hAnsi="arial" w:cs="arial"/>
          <w:i/>
          <w:color w:val="000000"/>
          <w:sz w:val="20"/>
          <w:lang w:val="en-US" w:eastAsia="en-US" w:bidi="ar-SA"/>
        </w:rPr>
        <w:t>Charter</w:t>
      </w:r>
      <w:r>
        <w:rPr>
          <w:rFonts w:ascii="arial" w:eastAsia="arial" w:hAnsi="arial" w:cs="arial"/>
          <w:color w:val="000000"/>
          <w:sz w:val="20"/>
          <w:lang w:val="en-US" w:eastAsia="en-US" w:bidi="ar-SA"/>
        </w:rPr>
        <w:t xml:space="preserve">]. The decision is indexed at </w:t>
      </w:r>
      <w:hyperlink r:id="rId848" w:history="1">
        <w:r>
          <w:rPr>
            <w:rFonts w:ascii="arial" w:eastAsia="arial" w:hAnsi="arial" w:cs="arial"/>
            <w:i/>
            <w:color w:val="0077CC"/>
            <w:sz w:val="20"/>
            <w:u w:val="single"/>
            <w:shd w:val="clear" w:color="auto" w:fill="FFFFFF"/>
            <w:lang w:val="en-US" w:eastAsia="en-US" w:bidi="ar-SA"/>
          </w:rPr>
          <w:t>2011 BCSC 469</w:t>
        </w:r>
      </w:hyperlink>
      <w:r>
        <w:rPr>
          <w:rFonts w:ascii="arial" w:eastAsia="arial" w:hAnsi="arial" w:cs="arial"/>
          <w:color w:val="000000"/>
          <w:sz w:val="20"/>
          <w:lang w:val="en-US" w:eastAsia="en-US" w:bidi="ar-SA"/>
        </w:rPr>
        <w:t xml:space="preserve"> (the "Bill 28 Decision"). This is a companion judgment and the two must be read together.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xml:space="preserve">  The Bill 28 Decision concluded at paras. 306-308 that the government had infringed teachers' s. 2(d) </w:t>
      </w:r>
      <w:r>
        <w:rPr>
          <w:rFonts w:ascii="arial" w:eastAsia="arial" w:hAnsi="arial" w:cs="arial"/>
          <w:i/>
          <w:color w:val="000000"/>
          <w:sz w:val="20"/>
          <w:lang w:val="en-US" w:eastAsia="en-US" w:bidi="ar-SA"/>
        </w:rPr>
        <w:t>Charter</w:t>
      </w:r>
      <w:r>
        <w:rPr>
          <w:rFonts w:ascii="arial" w:eastAsia="arial" w:hAnsi="arial" w:cs="arial"/>
          <w:color w:val="000000"/>
          <w:sz w:val="20"/>
          <w:lang w:val="en-US" w:eastAsia="en-US" w:bidi="ar-SA"/>
        </w:rPr>
        <w:t xml:space="preserve"> rights by enacting legislation in 2002 which substantially interfered with teachers' collective bargaining in two ways:</w:t>
      </w:r>
      <w:r>
        <w:rPr>
          <w:rFonts w:ascii="arial" w:eastAsia="arial" w:hAnsi="arial" w:cs="arial"/>
          <w:sz w:val="20"/>
          <w:lang w:val="en-US" w:eastAsia="en-US" w:bidi="ar-SA"/>
        </w:rPr>
        <w:cr/>
      </w:r>
    </w:p>
    <w:p>
      <w:pPr>
        <w:numPr>
          <w:numId w:val="11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firstly, it voided hundreds of terms of a collective agreement which had previously been negotiated dealing with various Working Conditions, which in short-hand can be understood as class size and class composition conditions</w:t>
      </w:r>
      <w:bookmarkStart w:id="279" w:name="Backward_fnref_fnr-1"/>
      <w:hyperlink w:anchor="Forward_fnref_fnr-1" w:history="1">
        <w:r>
          <w:rPr>
            <w:rFonts w:ascii="arial" w:eastAsia="arial" w:hAnsi="arial" w:cs="arial"/>
            <w:b/>
            <w:color w:val="BE161D"/>
            <w:sz w:val="20"/>
            <w:shd w:val="clear" w:color="auto" w:fill="FFFFFF"/>
            <w:vertAlign w:val="superscript"/>
            <w:lang w:val="en-US" w:eastAsia="en-US" w:bidi="ar-SA"/>
          </w:rPr>
          <w:t>1</w:t>
        </w:r>
      </w:hyperlink>
      <w:bookmarkEnd w:id="279"/>
      <w:r>
        <w:rPr>
          <w:rFonts w:ascii="arial" w:eastAsia="arial" w:hAnsi="arial" w:cs="arial"/>
          <w:color w:val="000000"/>
          <w:sz w:val="20"/>
          <w:lang w:val="en-US" w:eastAsia="en-US" w:bidi="ar-SA"/>
        </w:rPr>
        <w:t>, and,</w:t>
      </w:r>
    </w:p>
    <w:p>
      <w:pPr>
        <w:numPr>
          <w:numId w:val="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secondly, it prohibited collective bargaining over the same subject matters in the future.</w:t>
      </w:r>
      <w:bookmarkStart w:id="280" w:name="Backward_fnref_fnr-2"/>
      <w:hyperlink w:anchor="Forward_fnref_fnr-2" w:history="1">
        <w:r>
          <w:rPr>
            <w:rFonts w:ascii="arial" w:eastAsia="arial" w:hAnsi="arial" w:cs="arial"/>
            <w:b/>
            <w:color w:val="BE161D"/>
            <w:sz w:val="20"/>
            <w:shd w:val="clear" w:color="auto" w:fill="FFFFFF"/>
            <w:vertAlign w:val="superscript"/>
            <w:lang w:val="en-US" w:eastAsia="en-US" w:bidi="ar-SA"/>
          </w:rPr>
          <w:t>2</w:t>
        </w:r>
      </w:hyperlink>
      <w:bookmarkEnd w:id="280"/>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The legislation at issue was similar in effect to legislation that had been introduced at the same time affecting unions in the health sector.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xml:space="preserve">  In 2007, the Supreme Court of Canada's judgment in </w:t>
      </w:r>
      <w:r>
        <w:rPr>
          <w:rFonts w:ascii="arial" w:eastAsia="arial" w:hAnsi="arial" w:cs="arial"/>
          <w:i/>
          <w:color w:val="000000"/>
          <w:sz w:val="20"/>
          <w:lang w:val="en-US" w:eastAsia="en-US" w:bidi="ar-SA"/>
        </w:rPr>
        <w:t>Health Services and Support - Facilities Subsector Bargaining Assn. v. British Columbia</w:t>
      </w:r>
      <w:r>
        <w:rPr>
          <w:rFonts w:ascii="arial" w:eastAsia="arial" w:hAnsi="arial" w:cs="arial"/>
          <w:color w:val="000000"/>
          <w:sz w:val="20"/>
          <w:lang w:val="en-US" w:eastAsia="en-US" w:bidi="ar-SA"/>
        </w:rPr>
        <w:t xml:space="preserve">, </w:t>
      </w:r>
      <w:hyperlink r:id="rId864" w:history="1">
        <w:r>
          <w:rPr>
            <w:rFonts w:ascii="arial" w:eastAsia="arial" w:hAnsi="arial" w:cs="arial"/>
            <w:i/>
            <w:color w:val="0077CC"/>
            <w:sz w:val="20"/>
            <w:u w:val="single"/>
            <w:shd w:val="clear" w:color="auto" w:fill="FFFFFF"/>
            <w:lang w:val="en-US" w:eastAsia="en-US" w:bidi="ar-SA"/>
          </w:rPr>
          <w:t>2007 SCC 27</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Health Services</w:t>
      </w:r>
      <w:r>
        <w:rPr>
          <w:rFonts w:ascii="arial" w:eastAsia="arial" w:hAnsi="arial" w:cs="arial"/>
          <w:color w:val="000000"/>
          <w:sz w:val="20"/>
          <w:lang w:val="en-US" w:eastAsia="en-US" w:bidi="ar-SA"/>
        </w:rPr>
        <w:t xml:space="preserve">], found the similar legislation in the health sector to be unconstitutional as it violated the s. 2(d) </w:t>
      </w:r>
      <w:r>
        <w:rPr>
          <w:rFonts w:ascii="arial" w:eastAsia="arial" w:hAnsi="arial" w:cs="arial"/>
          <w:i/>
          <w:color w:val="000000"/>
          <w:sz w:val="20"/>
          <w:lang w:val="en-US" w:eastAsia="en-US" w:bidi="ar-SA"/>
        </w:rPr>
        <w:t>Charter</w:t>
      </w:r>
      <w:r>
        <w:rPr>
          <w:rFonts w:ascii="arial" w:eastAsia="arial" w:hAnsi="arial" w:cs="arial"/>
          <w:color w:val="000000"/>
          <w:sz w:val="20"/>
          <w:lang w:val="en-US" w:eastAsia="en-US" w:bidi="ar-SA"/>
        </w:rPr>
        <w:t xml:space="preserve"> guarantee of freedom of association and was not justified under s. 1 of the </w:t>
      </w:r>
      <w:r>
        <w:rPr>
          <w:rFonts w:ascii="arial" w:eastAsia="arial" w:hAnsi="arial" w:cs="arial"/>
          <w:i/>
          <w:color w:val="000000"/>
          <w:sz w:val="20"/>
          <w:lang w:val="en-US" w:eastAsia="en-US" w:bidi="ar-SA"/>
        </w:rPr>
        <w:t>Charter</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xml:space="preserve">  The legislation in </w:t>
      </w:r>
      <w:r>
        <w:rPr>
          <w:rFonts w:ascii="arial" w:eastAsia="arial" w:hAnsi="arial" w:cs="arial"/>
          <w:i/>
          <w:color w:val="000000"/>
          <w:sz w:val="20"/>
          <w:lang w:val="en-US" w:eastAsia="en-US" w:bidi="ar-SA"/>
        </w:rPr>
        <w:t>Health Services</w:t>
      </w:r>
      <w:r>
        <w:rPr>
          <w:rFonts w:ascii="arial" w:eastAsia="arial" w:hAnsi="arial" w:cs="arial"/>
          <w:color w:val="000000"/>
          <w:sz w:val="20"/>
          <w:lang w:val="en-US" w:eastAsia="en-US" w:bidi="ar-SA"/>
        </w:rPr>
        <w:t>, like the Bill 28 legislation, voided numerous terms of collective agreements that had been negotiated in the past and it prohibited collective bargaining on the same subject matters in the future. Also, the legislation had been enacted without consultation with the affected unions.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xml:space="preserve">  The Bill 28 Decision further held that the infringement on the teachers' freedom of association was not a reasonable limit demonstrably justified in a free and democratic society under s. 1 of the </w:t>
      </w:r>
      <w:r>
        <w:rPr>
          <w:rFonts w:ascii="arial" w:eastAsia="arial" w:hAnsi="arial" w:cs="arial"/>
          <w:i/>
          <w:color w:val="000000"/>
          <w:sz w:val="20"/>
          <w:lang w:val="en-US" w:eastAsia="en-US" w:bidi="ar-SA"/>
        </w:rPr>
        <w:t>Charter</w:t>
      </w:r>
      <w:r>
        <w:rPr>
          <w:rFonts w:ascii="arial" w:eastAsia="arial" w:hAnsi="arial" w:cs="arial"/>
          <w:color w:val="000000"/>
          <w:sz w:val="20"/>
          <w:lang w:val="en-US" w:eastAsia="en-US" w:bidi="ar-SA"/>
        </w:rPr>
        <w:t xml:space="preserve"> (at para. 381).</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As a result, this Court declared the infringing legislation to be unconstitutional and invalid. However, the declaration of the invalidity was suspended for a period of twelve months to allow the government time to address the repercussions of the decision (at para. 382).</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No appeal was taken.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While there were different pieces of legislation at issue, the primary pieces of legislation were contained in Bill 28. By way of shorthand, I will refer collectively to the legislation declared unconstitutional as Bill 28, that proceeding, number L021662, as the "Bill 28 Action" and as noted, the judgment as the "Bill 28 Decision".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In the Bill 28 Decision I also held that the plaintiff, the British Columbia Teachers' Federation ("BCTF"), had reserved the right to argue any additional remedies and that they could seek a further hearing in this regard.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Following the Bill 28 Decision the parties had some discussions but did not reach a settlement of outstanding issues between them.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xml:space="preserve">  A day after the year following the Bill 28 Decision had passed, on April 14, 2012, the Province of British Columbia then enacted new legislation, the </w:t>
      </w:r>
      <w:r>
        <w:rPr>
          <w:rFonts w:ascii="arial" w:eastAsia="arial" w:hAnsi="arial" w:cs="arial"/>
          <w:i/>
          <w:color w:val="000000"/>
          <w:sz w:val="20"/>
          <w:lang w:val="en-US" w:eastAsia="en-US" w:bidi="ar-SA"/>
        </w:rPr>
        <w:t>Education Improvement Act</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S.B.C. 2012, c. 3</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EIA</w:t>
      </w:r>
      <w:r>
        <w:rPr>
          <w:rFonts w:ascii="arial" w:eastAsia="arial" w:hAnsi="arial" w:cs="arial"/>
          <w:color w:val="000000"/>
          <w:sz w:val="20"/>
          <w:lang w:val="en-US" w:eastAsia="en-US" w:bidi="ar-SA"/>
        </w:rPr>
        <w:t>], also known as "Bill 22". This legislation stated that it repealed the legislation which had been declared unconstitutional in the Bill 28 Decision. But at the same time Bill 22 also then immediately re-enacted the previously declared unconstitutional provisions in essentially identical terms, with one change:</w:t>
      </w:r>
      <w:r>
        <w:rPr>
          <w:rFonts w:ascii="arial" w:eastAsia="arial" w:hAnsi="arial" w:cs="arial"/>
          <w:sz w:val="20"/>
          <w:lang w:val="en-US" w:eastAsia="en-US" w:bidi="ar-SA"/>
        </w:rPr>
        <w:cr/>
      </w:r>
    </w:p>
    <w:p>
      <w:pPr>
        <w:numPr>
          <w:numId w:val="3"/>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 government again voided the same terms of the parties' collective agreement, again retroactive to July 1, 2002</w:t>
      </w:r>
      <w:bookmarkStart w:id="281" w:name="Backward_fnref_fnr-3"/>
      <w:hyperlink w:anchor="Forward_fnref_fnr-3" w:history="1">
        <w:r>
          <w:rPr>
            <w:rFonts w:ascii="arial" w:eastAsia="arial" w:hAnsi="arial" w:cs="arial"/>
            <w:b/>
            <w:color w:val="BE161D"/>
            <w:sz w:val="20"/>
            <w:shd w:val="clear" w:color="auto" w:fill="FFFFFF"/>
            <w:vertAlign w:val="superscript"/>
            <w:lang w:val="en-US" w:eastAsia="en-US" w:bidi="ar-SA"/>
          </w:rPr>
          <w:t>3</w:t>
        </w:r>
      </w:hyperlink>
      <w:bookmarkEnd w:id="281"/>
      <w:r>
        <w:rPr>
          <w:rFonts w:ascii="arial" w:eastAsia="arial" w:hAnsi="arial" w:cs="arial"/>
          <w:color w:val="000000"/>
          <w:sz w:val="20"/>
          <w:lang w:val="en-US" w:eastAsia="en-US" w:bidi="ar-SA"/>
        </w:rPr>
        <w:t>; and,</w:t>
      </w:r>
    </w:p>
    <w:p>
      <w:pPr>
        <w:numPr>
          <w:numId w:val="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government again prohibited the parties' from negotiating the subject matter of those terms in collective bargaining. However, the one change was that the prohibition on collective bargaining was time limited, and would expire by June 30, 2013</w:t>
      </w:r>
      <w:bookmarkStart w:id="282" w:name="Backward_fnref_fnr-4"/>
      <w:hyperlink w:anchor="Forward_fnref_fnr-4" w:history="1">
        <w:r>
          <w:rPr>
            <w:rFonts w:ascii="arial" w:eastAsia="arial" w:hAnsi="arial" w:cs="arial"/>
            <w:b/>
            <w:color w:val="BE161D"/>
            <w:sz w:val="20"/>
            <w:shd w:val="clear" w:color="auto" w:fill="FFFFFF"/>
            <w:vertAlign w:val="superscript"/>
            <w:lang w:val="en-US" w:eastAsia="en-US" w:bidi="ar-SA"/>
          </w:rPr>
          <w:t>4</w:t>
        </w:r>
      </w:hyperlink>
      <w:bookmarkEnd w:id="282"/>
      <w:r>
        <w:rPr>
          <w:rFonts w:ascii="arial" w:eastAsia="arial" w:hAnsi="arial" w:cs="arial"/>
          <w:color w:val="000000"/>
          <w:sz w:val="20"/>
          <w:lang w:val="en-US" w:eastAsia="en-US" w:bidi="ar-SA"/>
        </w:rPr>
        <w:t>.</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[the "Bill 22 Duplicative Provisions", set out in Appendix 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Also, previous legislation having to do with prohibiting collective agreement terms on school calendaring and hours of work, which had been found unconstitutional in the Bill 28 Action, was repealed and not repeated in the new legislation. No issue is taken with the fact that it is therefore no longer in force</w:t>
      </w:r>
      <w:bookmarkStart w:id="283" w:name="Backward_fnref_fnr-5"/>
      <w:hyperlink w:anchor="Forward_fnref_fnr-5" w:history="1">
        <w:r>
          <w:rPr>
            <w:rFonts w:ascii="arial" w:eastAsia="arial" w:hAnsi="arial" w:cs="arial"/>
            <w:b/>
            <w:color w:val="BE161D"/>
            <w:sz w:val="20"/>
            <w:shd w:val="clear" w:color="auto" w:fill="FFFFFF"/>
            <w:vertAlign w:val="superscript"/>
            <w:lang w:val="en-US" w:eastAsia="en-US" w:bidi="ar-SA"/>
          </w:rPr>
          <w:t>5</w:t>
        </w:r>
      </w:hyperlink>
      <w:bookmarkEnd w:id="283"/>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It is obvious that since this Court found in the Bill 28 Decision that Bill 28 substantially interfered with the s. 2(d) freedom of association rights of teachers, that to the extent Bill 22 simply duplicates the unconstitutional legislation, it too substantially interferes with s. 2(d) rights unless there are new circumstances.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w:t>
      </w:r>
      <w:r>
        <w:rPr>
          <w:rFonts w:ascii="arial" w:eastAsia="arial" w:hAnsi="arial" w:cs="arial"/>
          <w:color w:val="000000"/>
          <w:sz w:val="20"/>
          <w:lang w:val="en-US" w:eastAsia="en-US" w:bidi="ar-SA"/>
        </w:rPr>
        <w:t>  The government says that the new legislation is not unconstitutional, despite it duplicating the earlier legislation found to be unconstitutional. It advances two reasons:</w:t>
      </w:r>
      <w:r>
        <w:rPr>
          <w:rFonts w:ascii="arial" w:eastAsia="arial" w:hAnsi="arial" w:cs="arial"/>
          <w:sz w:val="20"/>
          <w:lang w:val="en-US" w:eastAsia="en-US" w:bidi="ar-SA"/>
        </w:rPr>
        <w:cr/>
      </w:r>
    </w:p>
    <w:p>
      <w:pPr>
        <w:numPr>
          <w:numId w:val="5"/>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First, it says that the discussions it had with the BCTF following the Bill 28 Decision and before enacting the new legislation amount to consultation in good faith with the BCTF. It argues that this means that any subsequent legislative interference with collective bargaining is not a substantial interference and so is not unconstitutional.</w:t>
      </w:r>
    </w:p>
    <w:p>
      <w:pPr>
        <w:numPr>
          <w:numId w:val="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Second, it relies on the time-limited nature of the duplicative prohibition on collective bargaining. It argues that since the BCTF would regain the right to collectively bargain on the subject matter of the legislation after June 30, 2013, neither the duplicative legislative restriction on bargaining nor the duplicative legislative deletion of collective bargaining terms can be said to substantially interfere with the process-based right of freedom of association.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w:t>
      </w:r>
      <w:r>
        <w:rPr>
          <w:rFonts w:ascii="arial" w:eastAsia="arial" w:hAnsi="arial" w:cs="arial"/>
          <w:color w:val="000000"/>
          <w:sz w:val="20"/>
          <w:lang w:val="en-US" w:eastAsia="en-US" w:bidi="ar-SA"/>
        </w:rPr>
        <w:t>  The BCTF has now brought an application in the Bill 28 Action for additional remedies flowing from the Bill 28 Decision, namely, damages. It also seeks orders striking down the Bill 22 Duplicative Provisions.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w:t>
      </w:r>
      <w:r>
        <w:rPr>
          <w:rFonts w:ascii="arial" w:eastAsia="arial" w:hAnsi="arial" w:cs="arial"/>
          <w:color w:val="000000"/>
          <w:sz w:val="20"/>
          <w:lang w:val="en-US" w:eastAsia="en-US" w:bidi="ar-SA"/>
        </w:rPr>
        <w:t>  As well, the BCTF have commenced a new action, challenging the constitutionality of the Bill 22 legislation, Action Number S124584 (the "Bill 22 Action"). This is in response to the government's position that the Bill 22 legislation cannot be challenged in the Bill 28 Action.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w:t>
      </w:r>
      <w:r>
        <w:rPr>
          <w:rFonts w:ascii="arial" w:eastAsia="arial" w:hAnsi="arial" w:cs="arial"/>
          <w:color w:val="000000"/>
          <w:sz w:val="20"/>
          <w:lang w:val="en-US" w:eastAsia="en-US" w:bidi="ar-SA"/>
        </w:rPr>
        <w:t>  In addition, in the Bill 22 Action, the teachers' union challenges other government conduct as unconstitutional. This other government conduct can be divided into three categories:</w:t>
      </w:r>
      <w:r>
        <w:rPr>
          <w:rFonts w:ascii="arial" w:eastAsia="arial" w:hAnsi="arial" w:cs="arial"/>
          <w:sz w:val="20"/>
          <w:lang w:val="en-US" w:eastAsia="en-US" w:bidi="ar-SA"/>
        </w:rPr>
        <w:cr/>
      </w:r>
    </w:p>
    <w:p>
      <w:pPr>
        <w:numPr>
          <w:numId w:val="7"/>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 enactment of two regulations at the same time as Bill 22 (and the corresponding enabling legislation in Bill 22), namely:</w:t>
      </w:r>
    </w:p>
    <w:p>
      <w:pPr>
        <w:numPr>
          <w:numId w:val="8"/>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the Learning Improvement Fund Regulation of the Minister of Education, Ministerial Order Number M077</w:t>
      </w:r>
      <w:bookmarkStart w:id="284" w:name="Backward_fnref_fnr-6"/>
      <w:hyperlink w:anchor="Forward_fnref_fnr-6" w:history="1">
        <w:r>
          <w:rPr>
            <w:rFonts w:ascii="arial" w:eastAsia="arial" w:hAnsi="arial" w:cs="arial"/>
            <w:b/>
            <w:color w:val="BE161D"/>
            <w:sz w:val="20"/>
            <w:shd w:val="clear" w:color="auto" w:fill="FFFFFF"/>
            <w:vertAlign w:val="superscript"/>
            <w:lang w:val="en-US" w:eastAsia="en-US" w:bidi="ar-SA"/>
          </w:rPr>
          <w:t>6</w:t>
        </w:r>
      </w:hyperlink>
      <w:bookmarkEnd w:id="284"/>
      <w:r>
        <w:rPr>
          <w:rFonts w:ascii="arial" w:eastAsia="arial" w:hAnsi="arial" w:cs="arial"/>
          <w:color w:val="000000"/>
          <w:sz w:val="20"/>
          <w:lang w:val="en-US" w:eastAsia="en-US" w:bidi="ar-SA"/>
        </w:rPr>
        <w:t xml:space="preserve"> ("LIF Regulation");</w:t>
      </w:r>
    </w:p>
    <w:p>
      <w:pPr>
        <w:numPr>
          <w:numId w:val="9"/>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the Class Size and Compensation Regulation of the Minister of Education, Ministerial Order Number M078</w:t>
      </w:r>
      <w:bookmarkStart w:id="285" w:name="Backward_fnref_fnr-7"/>
      <w:hyperlink w:anchor="Forward_fnref_fnr-7" w:history="1">
        <w:r>
          <w:rPr>
            <w:rFonts w:ascii="arial" w:eastAsia="arial" w:hAnsi="arial" w:cs="arial"/>
            <w:b/>
            <w:color w:val="BE161D"/>
            <w:sz w:val="20"/>
            <w:shd w:val="clear" w:color="auto" w:fill="FFFFFF"/>
            <w:vertAlign w:val="superscript"/>
            <w:lang w:val="en-US" w:eastAsia="en-US" w:bidi="ar-SA"/>
          </w:rPr>
          <w:t>7</w:t>
        </w:r>
      </w:hyperlink>
      <w:bookmarkEnd w:id="285"/>
      <w:r>
        <w:rPr>
          <w:rFonts w:ascii="arial" w:eastAsia="arial" w:hAnsi="arial" w:cs="arial"/>
          <w:color w:val="000000"/>
          <w:sz w:val="20"/>
          <w:lang w:val="en-US" w:eastAsia="en-US" w:bidi="ar-SA"/>
        </w:rPr>
        <w:t xml:space="preserve"> ("Class Size Compensation Regulation");</w:t>
      </w:r>
    </w:p>
    <w:p>
      <w:pPr>
        <w:numPr>
          <w:numId w:val="1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government conduct in issuing the collective bargaining mandate to the Public Sector Employers' Council ("PSEC"), entitled "Employers Guide to Mandate 2010" ("Mandate 2010"); and,</w:t>
      </w:r>
    </w:p>
    <w:p>
      <w:pPr>
        <w:numPr>
          <w:numId w:val="1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enactment of s. 6 of Bill 22 which provided for the appointment of a government mediator to settle the terms of a new collective agreement within legislated terms of reference.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w:t>
      </w:r>
      <w:r>
        <w:rPr>
          <w:rFonts w:ascii="arial" w:eastAsia="arial" w:hAnsi="arial" w:cs="arial"/>
          <w:color w:val="000000"/>
          <w:sz w:val="20"/>
          <w:lang w:val="en-US" w:eastAsia="en-US" w:bidi="ar-SA"/>
        </w:rPr>
        <w:t xml:space="preserve">  As part of Bill 22, s. 18 of the </w:t>
      </w:r>
      <w:r>
        <w:rPr>
          <w:rFonts w:ascii="arial" w:eastAsia="arial" w:hAnsi="arial" w:cs="arial"/>
          <w:i/>
          <w:color w:val="000000"/>
          <w:sz w:val="20"/>
          <w:lang w:val="en-US" w:eastAsia="en-US" w:bidi="ar-SA"/>
        </w:rPr>
        <w:t>EIA</w:t>
      </w:r>
      <w:r>
        <w:rPr>
          <w:rFonts w:ascii="arial" w:eastAsia="arial" w:hAnsi="arial" w:cs="arial"/>
          <w:color w:val="000000"/>
          <w:sz w:val="20"/>
          <w:lang w:val="en-US" w:eastAsia="en-US" w:bidi="ar-SA"/>
        </w:rPr>
        <w:t xml:space="preserve"> enacted a new provision of the </w:t>
      </w:r>
      <w:r>
        <w:rPr>
          <w:rFonts w:ascii="arial" w:eastAsia="arial" w:hAnsi="arial" w:cs="arial"/>
          <w:i/>
          <w:color w:val="000000"/>
          <w:sz w:val="20"/>
          <w:lang w:val="en-US" w:eastAsia="en-US" w:bidi="ar-SA"/>
        </w:rPr>
        <w:t>School Act</w:t>
      </w:r>
      <w:r>
        <w:rPr>
          <w:rFonts w:ascii="arial" w:eastAsia="arial" w:hAnsi="arial" w:cs="arial"/>
          <w:color w:val="000000"/>
          <w:sz w:val="20"/>
          <w:lang w:val="en-US" w:eastAsia="en-US" w:bidi="ar-SA"/>
        </w:rPr>
        <w:t>, R.S.B.C. 1996. c. 412 [</w:t>
      </w:r>
      <w:r>
        <w:rPr>
          <w:rFonts w:ascii="arial" w:eastAsia="arial" w:hAnsi="arial" w:cs="arial"/>
          <w:i/>
          <w:color w:val="000000"/>
          <w:sz w:val="20"/>
          <w:lang w:val="en-US" w:eastAsia="en-US" w:bidi="ar-SA"/>
        </w:rPr>
        <w:t>School Act</w:t>
      </w:r>
      <w:r>
        <w:rPr>
          <w:rFonts w:ascii="arial" w:eastAsia="arial" w:hAnsi="arial" w:cs="arial"/>
          <w:color w:val="000000"/>
          <w:sz w:val="20"/>
          <w:lang w:val="en-US" w:eastAsia="en-US" w:bidi="ar-SA"/>
        </w:rPr>
        <w:t>], s. 115.2, dealing with a new "learning improvement fund" ("LIF") by which grants can be made from the Minister of Education to school boards to enable them to "address learning improvement issues". The LIF Regulation deals with allocation of the fund.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w:t>
      </w:r>
      <w:r>
        <w:rPr>
          <w:rFonts w:ascii="arial" w:eastAsia="arial" w:hAnsi="arial" w:cs="arial"/>
          <w:color w:val="000000"/>
          <w:sz w:val="20"/>
          <w:lang w:val="en-US" w:eastAsia="en-US" w:bidi="ar-SA"/>
        </w:rPr>
        <w:t xml:space="preserve">  Section 14 of the </w:t>
      </w:r>
      <w:r>
        <w:rPr>
          <w:rFonts w:ascii="arial" w:eastAsia="arial" w:hAnsi="arial" w:cs="arial"/>
          <w:i/>
          <w:color w:val="000000"/>
          <w:sz w:val="20"/>
          <w:lang w:val="en-US" w:eastAsia="en-US" w:bidi="ar-SA"/>
        </w:rPr>
        <w:t>EIA</w:t>
      </w:r>
      <w:r>
        <w:rPr>
          <w:rFonts w:ascii="arial" w:eastAsia="arial" w:hAnsi="arial" w:cs="arial"/>
          <w:color w:val="000000"/>
          <w:sz w:val="20"/>
          <w:lang w:val="en-US" w:eastAsia="en-US" w:bidi="ar-SA"/>
        </w:rPr>
        <w:t xml:space="preserve"> amended s. 76.1 of the </w:t>
      </w:r>
      <w:r>
        <w:rPr>
          <w:rFonts w:ascii="arial" w:eastAsia="arial" w:hAnsi="arial" w:cs="arial"/>
          <w:i/>
          <w:color w:val="000000"/>
          <w:sz w:val="20"/>
          <w:lang w:val="en-US" w:eastAsia="en-US" w:bidi="ar-SA"/>
        </w:rPr>
        <w:t>School Act</w:t>
      </w:r>
      <w:r>
        <w:rPr>
          <w:rFonts w:ascii="arial" w:eastAsia="arial" w:hAnsi="arial" w:cs="arial"/>
          <w:color w:val="000000"/>
          <w:sz w:val="20"/>
          <w:lang w:val="en-US" w:eastAsia="en-US" w:bidi="ar-SA"/>
        </w:rPr>
        <w:t xml:space="preserve"> to provide for maximum class sizes of 30 students for grades 4 to 12, subject to exceptions; and or additional compensation to teachers where the class size is exceeded. By s. 22 of the </w:t>
      </w:r>
      <w:r>
        <w:rPr>
          <w:rFonts w:ascii="arial" w:eastAsia="arial" w:hAnsi="arial" w:cs="arial"/>
          <w:i/>
          <w:color w:val="000000"/>
          <w:sz w:val="20"/>
          <w:lang w:val="en-US" w:eastAsia="en-US" w:bidi="ar-SA"/>
        </w:rPr>
        <w:t>EIA</w:t>
      </w:r>
      <w:r>
        <w:rPr>
          <w:rFonts w:ascii="arial" w:eastAsia="arial" w:hAnsi="arial" w:cs="arial"/>
          <w:color w:val="000000"/>
          <w:sz w:val="20"/>
          <w:lang w:val="en-US" w:eastAsia="en-US" w:bidi="ar-SA"/>
        </w:rPr>
        <w:t>, the Minister was permitted to make regulations respecting class sizes and compensation in respect of class sizes. The Class Size Compensation Regulation followed. In short, it sets out the exceptions to the class size limits, and provides a formula for payments to eligible teachers where class sizes exceed the legislated size of 30 students.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w:t>
      </w:r>
      <w:r>
        <w:rPr>
          <w:rFonts w:ascii="arial" w:eastAsia="arial" w:hAnsi="arial" w:cs="arial"/>
          <w:color w:val="000000"/>
          <w:sz w:val="20"/>
          <w:lang w:val="en-US" w:eastAsia="en-US" w:bidi="ar-SA"/>
        </w:rPr>
        <w:t>  The BCTF says that both regulations are designed to diminish the union's role as an association advancing the Working Conditions of teachers.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w:t>
      </w:r>
      <w:r>
        <w:rPr>
          <w:rFonts w:ascii="arial" w:eastAsia="arial" w:hAnsi="arial" w:cs="arial"/>
          <w:color w:val="000000"/>
          <w:sz w:val="20"/>
          <w:lang w:val="en-US" w:eastAsia="en-US" w:bidi="ar-SA"/>
        </w:rPr>
        <w:t>  I pause to note that the government does not argue that either of the above regulations ameliorate the Bill 22 Duplicative Provisions interference with collective bargaining rights or provide a substitute for collective bargaining. However, in answer to the BCTF challenge to these regulations, it asserts that the regulations do not interfere with collective bargaining rights.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w:t>
      </w:r>
      <w:r>
        <w:rPr>
          <w:rFonts w:ascii="arial" w:eastAsia="arial" w:hAnsi="arial" w:cs="arial"/>
          <w:color w:val="000000"/>
          <w:sz w:val="20"/>
          <w:lang w:val="en-US" w:eastAsia="en-US" w:bidi="ar-SA"/>
        </w:rPr>
        <w:t xml:space="preserve">  In summary the challenged provisions of Bill 22, the </w:t>
      </w:r>
      <w:r>
        <w:rPr>
          <w:rFonts w:ascii="arial" w:eastAsia="arial" w:hAnsi="arial" w:cs="arial"/>
          <w:i/>
          <w:color w:val="000000"/>
          <w:sz w:val="20"/>
          <w:lang w:val="en-US" w:eastAsia="en-US" w:bidi="ar-SA"/>
        </w:rPr>
        <w:t>EIA</w:t>
      </w:r>
      <w:r>
        <w:rPr>
          <w:rFonts w:ascii="arial" w:eastAsia="arial" w:hAnsi="arial" w:cs="arial"/>
          <w:color w:val="000000"/>
          <w:sz w:val="20"/>
          <w:lang w:val="en-US" w:eastAsia="en-US" w:bidi="ar-SA"/>
        </w:rPr>
        <w:t>, are: ss. 6, 8, 13, 14(c), 18, 19, 21, 22 and 24.</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w:t>
      </w:r>
      <w:r>
        <w:rPr>
          <w:rFonts w:ascii="arial" w:eastAsia="arial" w:hAnsi="arial" w:cs="arial"/>
          <w:color w:val="000000"/>
          <w:sz w:val="20"/>
          <w:lang w:val="en-US" w:eastAsia="en-US" w:bidi="ar-SA"/>
        </w:rPr>
        <w:t>  Further or in the alternative the BCTF seeks a sizeable award of 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w:t>
      </w:r>
      <w:r>
        <w:rPr>
          <w:rFonts w:ascii="arial" w:eastAsia="arial" w:hAnsi="arial" w:cs="arial"/>
          <w:color w:val="000000"/>
          <w:sz w:val="20"/>
          <w:lang w:val="en-US" w:eastAsia="en-US" w:bidi="ar-SA"/>
        </w:rPr>
        <w:t>  Some procedural and substantive issues arose as to in which proceeding the court ought to consider the government conduct in the year after the Bill 28 Decision and in enacting Bill 22 and issuing Mandate 2010. I will address these miscellaneous issues toward the end of the judgment.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w:t>
      </w:r>
      <w:r>
        <w:rPr>
          <w:rFonts w:ascii="arial" w:eastAsia="arial" w:hAnsi="arial" w:cs="arial"/>
          <w:color w:val="000000"/>
          <w:sz w:val="20"/>
          <w:lang w:val="en-US" w:eastAsia="en-US" w:bidi="ar-SA"/>
        </w:rPr>
        <w:t xml:space="preserve">  At times in discussing the s. 2(d) </w:t>
      </w:r>
      <w:r>
        <w:rPr>
          <w:rFonts w:ascii="arial" w:eastAsia="arial" w:hAnsi="arial" w:cs="arial"/>
          <w:i/>
          <w:color w:val="000000"/>
          <w:sz w:val="20"/>
          <w:lang w:val="en-US" w:eastAsia="en-US" w:bidi="ar-SA"/>
        </w:rPr>
        <w:t>Charter</w:t>
      </w:r>
      <w:r>
        <w:rPr>
          <w:rFonts w:ascii="arial" w:eastAsia="arial" w:hAnsi="arial" w:cs="arial"/>
          <w:color w:val="000000"/>
          <w:sz w:val="20"/>
          <w:lang w:val="en-US" w:eastAsia="en-US" w:bidi="ar-SA"/>
        </w:rPr>
        <w:t xml:space="preserve"> right generally and the parties' arguments, I have used the term "collective bargaining" as a short form only. I recognize that the protection of s. 2(d) does not require the state to respect exclusively a traditional model of collective bargaining, referred to as the "Wagner" model.</w:t>
      </w:r>
      <w:bookmarkStart w:id="286" w:name="Backward_fnref_fnr-8"/>
      <w:hyperlink w:anchor="Forward_fnref_fnr-8" w:history="1">
        <w:r>
          <w:rPr>
            <w:rFonts w:ascii="arial" w:eastAsia="arial" w:hAnsi="arial" w:cs="arial"/>
            <w:b/>
            <w:color w:val="BE161D"/>
            <w:sz w:val="20"/>
            <w:shd w:val="clear" w:color="auto" w:fill="FFFFFF"/>
            <w:vertAlign w:val="superscript"/>
            <w:lang w:val="en-US" w:eastAsia="en-US" w:bidi="ar-SA"/>
          </w:rPr>
          <w:t>8</w:t>
        </w:r>
      </w:hyperlink>
      <w:bookmarkEnd w:id="286"/>
      <w:r>
        <w:rPr>
          <w:rFonts w:ascii="arial" w:eastAsia="arial" w:hAnsi="arial" w:cs="arial"/>
          <w:color w:val="000000"/>
          <w:sz w:val="20"/>
          <w:lang w:val="en-US" w:eastAsia="en-US" w:bidi="ar-SA"/>
        </w:rPr>
        <w:t xml:space="preserve"> The Court in </w:t>
      </w:r>
      <w:r>
        <w:rPr>
          <w:rFonts w:ascii="arial" w:eastAsia="arial" w:hAnsi="arial" w:cs="arial"/>
          <w:i/>
          <w:color w:val="000000"/>
          <w:sz w:val="20"/>
          <w:lang w:val="en-US" w:eastAsia="en-US" w:bidi="ar-SA"/>
        </w:rPr>
        <w:t>Ontario (Attorney General) v. Fraser,</w:t>
      </w:r>
      <w:r>
        <w:rPr>
          <w:rFonts w:ascii="arial" w:eastAsia="arial" w:hAnsi="arial" w:cs="arial"/>
          <w:color w:val="000000"/>
          <w:sz w:val="20"/>
          <w:lang w:val="en-US" w:eastAsia="en-US" w:bidi="ar-SA"/>
        </w:rPr>
        <w:t xml:space="preserve"> </w:t>
      </w:r>
      <w:hyperlink r:id="rId870" w:history="1">
        <w:r>
          <w:rPr>
            <w:rFonts w:ascii="arial" w:eastAsia="arial" w:hAnsi="arial" w:cs="arial"/>
            <w:i/>
            <w:color w:val="0077CC"/>
            <w:sz w:val="20"/>
            <w:u w:val="single"/>
            <w:shd w:val="clear" w:color="auto" w:fill="FFFFFF"/>
            <w:lang w:val="en-US" w:eastAsia="en-US" w:bidi="ar-SA"/>
          </w:rPr>
          <w:t>2011 SCC 20</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Fraser</w:t>
      </w:r>
      <w:r>
        <w:rPr>
          <w:rFonts w:ascii="arial" w:eastAsia="arial" w:hAnsi="arial" w:cs="arial"/>
          <w:color w:val="000000"/>
          <w:sz w:val="20"/>
          <w:lang w:val="en-US" w:eastAsia="en-US" w:bidi="ar-SA"/>
        </w:rPr>
        <w:t xml:space="preserve">], slightly changed the nomenclature regarding the s. 2(d) right from a collective bargaining right, as sometimes described in </w:t>
      </w:r>
      <w:r>
        <w:rPr>
          <w:rFonts w:ascii="arial" w:eastAsia="arial" w:hAnsi="arial" w:cs="arial"/>
          <w:i/>
          <w:color w:val="000000"/>
          <w:sz w:val="20"/>
          <w:lang w:val="en-US" w:eastAsia="en-US" w:bidi="ar-SA"/>
        </w:rPr>
        <w:t>Health Services</w:t>
      </w:r>
      <w:r>
        <w:rPr>
          <w:rFonts w:ascii="arial" w:eastAsia="arial" w:hAnsi="arial" w:cs="arial"/>
          <w:color w:val="000000"/>
          <w:sz w:val="20"/>
          <w:lang w:val="en-US" w:eastAsia="en-US" w:bidi="ar-SA"/>
        </w:rPr>
        <w:t>, to a right more generally described as the protection of "associational collective activity in furtherance of workplace goals" (at para. 38). The latter is what is meant in this judgment when collective bargaining rights are mentioned.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w:t>
      </w:r>
      <w:r>
        <w:rPr>
          <w:rFonts w:ascii="arial" w:eastAsia="arial" w:hAnsi="arial" w:cs="arial"/>
          <w:color w:val="000000"/>
          <w:sz w:val="20"/>
          <w:lang w:val="en-US" w:eastAsia="en-US" w:bidi="ar-SA"/>
        </w:rPr>
        <w:t>  Nevertheless, it is part of the factual context of this case that the model of employee associational activity which is in place in British Columbia and applies as between the members of the BCTF and their employers is a traditional collective bargaining model.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Issues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w:t>
      </w:r>
      <w:r>
        <w:rPr>
          <w:rFonts w:ascii="arial" w:eastAsia="arial" w:hAnsi="arial" w:cs="arial"/>
          <w:color w:val="000000"/>
          <w:sz w:val="20"/>
          <w:lang w:val="en-US" w:eastAsia="en-US" w:bidi="ar-SA"/>
        </w:rPr>
        <w:t>  I will address the issues in the following order:</w:t>
      </w:r>
      <w:r>
        <w:rPr>
          <w:rFonts w:ascii="arial" w:eastAsia="arial" w:hAnsi="arial" w:cs="arial"/>
          <w:sz w:val="20"/>
          <w:lang w:val="en-US" w:eastAsia="en-US" w:bidi="ar-SA"/>
        </w:rPr>
        <w:cr/>
      </w:r>
    </w:p>
    <w:p>
      <w:pPr>
        <w:numPr>
          <w:numId w:val="1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What is the legal relevance of government consultation in the analysis of the s. 2(d) </w:t>
      </w:r>
      <w:r>
        <w:rPr>
          <w:rFonts w:ascii="arial" w:eastAsia="arial" w:hAnsi="arial" w:cs="arial"/>
          <w:i/>
          <w:color w:val="000000"/>
          <w:sz w:val="20"/>
          <w:lang w:val="en-US" w:eastAsia="en-US" w:bidi="ar-SA"/>
        </w:rPr>
        <w:t>Charter</w:t>
      </w:r>
      <w:r>
        <w:rPr>
          <w:rFonts w:ascii="arial" w:eastAsia="arial" w:hAnsi="arial" w:cs="arial"/>
          <w:color w:val="000000"/>
          <w:sz w:val="20"/>
          <w:lang w:val="en-US" w:eastAsia="en-US" w:bidi="ar-SA"/>
        </w:rPr>
        <w:t xml:space="preserve"> protection of freedom of association?</w:t>
      </w:r>
    </w:p>
    <w:p>
      <w:pPr>
        <w:numPr>
          <w:numId w:val="1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What are the facts regarding the nature of the parties' discussions post-the Bill 28 Decision and prior to the enactment of Bill 22?</w:t>
      </w:r>
    </w:p>
    <w:p>
      <w:pPr>
        <w:numPr>
          <w:numId w:val="1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Did the parties' discussions post-the Bill 28 Decision, and prior to the enactment of Bill 22, save the Bill 22 Duplicative Provisions?</w:t>
      </w:r>
    </w:p>
    <w:p>
      <w:pPr>
        <w:numPr>
          <w:numId w:val="1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Does the time limit on the collective bargaining prohibition in Bill 22 change the analysis of the constitutionality of either of the Bill 22 Duplicative Provisions?</w:t>
      </w:r>
    </w:p>
    <w:p>
      <w:pPr>
        <w:numPr>
          <w:numId w:val="1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Does s. 1 of the </w:t>
      </w:r>
      <w:r>
        <w:rPr>
          <w:rFonts w:ascii="arial" w:eastAsia="arial" w:hAnsi="arial" w:cs="arial"/>
          <w:i/>
          <w:color w:val="000000"/>
          <w:sz w:val="20"/>
          <w:lang w:val="en-US" w:eastAsia="en-US" w:bidi="ar-SA"/>
        </w:rPr>
        <w:t>Charter</w:t>
      </w:r>
      <w:r>
        <w:rPr>
          <w:rFonts w:ascii="arial" w:eastAsia="arial" w:hAnsi="arial" w:cs="arial"/>
          <w:color w:val="000000"/>
          <w:sz w:val="20"/>
          <w:lang w:val="en-US" w:eastAsia="en-US" w:bidi="ar-SA"/>
        </w:rPr>
        <w:t xml:space="preserve"> apply to save the Bill 22 Duplicative Provisions from a finding of unconstitutionality?</w:t>
      </w:r>
    </w:p>
    <w:p>
      <w:pPr>
        <w:numPr>
          <w:numId w:val="1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Are either or both of the two regulations unconstitutional?</w:t>
      </w:r>
    </w:p>
    <w:p>
      <w:pPr>
        <w:numPr>
          <w:numId w:val="1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Learning Improvement Fund Regulation;</w:t>
      </w:r>
    </w:p>
    <w:p>
      <w:pPr>
        <w:numPr>
          <w:numId w:val="1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Class Size and Compensation Regulation;</w:t>
      </w:r>
    </w:p>
    <w:p>
      <w:pPr>
        <w:numPr>
          <w:numId w:val="1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Is the government's directive to public sector employers contained in Mandate 2010 unconstitutional?</w:t>
      </w:r>
    </w:p>
    <w:p>
      <w:pPr>
        <w:numPr>
          <w:numId w:val="1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Is s. 6 of the </w:t>
      </w:r>
      <w:r>
        <w:rPr>
          <w:rFonts w:ascii="arial" w:eastAsia="arial" w:hAnsi="arial" w:cs="arial"/>
          <w:i/>
          <w:color w:val="000000"/>
          <w:sz w:val="20"/>
          <w:lang w:val="en-US" w:eastAsia="en-US" w:bidi="ar-SA"/>
        </w:rPr>
        <w:t>EIA</w:t>
      </w:r>
      <w:r>
        <w:rPr>
          <w:rFonts w:ascii="arial" w:eastAsia="arial" w:hAnsi="arial" w:cs="arial"/>
          <w:color w:val="000000"/>
          <w:sz w:val="20"/>
          <w:lang w:val="en-US" w:eastAsia="en-US" w:bidi="ar-SA"/>
        </w:rPr>
        <w:t>, which provided for the appointment of a mediator to settle the terms of a collective agreement within legislated terms of reference, unconstitutional?</w:t>
      </w:r>
    </w:p>
    <w:p>
      <w:pPr>
        <w:numPr>
          <w:numId w:val="1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What remedies are the plaintiff's entitled to, if at all, in the two actions?</w:t>
      </w:r>
    </w:p>
    <w:p>
      <w:pPr>
        <w:numPr>
          <w:numId w:val="1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Miscellaneous issues.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w:t>
      </w:r>
      <w:r>
        <w:rPr>
          <w:rFonts w:ascii="arial" w:eastAsia="arial" w:hAnsi="arial" w:cs="arial"/>
          <w:color w:val="000000"/>
          <w:sz w:val="20"/>
          <w:lang w:val="en-US" w:eastAsia="en-US" w:bidi="ar-SA"/>
        </w:rPr>
        <w:t>  As in the Bill 28 Action, the question of what is sound educational policy is not a question for this Court's determination.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w:t>
      </w:r>
      <w:r>
        <w:rPr>
          <w:rFonts w:ascii="arial" w:eastAsia="arial" w:hAnsi="arial" w:cs="arial"/>
          <w:color w:val="000000"/>
          <w:sz w:val="20"/>
          <w:lang w:val="en-US" w:eastAsia="en-US" w:bidi="ar-SA"/>
        </w:rPr>
        <w:t>  Also it is important to note that the government does not argue that it passed Bill 22 in any urgent or exigent circumstances.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Glossary and Chronology and Cast of Characters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w:t>
      </w:r>
      <w:r>
        <w:rPr>
          <w:rFonts w:ascii="arial" w:eastAsia="arial" w:hAnsi="arial" w:cs="arial"/>
          <w:color w:val="000000"/>
          <w:sz w:val="20"/>
          <w:lang w:val="en-US" w:eastAsia="en-US" w:bidi="ar-SA"/>
        </w:rPr>
        <w:t>  For ease of reference, the following terms are used in this judgment for the following meanings: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6"/>
        <w:gridCol w:w="3127"/>
        <w:gridCol w:w="240"/>
        <w:gridCol w:w="5421"/>
        <w:gridCol w:w="104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3072"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i/>
                <w:color w:val="000000"/>
                <w:sz w:val="18"/>
                <w:lang w:val="en-US" w:eastAsia="en-US" w:bidi="ar-SA"/>
              </w:rPr>
              <w:t>AIC</w:t>
            </w:r>
          </w:p>
        </w:tc>
        <w:tc>
          <w:tcPr>
            <w:tcW w:w="205"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32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 xml:space="preserve">April 17, 1998, Agreement in Committee reached between the BCTF and the government but rejected by BCPSEA. It included the K-3 Memorandum. This agreement was implemented by the </w:t>
            </w:r>
            <w:r>
              <w:rPr>
                <w:rFonts w:ascii="arial" w:eastAsia="arial" w:hAnsi="arial" w:cs="arial"/>
                <w:i/>
                <w:color w:val="000000"/>
                <w:sz w:val="18"/>
                <w:lang w:val="en-US" w:eastAsia="en-US" w:bidi="ar-SA"/>
              </w:rPr>
              <w:t>Public Education Collective Agreement Act</w:t>
            </w:r>
            <w:r>
              <w:rPr>
                <w:rFonts w:ascii="arial" w:eastAsia="arial" w:hAnsi="arial" w:cs="arial"/>
                <w:color w:val="000000"/>
                <w:sz w:val="18"/>
                <w:lang w:val="en-US" w:eastAsia="en-US" w:bidi="ar-SA"/>
              </w:rPr>
              <w:t>, S.B.C. 1998, c. 41, for a three year term (1998-2001).</w:t>
            </w:r>
          </w:p>
        </w:tc>
        <w:tc>
          <w:tcPr>
            <w:tcW w:w="102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3072"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i/>
                <w:color w:val="000000"/>
                <w:sz w:val="18"/>
                <w:lang w:val="en-US" w:eastAsia="en-US" w:bidi="ar-SA"/>
              </w:rPr>
              <w:t>Amendment Act</w:t>
            </w:r>
          </w:p>
        </w:tc>
        <w:tc>
          <w:tcPr>
            <w:tcW w:w="205"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32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 xml:space="preserve">The </w:t>
            </w:r>
            <w:r>
              <w:rPr>
                <w:rFonts w:ascii="arial" w:eastAsia="arial" w:hAnsi="arial" w:cs="arial"/>
                <w:i/>
                <w:color w:val="000000"/>
                <w:sz w:val="18"/>
                <w:lang w:val="en-US" w:eastAsia="en-US" w:bidi="ar-SA"/>
              </w:rPr>
              <w:t>Education Services Collective Agreement Amendment Act, 2004</w:t>
            </w:r>
            <w:r>
              <w:rPr>
                <w:rFonts w:ascii="arial" w:eastAsia="arial" w:hAnsi="arial" w:cs="arial"/>
                <w:color w:val="000000"/>
                <w:sz w:val="18"/>
                <w:lang w:val="en-US" w:eastAsia="en-US" w:bidi="ar-SA"/>
              </w:rPr>
              <w:t>, S.B.C. 2004, c.16, enacted April 2004.</w:t>
            </w:r>
          </w:p>
        </w:tc>
        <w:tc>
          <w:tcPr>
            <w:tcW w:w="102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3072"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BCPSEA</w:t>
            </w:r>
          </w:p>
        </w:tc>
        <w:tc>
          <w:tcPr>
            <w:tcW w:w="205"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32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British Columbia Public School Employers' Association.</w:t>
            </w:r>
          </w:p>
        </w:tc>
        <w:tc>
          <w:tcPr>
            <w:tcW w:w="102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3072"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BCTF</w:t>
            </w:r>
          </w:p>
        </w:tc>
        <w:tc>
          <w:tcPr>
            <w:tcW w:w="205"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32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British Columbia Teachers' Federation, the plaintiff.</w:t>
            </w:r>
          </w:p>
        </w:tc>
        <w:tc>
          <w:tcPr>
            <w:tcW w:w="102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3072"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Bill 22</w:t>
            </w:r>
          </w:p>
        </w:tc>
        <w:tc>
          <w:tcPr>
            <w:tcW w:w="205"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32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i/>
                <w:color w:val="000000"/>
                <w:sz w:val="18"/>
                <w:lang w:val="en-US" w:eastAsia="en-US" w:bidi="ar-SA"/>
              </w:rPr>
              <w:t>Education Improvement Act</w:t>
            </w:r>
            <w:r>
              <w:rPr>
                <w:rFonts w:ascii="arial" w:eastAsia="arial" w:hAnsi="arial" w:cs="arial"/>
                <w:color w:val="000000"/>
                <w:sz w:val="18"/>
                <w:lang w:val="en-US" w:eastAsia="en-US" w:bidi="ar-SA"/>
              </w:rPr>
              <w:t>, S.B.C. 2012, c. 3 [</w:t>
            </w:r>
            <w:r>
              <w:rPr>
                <w:rFonts w:ascii="arial" w:eastAsia="arial" w:hAnsi="arial" w:cs="arial"/>
                <w:i/>
                <w:color w:val="000000"/>
                <w:sz w:val="18"/>
                <w:lang w:val="en-US" w:eastAsia="en-US" w:bidi="ar-SA"/>
              </w:rPr>
              <w:t>EIA</w:t>
            </w:r>
            <w:r>
              <w:rPr>
                <w:rFonts w:ascii="arial" w:eastAsia="arial" w:hAnsi="arial" w:cs="arial"/>
                <w:color w:val="000000"/>
                <w:sz w:val="18"/>
                <w:lang w:val="en-US" w:eastAsia="en-US" w:bidi="ar-SA"/>
              </w:rPr>
              <w:t>], enacted March 17, 2012.</w:t>
            </w:r>
          </w:p>
        </w:tc>
        <w:tc>
          <w:tcPr>
            <w:tcW w:w="102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3072"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Bill 22</w:t>
            </w:r>
          </w:p>
        </w:tc>
        <w:tc>
          <w:tcPr>
            <w:tcW w:w="205"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32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 xml:space="preserve">Duplicative Provisions </w:t>
            </w:r>
            <w:r>
              <w:rPr>
                <w:rFonts w:ascii="arial" w:eastAsia="arial" w:hAnsi="arial" w:cs="arial"/>
                <w:i/>
                <w:color w:val="000000"/>
                <w:sz w:val="18"/>
                <w:lang w:val="en-US" w:eastAsia="en-US" w:bidi="ar-SA"/>
              </w:rPr>
              <w:t>Education Improvement Act</w:t>
            </w:r>
            <w:r>
              <w:rPr>
                <w:rFonts w:ascii="arial" w:eastAsia="arial" w:hAnsi="arial" w:cs="arial"/>
                <w:color w:val="000000"/>
                <w:sz w:val="18"/>
                <w:lang w:val="en-US" w:eastAsia="en-US" w:bidi="ar-SA"/>
              </w:rPr>
              <w:t>, ss. 8, 13, and 24, and set out in Appendix A.</w:t>
            </w:r>
          </w:p>
        </w:tc>
        <w:tc>
          <w:tcPr>
            <w:tcW w:w="102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3072"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Bill 27</w:t>
            </w:r>
          </w:p>
        </w:tc>
        <w:tc>
          <w:tcPr>
            <w:tcW w:w="205"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32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 xml:space="preserve">The </w:t>
            </w:r>
            <w:r>
              <w:rPr>
                <w:rFonts w:ascii="arial" w:eastAsia="arial" w:hAnsi="arial" w:cs="arial"/>
                <w:i/>
                <w:color w:val="000000"/>
                <w:sz w:val="18"/>
                <w:lang w:val="en-US" w:eastAsia="en-US" w:bidi="ar-SA"/>
              </w:rPr>
              <w:t>Education Services Collective Agreement Act</w:t>
            </w:r>
            <w:r>
              <w:rPr>
                <w:rFonts w:ascii="arial" w:eastAsia="arial" w:hAnsi="arial" w:cs="arial"/>
                <w:color w:val="000000"/>
                <w:sz w:val="18"/>
                <w:lang w:val="en-US" w:eastAsia="en-US" w:bidi="ar-SA"/>
              </w:rPr>
              <w:t>, S.B.C. 2002, c. 1 [</w:t>
            </w:r>
            <w:r>
              <w:rPr>
                <w:rFonts w:ascii="arial" w:eastAsia="arial" w:hAnsi="arial" w:cs="arial"/>
                <w:i/>
                <w:color w:val="000000"/>
                <w:sz w:val="18"/>
                <w:lang w:val="en-US" w:eastAsia="en-US" w:bidi="ar-SA"/>
              </w:rPr>
              <w:t>ESCAA</w:t>
            </w:r>
            <w:r>
              <w:rPr>
                <w:rFonts w:ascii="arial" w:eastAsia="arial" w:hAnsi="arial" w:cs="arial"/>
                <w:color w:val="000000"/>
                <w:sz w:val="18"/>
                <w:lang w:val="en-US" w:eastAsia="en-US" w:bidi="ar-SA"/>
              </w:rPr>
              <w:t>], enacted January 2002.</w:t>
            </w:r>
          </w:p>
        </w:tc>
        <w:tc>
          <w:tcPr>
            <w:tcW w:w="102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3072"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Bill 28</w:t>
            </w:r>
          </w:p>
        </w:tc>
        <w:tc>
          <w:tcPr>
            <w:tcW w:w="205"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32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 xml:space="preserve">The </w:t>
            </w:r>
            <w:r>
              <w:rPr>
                <w:rFonts w:ascii="arial" w:eastAsia="arial" w:hAnsi="arial" w:cs="arial"/>
                <w:i/>
                <w:color w:val="000000"/>
                <w:sz w:val="18"/>
                <w:lang w:val="en-US" w:eastAsia="en-US" w:bidi="ar-SA"/>
              </w:rPr>
              <w:t>Public Education Flexibility and Choice Act</w:t>
            </w:r>
            <w:r>
              <w:rPr>
                <w:rFonts w:ascii="arial" w:eastAsia="arial" w:hAnsi="arial" w:cs="arial"/>
                <w:color w:val="000000"/>
                <w:sz w:val="18"/>
                <w:lang w:val="en-US" w:eastAsia="en-US" w:bidi="ar-SA"/>
              </w:rPr>
              <w:t>, S.B.C. 2002, c. 3 [</w:t>
            </w:r>
            <w:r>
              <w:rPr>
                <w:rFonts w:ascii="arial" w:eastAsia="arial" w:hAnsi="arial" w:cs="arial"/>
                <w:i/>
                <w:color w:val="000000"/>
                <w:sz w:val="18"/>
                <w:lang w:val="en-US" w:eastAsia="en-US" w:bidi="ar-SA"/>
              </w:rPr>
              <w:t>PEFCA</w:t>
            </w:r>
            <w:r>
              <w:rPr>
                <w:rFonts w:ascii="arial" w:eastAsia="arial" w:hAnsi="arial" w:cs="arial"/>
                <w:color w:val="000000"/>
                <w:sz w:val="18"/>
                <w:lang w:val="en-US" w:eastAsia="en-US" w:bidi="ar-SA"/>
              </w:rPr>
              <w:t>], enacted January 2002.</w:t>
            </w:r>
          </w:p>
        </w:tc>
        <w:tc>
          <w:tcPr>
            <w:tcW w:w="102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3072"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Class Size Compensation Regulation</w:t>
            </w:r>
          </w:p>
        </w:tc>
        <w:tc>
          <w:tcPr>
            <w:tcW w:w="205"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32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i/>
                <w:color w:val="000000"/>
                <w:sz w:val="18"/>
                <w:lang w:val="en-US" w:eastAsia="en-US" w:bidi="ar-SA"/>
              </w:rPr>
              <w:t>Class Size and Compensation Regulation</w:t>
            </w:r>
            <w:r>
              <w:rPr>
                <w:rFonts w:ascii="arial" w:eastAsia="arial" w:hAnsi="arial" w:cs="arial"/>
                <w:color w:val="000000"/>
                <w:sz w:val="18"/>
                <w:lang w:val="en-US" w:eastAsia="en-US" w:bidi="ar-SA"/>
              </w:rPr>
              <w:t>, B.C. Reg 52/2012.</w:t>
            </w:r>
          </w:p>
        </w:tc>
        <w:tc>
          <w:tcPr>
            <w:tcW w:w="102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3072"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COF</w:t>
            </w:r>
          </w:p>
        </w:tc>
        <w:tc>
          <w:tcPr>
            <w:tcW w:w="205"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32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Proposed "Class Organization Fund"</w:t>
            </w:r>
          </w:p>
        </w:tc>
        <w:tc>
          <w:tcPr>
            <w:tcW w:w="102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3072"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EIA</w:t>
            </w:r>
          </w:p>
        </w:tc>
        <w:tc>
          <w:tcPr>
            <w:tcW w:w="205"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32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i/>
                <w:color w:val="000000"/>
                <w:sz w:val="18"/>
                <w:lang w:val="en-US" w:eastAsia="en-US" w:bidi="ar-SA"/>
              </w:rPr>
              <w:t>Education Improvement Act</w:t>
            </w:r>
            <w:r>
              <w:rPr>
                <w:rFonts w:ascii="arial" w:eastAsia="arial" w:hAnsi="arial" w:cs="arial"/>
                <w:color w:val="000000"/>
                <w:sz w:val="18"/>
                <w:lang w:val="en-US" w:eastAsia="en-US" w:bidi="ar-SA"/>
              </w:rPr>
              <w:t>, S.B.C. 2012, c. 3, Bill 22.</w:t>
            </w:r>
          </w:p>
        </w:tc>
        <w:tc>
          <w:tcPr>
            <w:tcW w:w="102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3072"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i/>
                <w:color w:val="000000"/>
                <w:sz w:val="18"/>
                <w:lang w:val="en-US" w:eastAsia="en-US" w:bidi="ar-SA"/>
              </w:rPr>
              <w:t>ESCAA</w:t>
            </w:r>
          </w:p>
        </w:tc>
        <w:tc>
          <w:tcPr>
            <w:tcW w:w="205"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32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i/>
                <w:color w:val="000000"/>
                <w:sz w:val="18"/>
                <w:lang w:val="en-US" w:eastAsia="en-US" w:bidi="ar-SA"/>
              </w:rPr>
              <w:t>Education Services Collective Agreement Act</w:t>
            </w:r>
            <w:r>
              <w:rPr>
                <w:rFonts w:ascii="arial" w:eastAsia="arial" w:hAnsi="arial" w:cs="arial"/>
                <w:color w:val="000000"/>
                <w:sz w:val="18"/>
                <w:lang w:val="en-US" w:eastAsia="en-US" w:bidi="ar-SA"/>
              </w:rPr>
              <w:t>, S.B.C. 2002, c. 1, Bill 27.</w:t>
            </w:r>
          </w:p>
        </w:tc>
        <w:tc>
          <w:tcPr>
            <w:tcW w:w="102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3072"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K-3</w:t>
            </w:r>
          </w:p>
        </w:tc>
        <w:tc>
          <w:tcPr>
            <w:tcW w:w="205"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32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Memorandum Memorandum of Agreement governing class sizes for kindergarten to Grade 3 class sizes, originally negotiated between BCTF and the government, as part of the AIC in April 1988. An amended K-3 Memorandum of Agreement was negotiated between BCTF and BCPSEA on February 7, 2001. It was incorporated into the 1998-2001 Collective Agreement.</w:t>
            </w:r>
          </w:p>
        </w:tc>
        <w:tc>
          <w:tcPr>
            <w:tcW w:w="102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3072"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LIF</w:t>
            </w:r>
          </w:p>
        </w:tc>
        <w:tc>
          <w:tcPr>
            <w:tcW w:w="205"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32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 xml:space="preserve">"Learning Improvement Fund", enacted via s. 18 of the </w:t>
            </w:r>
            <w:r>
              <w:rPr>
                <w:rFonts w:ascii="arial" w:eastAsia="arial" w:hAnsi="arial" w:cs="arial"/>
                <w:i/>
                <w:color w:val="000000"/>
                <w:sz w:val="18"/>
                <w:lang w:val="en-US" w:eastAsia="en-US" w:bidi="ar-SA"/>
              </w:rPr>
              <w:t>EIA</w:t>
            </w:r>
            <w:r>
              <w:rPr>
                <w:rFonts w:ascii="arial" w:eastAsia="arial" w:hAnsi="arial" w:cs="arial"/>
                <w:color w:val="000000"/>
                <w:sz w:val="18"/>
                <w:lang w:val="en-US" w:eastAsia="en-US" w:bidi="ar-SA"/>
              </w:rPr>
              <w:t xml:space="preserve">, creating s. 115.2 of the </w:t>
            </w:r>
            <w:r>
              <w:rPr>
                <w:rFonts w:ascii="arial" w:eastAsia="arial" w:hAnsi="arial" w:cs="arial"/>
                <w:i/>
                <w:color w:val="000000"/>
                <w:sz w:val="18"/>
                <w:lang w:val="en-US" w:eastAsia="en-US" w:bidi="ar-SA"/>
              </w:rPr>
              <w:t>School Act</w:t>
            </w:r>
            <w:r>
              <w:rPr>
                <w:rFonts w:ascii="arial" w:eastAsia="arial" w:hAnsi="arial" w:cs="arial"/>
                <w:color w:val="000000"/>
                <w:sz w:val="18"/>
                <w:lang w:val="en-US" w:eastAsia="en-US" w:bidi="ar-SA"/>
              </w:rPr>
              <w:t>.</w:t>
            </w:r>
          </w:p>
        </w:tc>
        <w:tc>
          <w:tcPr>
            <w:tcW w:w="102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3072"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LIF</w:t>
            </w:r>
          </w:p>
        </w:tc>
        <w:tc>
          <w:tcPr>
            <w:tcW w:w="205"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32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 xml:space="preserve">Regulation </w:t>
            </w:r>
            <w:r>
              <w:rPr>
                <w:rFonts w:ascii="arial" w:eastAsia="arial" w:hAnsi="arial" w:cs="arial"/>
                <w:i/>
                <w:color w:val="000000"/>
                <w:sz w:val="18"/>
                <w:lang w:val="en-US" w:eastAsia="en-US" w:bidi="ar-SA"/>
              </w:rPr>
              <w:t>Learning Improvement Fund Regulation</w:t>
            </w:r>
            <w:r>
              <w:rPr>
                <w:rFonts w:ascii="arial" w:eastAsia="arial" w:hAnsi="arial" w:cs="arial"/>
                <w:color w:val="000000"/>
                <w:sz w:val="18"/>
                <w:lang w:val="en-US" w:eastAsia="en-US" w:bidi="ar-SA"/>
              </w:rPr>
              <w:t>, B.C. Reg. 103/2012.</w:t>
            </w:r>
          </w:p>
        </w:tc>
        <w:tc>
          <w:tcPr>
            <w:tcW w:w="102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3072"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i/>
                <w:color w:val="000000"/>
                <w:sz w:val="18"/>
                <w:lang w:val="en-US" w:eastAsia="en-US" w:bidi="ar-SA"/>
              </w:rPr>
              <w:t>PEFCA</w:t>
            </w:r>
          </w:p>
        </w:tc>
        <w:tc>
          <w:tcPr>
            <w:tcW w:w="205"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32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i/>
                <w:color w:val="000000"/>
                <w:sz w:val="18"/>
                <w:lang w:val="en-US" w:eastAsia="en-US" w:bidi="ar-SA"/>
              </w:rPr>
              <w:t>Public Education Flexibility and Choice Act</w:t>
            </w:r>
            <w:r>
              <w:rPr>
                <w:rFonts w:ascii="arial" w:eastAsia="arial" w:hAnsi="arial" w:cs="arial"/>
                <w:color w:val="000000"/>
                <w:sz w:val="18"/>
                <w:lang w:val="en-US" w:eastAsia="en-US" w:bidi="ar-SA"/>
              </w:rPr>
              <w:t>, S.B.C. 2002, c. 3, Bill 28.</w:t>
            </w:r>
          </w:p>
        </w:tc>
        <w:tc>
          <w:tcPr>
            <w:tcW w:w="102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3072"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i/>
                <w:color w:val="000000"/>
                <w:sz w:val="18"/>
                <w:lang w:val="en-US" w:eastAsia="en-US" w:bidi="ar-SA"/>
              </w:rPr>
              <w:t>PELRA</w:t>
            </w:r>
          </w:p>
        </w:tc>
        <w:tc>
          <w:tcPr>
            <w:tcW w:w="205"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32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i/>
                <w:color w:val="000000"/>
                <w:sz w:val="18"/>
                <w:lang w:val="en-US" w:eastAsia="en-US" w:bidi="ar-SA"/>
              </w:rPr>
              <w:t>Public Education Labour Relations Act</w:t>
            </w:r>
            <w:r>
              <w:rPr>
                <w:rFonts w:ascii="arial" w:eastAsia="arial" w:hAnsi="arial" w:cs="arial"/>
                <w:color w:val="000000"/>
                <w:sz w:val="18"/>
                <w:lang w:val="en-US" w:eastAsia="en-US" w:bidi="ar-SA"/>
              </w:rPr>
              <w:t>, S.B.C. 1994, c. 21 (now R.S.B.C. 1996, c. 382) enacted on June 10, 1994, designating BCPSEA as the employers' association and BCTF as the teachers' bargaining agent.</w:t>
            </w:r>
          </w:p>
        </w:tc>
        <w:tc>
          <w:tcPr>
            <w:tcW w:w="102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3072"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i/>
                <w:color w:val="000000"/>
                <w:sz w:val="18"/>
                <w:lang w:val="en-US" w:eastAsia="en-US" w:bidi="ar-SA"/>
              </w:rPr>
              <w:t>PSEA</w:t>
            </w:r>
          </w:p>
        </w:tc>
        <w:tc>
          <w:tcPr>
            <w:tcW w:w="205"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32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i/>
                <w:color w:val="000000"/>
                <w:sz w:val="18"/>
                <w:lang w:val="en-US" w:eastAsia="en-US" w:bidi="ar-SA"/>
              </w:rPr>
              <w:t>Public Sector Employers Act</w:t>
            </w:r>
            <w:r>
              <w:rPr>
                <w:rFonts w:ascii="arial" w:eastAsia="arial" w:hAnsi="arial" w:cs="arial"/>
                <w:color w:val="000000"/>
                <w:sz w:val="18"/>
                <w:lang w:val="en-US" w:eastAsia="en-US" w:bidi="ar-SA"/>
              </w:rPr>
              <w:t>, S.B.C. 1993, c. 65 (now R.S.B.C. 1996, c. 384), enacted on July 27, 1993.</w:t>
            </w:r>
          </w:p>
        </w:tc>
        <w:tc>
          <w:tcPr>
            <w:tcW w:w="102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3072"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PSEC</w:t>
            </w:r>
          </w:p>
        </w:tc>
        <w:tc>
          <w:tcPr>
            <w:tcW w:w="205"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32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 xml:space="preserve">Public Sector Employers' Council established under the </w:t>
            </w:r>
            <w:r>
              <w:rPr>
                <w:rFonts w:ascii="arial" w:eastAsia="arial" w:hAnsi="arial" w:cs="arial"/>
                <w:i/>
                <w:color w:val="000000"/>
                <w:sz w:val="18"/>
                <w:lang w:val="en-US" w:eastAsia="en-US" w:bidi="ar-SA"/>
              </w:rPr>
              <w:t>PSEA.</w:t>
            </w:r>
          </w:p>
        </w:tc>
        <w:tc>
          <w:tcPr>
            <w:tcW w:w="102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3072"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i/>
                <w:color w:val="000000"/>
                <w:sz w:val="18"/>
                <w:lang w:val="en-US" w:eastAsia="en-US" w:bidi="ar-SA"/>
              </w:rPr>
              <w:t>School Act</w:t>
            </w:r>
          </w:p>
        </w:tc>
        <w:tc>
          <w:tcPr>
            <w:tcW w:w="205"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32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i/>
                <w:color w:val="000000"/>
                <w:sz w:val="18"/>
                <w:lang w:val="en-US" w:eastAsia="en-US" w:bidi="ar-SA"/>
              </w:rPr>
              <w:t>School Act</w:t>
            </w:r>
            <w:r>
              <w:rPr>
                <w:rFonts w:ascii="arial" w:eastAsia="arial" w:hAnsi="arial" w:cs="arial"/>
                <w:color w:val="000000"/>
                <w:sz w:val="18"/>
                <w:lang w:val="en-US" w:eastAsia="en-US" w:bidi="ar-SA"/>
              </w:rPr>
              <w:t>, R.S.B.C. 1996, c. 412</w:t>
            </w:r>
          </w:p>
        </w:tc>
        <w:tc>
          <w:tcPr>
            <w:tcW w:w="102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307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Working Conditions</w:t>
            </w:r>
          </w:p>
        </w:tc>
        <w:tc>
          <w:tcPr>
            <w:tcW w:w="205"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32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Class size, class composition (the number of students with special needs integrated per class), ratios of non-enrolling teachers to students (teachers not assigned to classrooms, such as librarians, counsellors and special education teachers), and teacher workload.</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32</w:t>
      </w:r>
      <w:r>
        <w:rPr>
          <w:rFonts w:ascii="arial" w:eastAsia="arial" w:hAnsi="arial" w:cs="arial"/>
          <w:color w:val="000000"/>
          <w:sz w:val="20"/>
          <w:lang w:val="en-US" w:eastAsia="en-US" w:bidi="ar-SA"/>
        </w:rPr>
        <w:t>  As well, the following is a very brief chronology of relevant events for context, starting with some points in the chronology set out in the Bill 28 Decision, but expanded after April 2004:</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1150"/>
        <w:gridCol w:w="2091"/>
        <w:gridCol w:w="6169"/>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1126"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1987</w:t>
            </w:r>
          </w:p>
        </w:tc>
        <w:tc>
          <w:tcPr>
            <w:tcW w:w="2048"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604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 xml:space="preserve">Through amendments to the </w:t>
            </w:r>
            <w:r>
              <w:rPr>
                <w:rFonts w:ascii="arial" w:eastAsia="arial" w:hAnsi="arial" w:cs="arial"/>
                <w:i/>
                <w:color w:val="000000"/>
                <w:sz w:val="18"/>
                <w:lang w:val="en-US" w:eastAsia="en-US" w:bidi="ar-SA"/>
              </w:rPr>
              <w:t>Industrial Relations Act,</w:t>
            </w:r>
            <w:r>
              <w:rPr>
                <w:rFonts w:ascii="arial" w:eastAsia="arial" w:hAnsi="arial" w:cs="arial"/>
                <w:color w:val="000000"/>
                <w:sz w:val="18"/>
                <w:lang w:val="en-US" w:eastAsia="en-US" w:bidi="ar-SA"/>
              </w:rPr>
              <w:t xml:space="preserve"> R.S.B.C. 1979, c. 212, and the </w:t>
            </w:r>
            <w:r>
              <w:rPr>
                <w:rFonts w:ascii="arial" w:eastAsia="arial" w:hAnsi="arial" w:cs="arial"/>
                <w:i/>
                <w:color w:val="000000"/>
                <w:sz w:val="18"/>
                <w:lang w:val="en-US" w:eastAsia="en-US" w:bidi="ar-SA"/>
              </w:rPr>
              <w:t>School Act</w:t>
            </w:r>
            <w:r>
              <w:rPr>
                <w:rFonts w:ascii="arial" w:eastAsia="arial" w:hAnsi="arial" w:cs="arial"/>
                <w:color w:val="000000"/>
                <w:sz w:val="18"/>
                <w:lang w:val="en-US" w:eastAsia="en-US" w:bidi="ar-SA"/>
              </w:rPr>
              <w:t>, teachers for the first time gained the right to engage in collective bargaining.</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1882"/>
        <w:gridCol w:w="1359"/>
        <w:gridCol w:w="6169"/>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1843"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1987-1993</w:t>
            </w:r>
          </w:p>
        </w:tc>
        <w:tc>
          <w:tcPr>
            <w:tcW w:w="1331"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604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First period of collective bargaining between local teachers' unions (called associations) and school boards. Several collective agreements were reached during this time period.</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1150"/>
        <w:gridCol w:w="2091"/>
        <w:gridCol w:w="6169"/>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1126"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1993</w:t>
            </w:r>
          </w:p>
        </w:tc>
        <w:tc>
          <w:tcPr>
            <w:tcW w:w="2048"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6042"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The Report of the Korbin Commission was released, recommending changes to the structure of the public sector.</w:t>
            </w:r>
          </w:p>
        </w:tc>
        <w:tc>
          <w:tcPr>
            <w:tcW w:w="102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1126"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1993</w:t>
            </w:r>
          </w:p>
        </w:tc>
        <w:tc>
          <w:tcPr>
            <w:tcW w:w="2048"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604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 xml:space="preserve">The </w:t>
            </w:r>
            <w:r>
              <w:rPr>
                <w:rFonts w:ascii="arial" w:eastAsia="arial" w:hAnsi="arial" w:cs="arial"/>
                <w:i/>
                <w:color w:val="000000"/>
                <w:sz w:val="18"/>
                <w:lang w:val="en-US" w:eastAsia="en-US" w:bidi="ar-SA"/>
              </w:rPr>
              <w:t>PSEA</w:t>
            </w:r>
            <w:r>
              <w:rPr>
                <w:rFonts w:ascii="arial" w:eastAsia="arial" w:hAnsi="arial" w:cs="arial"/>
                <w:color w:val="000000"/>
                <w:sz w:val="18"/>
                <w:lang w:val="en-US" w:eastAsia="en-US" w:bidi="ar-SA"/>
              </w:rPr>
              <w:t xml:space="preserve"> was enacted. It established the PSEC. It mandated that employers' associations be established for six public sector employers. Soon thereafter, BCPSEA was formed as the employers' association for public schools.</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19"/>
        <w:gridCol w:w="2477"/>
        <w:gridCol w:w="238"/>
        <w:gridCol w:w="6090"/>
        <w:gridCol w:w="103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2458"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June 10, 1994</w:t>
            </w:r>
          </w:p>
        </w:tc>
        <w:tc>
          <w:tcPr>
            <w:tcW w:w="102"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6042"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i/>
                <w:color w:val="000000"/>
                <w:sz w:val="18"/>
                <w:lang w:val="en-US" w:eastAsia="en-US" w:bidi="ar-SA"/>
              </w:rPr>
              <w:t>PELRA</w:t>
            </w:r>
            <w:r>
              <w:rPr>
                <w:rFonts w:ascii="arial" w:eastAsia="arial" w:hAnsi="arial" w:cs="arial"/>
                <w:color w:val="000000"/>
                <w:sz w:val="18"/>
                <w:lang w:val="en-US" w:eastAsia="en-US" w:bidi="ar-SA"/>
              </w:rPr>
              <w:t xml:space="preserve"> was enacted, designating BCPSEA as the employers' association for school boards and as bargaining agent. BCTF was designated as the bargaining agent for public school teachers.</w:t>
            </w:r>
          </w:p>
        </w:tc>
        <w:tc>
          <w:tcPr>
            <w:tcW w:w="102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2458"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April 28, 1996</w:t>
            </w:r>
          </w:p>
        </w:tc>
        <w:tc>
          <w:tcPr>
            <w:tcW w:w="102"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6042"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 xml:space="preserve">The </w:t>
            </w:r>
            <w:r>
              <w:rPr>
                <w:rFonts w:ascii="arial" w:eastAsia="arial" w:hAnsi="arial" w:cs="arial"/>
                <w:i/>
                <w:color w:val="000000"/>
                <w:sz w:val="18"/>
                <w:lang w:val="en-US" w:eastAsia="en-US" w:bidi="ar-SA"/>
              </w:rPr>
              <w:t>Education and Health Collective</w:t>
            </w:r>
            <w:r>
              <w:rPr>
                <w:rFonts w:ascii="arial" w:eastAsia="arial" w:hAnsi="arial" w:cs="arial"/>
                <w:color w:val="000000"/>
                <w:sz w:val="18"/>
                <w:lang w:val="en-US" w:eastAsia="en-US" w:bidi="ar-SA"/>
              </w:rPr>
              <w:t xml:space="preserve"> </w:t>
            </w:r>
            <w:r>
              <w:rPr>
                <w:rFonts w:ascii="arial" w:eastAsia="arial" w:hAnsi="arial" w:cs="arial"/>
                <w:i/>
                <w:color w:val="000000"/>
                <w:sz w:val="18"/>
                <w:lang w:val="en-US" w:eastAsia="en-US" w:bidi="ar-SA"/>
              </w:rPr>
              <w:t>Bargaining Assistance Act</w:t>
            </w:r>
            <w:r>
              <w:rPr>
                <w:rFonts w:ascii="arial" w:eastAsia="arial" w:hAnsi="arial" w:cs="arial"/>
                <w:color w:val="000000"/>
                <w:sz w:val="18"/>
                <w:lang w:val="en-US" w:eastAsia="en-US" w:bidi="ar-SA"/>
              </w:rPr>
              <w:t>, S.B.C. 1996, c. 1, came into effect. This allowed for means by which a mediator could impose a collective agreement on the parties.</w:t>
            </w:r>
          </w:p>
        </w:tc>
        <w:tc>
          <w:tcPr>
            <w:tcW w:w="102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2458"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June 17, 1996</w:t>
            </w:r>
          </w:p>
        </w:tc>
        <w:tc>
          <w:tcPr>
            <w:tcW w:w="102"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604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BCPSEA and BCTF concluded the Transitional Collective Agreement in May 1996, with an effective date of June 17, 1996, and expiring on June 30, 1998. It rolled over existing language in the 1993-1994 previous local collective agreements.</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1150"/>
        <w:gridCol w:w="2091"/>
        <w:gridCol w:w="6169"/>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1126"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1998</w:t>
            </w:r>
          </w:p>
        </w:tc>
        <w:tc>
          <w:tcPr>
            <w:tcW w:w="2048"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604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At the invitation of the parties, the government became involved in collective bargaining between BCTF and BCPSEA. Ultimately the government negotiated directly with BCTF.</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19"/>
        <w:gridCol w:w="2477"/>
        <w:gridCol w:w="238"/>
        <w:gridCol w:w="6090"/>
        <w:gridCol w:w="103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2458"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April 17, 1998</w:t>
            </w:r>
          </w:p>
        </w:tc>
        <w:tc>
          <w:tcPr>
            <w:tcW w:w="102"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6042"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The government and BCTF reached an Agreement in Committee ("AIC") including a K-3 Memorandum of Agreement. It provided for a rollover of other terms of previous local agreements bargained during 1988-1994. BCPSEA members voted to reject the AIC.</w:t>
            </w:r>
          </w:p>
        </w:tc>
        <w:tc>
          <w:tcPr>
            <w:tcW w:w="102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2458"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May 4, 1998</w:t>
            </w:r>
          </w:p>
        </w:tc>
        <w:tc>
          <w:tcPr>
            <w:tcW w:w="102"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6042"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BCPSEA, BCTF and the government sign Article A.1, agreeing to continue all of the provisions of the Transitional Collective Agreement, unless amended or modified.</w:t>
            </w:r>
          </w:p>
        </w:tc>
        <w:tc>
          <w:tcPr>
            <w:tcW w:w="102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2458"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June 30, 1998</w:t>
            </w:r>
          </w:p>
        </w:tc>
        <w:tc>
          <w:tcPr>
            <w:tcW w:w="102"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6042"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The Transitional Collective Agreement expired.</w:t>
            </w:r>
          </w:p>
        </w:tc>
        <w:tc>
          <w:tcPr>
            <w:tcW w:w="102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2458"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July 1, 1998</w:t>
            </w:r>
          </w:p>
        </w:tc>
        <w:tc>
          <w:tcPr>
            <w:tcW w:w="102"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6042"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 xml:space="preserve">The </w:t>
            </w:r>
            <w:r>
              <w:rPr>
                <w:rFonts w:ascii="arial" w:eastAsia="arial" w:hAnsi="arial" w:cs="arial"/>
                <w:i/>
                <w:color w:val="000000"/>
                <w:sz w:val="18"/>
                <w:lang w:val="en-US" w:eastAsia="en-US" w:bidi="ar-SA"/>
              </w:rPr>
              <w:t>Public Education Collective Agreement Act</w:t>
            </w:r>
            <w:r>
              <w:rPr>
                <w:rFonts w:ascii="arial" w:eastAsia="arial" w:hAnsi="arial" w:cs="arial"/>
                <w:color w:val="000000"/>
                <w:sz w:val="18"/>
                <w:lang w:val="en-US" w:eastAsia="en-US" w:bidi="ar-SA"/>
              </w:rPr>
              <w:t xml:space="preserve"> was enacted, imposing a collective agreement on the parties. The collective agreement carried forward the terms of the Transitional Collective Agreement, as well as the terms of the AIC and the K-3 Memorandum, for the term July 1, 1998 to June 30, 2001.</w:t>
            </w:r>
          </w:p>
        </w:tc>
        <w:tc>
          <w:tcPr>
            <w:tcW w:w="102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2458"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June 1999</w:t>
            </w:r>
          </w:p>
        </w:tc>
        <w:tc>
          <w:tcPr>
            <w:tcW w:w="102"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6042"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BCPSEA and BCTF signed LOU #3, adding certain common provincial language in the 1998-2001 Collective Agreement dealing with non-enrolling / ESL ratios.</w:t>
            </w:r>
          </w:p>
        </w:tc>
        <w:tc>
          <w:tcPr>
            <w:tcW w:w="102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2458"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June 2000</w:t>
            </w:r>
          </w:p>
        </w:tc>
        <w:tc>
          <w:tcPr>
            <w:tcW w:w="102"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6042"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BCPSEA and BCTF signed LOU #5 revising the ESL ratios in the collective agreement.</w:t>
            </w:r>
          </w:p>
        </w:tc>
        <w:tc>
          <w:tcPr>
            <w:tcW w:w="102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2458"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February 2001</w:t>
            </w:r>
          </w:p>
        </w:tc>
        <w:tc>
          <w:tcPr>
            <w:tcW w:w="102"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6042"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BCPSEA and BCTF signed the 2001 K-3 Memorandum incorporating class size provisions for these grades into the 1998-2001 Collective Agreement.</w:t>
            </w:r>
          </w:p>
        </w:tc>
        <w:tc>
          <w:tcPr>
            <w:tcW w:w="102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2458"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May 10, 2001</w:t>
            </w:r>
          </w:p>
        </w:tc>
        <w:tc>
          <w:tcPr>
            <w:tcW w:w="102"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6042"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 new provincial government was elected.</w:t>
            </w:r>
          </w:p>
        </w:tc>
        <w:tc>
          <w:tcPr>
            <w:tcW w:w="102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2458"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August 16, 2001</w:t>
            </w:r>
          </w:p>
        </w:tc>
        <w:tc>
          <w:tcPr>
            <w:tcW w:w="102"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604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 xml:space="preserve">The </w:t>
            </w:r>
            <w:r>
              <w:rPr>
                <w:rFonts w:ascii="arial" w:eastAsia="arial" w:hAnsi="arial" w:cs="arial"/>
                <w:i/>
                <w:color w:val="000000"/>
                <w:sz w:val="18"/>
                <w:lang w:val="en-US" w:eastAsia="en-US" w:bidi="ar-SA"/>
              </w:rPr>
              <w:t>Skills Development and Labour Statutes Amendment</w:t>
            </w:r>
            <w:r>
              <w:rPr>
                <w:rFonts w:ascii="arial" w:eastAsia="arial" w:hAnsi="arial" w:cs="arial"/>
                <w:color w:val="000000"/>
                <w:sz w:val="18"/>
                <w:lang w:val="en-US" w:eastAsia="en-US" w:bidi="ar-SA"/>
              </w:rPr>
              <w:t xml:space="preserve"> </w:t>
            </w:r>
            <w:r>
              <w:rPr>
                <w:rFonts w:ascii="arial" w:eastAsia="arial" w:hAnsi="arial" w:cs="arial"/>
                <w:i/>
                <w:color w:val="000000"/>
                <w:sz w:val="18"/>
                <w:lang w:val="en-US" w:eastAsia="en-US" w:bidi="ar-SA"/>
              </w:rPr>
              <w:t>Act, 2001</w:t>
            </w:r>
            <w:r>
              <w:rPr>
                <w:rFonts w:ascii="arial" w:eastAsia="arial" w:hAnsi="arial" w:cs="arial"/>
                <w:color w:val="000000"/>
                <w:sz w:val="18"/>
                <w:lang w:val="en-US" w:eastAsia="en-US" w:bidi="ar-SA"/>
              </w:rPr>
              <w:t xml:space="preserve">, S.B.C. 2001, c. 33, was enacted to amend the </w:t>
            </w:r>
            <w:r>
              <w:rPr>
                <w:rFonts w:ascii="arial" w:eastAsia="arial" w:hAnsi="arial" w:cs="arial"/>
                <w:i/>
                <w:color w:val="000000"/>
                <w:sz w:val="18"/>
                <w:lang w:val="en-US" w:eastAsia="en-US" w:bidi="ar-SA"/>
              </w:rPr>
              <w:t>Labour Relations Code</w:t>
            </w:r>
            <w:r>
              <w:rPr>
                <w:rFonts w:ascii="arial" w:eastAsia="arial" w:hAnsi="arial" w:cs="arial"/>
                <w:color w:val="000000"/>
                <w:sz w:val="18"/>
                <w:lang w:val="en-US" w:eastAsia="en-US" w:bidi="ar-SA"/>
              </w:rPr>
              <w:t>, R.S.B.C. 1996, c. 244, to include education as an essential service.</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1150"/>
        <w:gridCol w:w="2091"/>
        <w:gridCol w:w="6169"/>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1126"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2001</w:t>
            </w:r>
          </w:p>
        </w:tc>
        <w:tc>
          <w:tcPr>
            <w:tcW w:w="2048"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604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Period of collective bargaining between BCTF and BCPSEA. BCPSEA was also consulting with new government on potential legislative changes that could reduce the scope of collective bargaining. BCTF was not consulted about the potential legislation.</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2614"/>
        <w:gridCol w:w="6169"/>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2560"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January 27, 2002</w:t>
            </w:r>
          </w:p>
        </w:tc>
        <w:tc>
          <w:tcPr>
            <w:tcW w:w="6042"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 xml:space="preserve">Bill 27, </w:t>
            </w:r>
            <w:r>
              <w:rPr>
                <w:rFonts w:ascii="arial" w:eastAsia="arial" w:hAnsi="arial" w:cs="arial"/>
                <w:i/>
                <w:color w:val="000000"/>
                <w:sz w:val="18"/>
                <w:lang w:val="en-US" w:eastAsia="en-US" w:bidi="ar-SA"/>
              </w:rPr>
              <w:t>ESCAA</w:t>
            </w:r>
            <w:r>
              <w:rPr>
                <w:rFonts w:ascii="arial" w:eastAsia="arial" w:hAnsi="arial" w:cs="arial"/>
                <w:color w:val="000000"/>
                <w:sz w:val="18"/>
                <w:lang w:val="en-US" w:eastAsia="en-US" w:bidi="ar-SA"/>
              </w:rPr>
              <w:t>, was enacted.</w:t>
            </w:r>
          </w:p>
        </w:tc>
        <w:tc>
          <w:tcPr>
            <w:tcW w:w="102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2560"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January 28, 2002</w:t>
            </w:r>
          </w:p>
        </w:tc>
        <w:tc>
          <w:tcPr>
            <w:tcW w:w="604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 xml:space="preserve">Bill 28, </w:t>
            </w:r>
            <w:r>
              <w:rPr>
                <w:rFonts w:ascii="arial" w:eastAsia="arial" w:hAnsi="arial" w:cs="arial"/>
                <w:i/>
                <w:color w:val="000000"/>
                <w:sz w:val="18"/>
                <w:lang w:val="en-US" w:eastAsia="en-US" w:bidi="ar-SA"/>
              </w:rPr>
              <w:t>PEFCA</w:t>
            </w:r>
            <w:r>
              <w:rPr>
                <w:rFonts w:ascii="arial" w:eastAsia="arial" w:hAnsi="arial" w:cs="arial"/>
                <w:color w:val="000000"/>
                <w:sz w:val="18"/>
                <w:lang w:val="en-US" w:eastAsia="en-US" w:bidi="ar-SA"/>
              </w:rPr>
              <w:t>, was enacted.</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19"/>
        <w:gridCol w:w="2477"/>
        <w:gridCol w:w="238"/>
        <w:gridCol w:w="6090"/>
        <w:gridCol w:w="103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2458"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May 30, 2002</w:t>
            </w:r>
          </w:p>
        </w:tc>
        <w:tc>
          <w:tcPr>
            <w:tcW w:w="102"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6042"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 xml:space="preserve">BCTF filed this proceeding [L021662] alleging that teachers' </w:t>
            </w:r>
            <w:r>
              <w:rPr>
                <w:rFonts w:ascii="arial" w:eastAsia="arial" w:hAnsi="arial" w:cs="arial"/>
                <w:i/>
                <w:color w:val="000000"/>
                <w:sz w:val="18"/>
                <w:lang w:val="en-US" w:eastAsia="en-US" w:bidi="ar-SA"/>
              </w:rPr>
              <w:t>Charter-</w:t>
            </w:r>
            <w:r>
              <w:rPr>
                <w:rFonts w:ascii="arial" w:eastAsia="arial" w:hAnsi="arial" w:cs="arial"/>
                <w:color w:val="000000"/>
                <w:sz w:val="18"/>
                <w:lang w:val="en-US" w:eastAsia="en-US" w:bidi="ar-SA"/>
              </w:rPr>
              <w:t xml:space="preserve"> protected rights had been violated with the passage of Bill 27 and Bill 28.</w:t>
            </w:r>
          </w:p>
        </w:tc>
        <w:tc>
          <w:tcPr>
            <w:tcW w:w="102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2458"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August 30, 2002</w:t>
            </w:r>
          </w:p>
        </w:tc>
        <w:tc>
          <w:tcPr>
            <w:tcW w:w="102"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6042"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 xml:space="preserve">Arbitrator issued his decision deleting extensive provisions in the collective agreement, pursuant to s. 27.1 of the </w:t>
            </w:r>
            <w:r>
              <w:rPr>
                <w:rFonts w:ascii="arial" w:eastAsia="arial" w:hAnsi="arial" w:cs="arial"/>
                <w:i/>
                <w:color w:val="000000"/>
                <w:sz w:val="18"/>
                <w:lang w:val="en-US" w:eastAsia="en-US" w:bidi="ar-SA"/>
              </w:rPr>
              <w:t>School Act</w:t>
            </w:r>
            <w:r>
              <w:rPr>
                <w:rFonts w:ascii="arial" w:eastAsia="arial" w:hAnsi="arial" w:cs="arial"/>
                <w:color w:val="000000"/>
                <w:sz w:val="18"/>
                <w:lang w:val="en-US" w:eastAsia="en-US" w:bidi="ar-SA"/>
              </w:rPr>
              <w:t xml:space="preserve">, which was added by s. 9 of </w:t>
            </w:r>
            <w:r>
              <w:rPr>
                <w:rFonts w:ascii="arial" w:eastAsia="arial" w:hAnsi="arial" w:cs="arial"/>
                <w:i/>
                <w:color w:val="000000"/>
                <w:sz w:val="18"/>
                <w:lang w:val="en-US" w:eastAsia="en-US" w:bidi="ar-SA"/>
              </w:rPr>
              <w:t>PEFCA</w:t>
            </w:r>
            <w:r>
              <w:rPr>
                <w:rFonts w:ascii="arial" w:eastAsia="arial" w:hAnsi="arial" w:cs="arial"/>
                <w:color w:val="000000"/>
                <w:sz w:val="18"/>
                <w:lang w:val="en-US" w:eastAsia="en-US" w:bidi="ar-SA"/>
              </w:rPr>
              <w:t>.</w:t>
            </w:r>
          </w:p>
        </w:tc>
        <w:tc>
          <w:tcPr>
            <w:tcW w:w="102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2458"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January 22, 2004</w:t>
            </w:r>
          </w:p>
        </w:tc>
        <w:tc>
          <w:tcPr>
            <w:tcW w:w="102"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6042"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 xml:space="preserve">Shaw J. quashed the arbitrator's decision, in </w:t>
            </w:r>
            <w:r>
              <w:rPr>
                <w:rFonts w:ascii="arial" w:eastAsia="arial" w:hAnsi="arial" w:cs="arial"/>
                <w:i/>
                <w:color w:val="000000"/>
                <w:sz w:val="18"/>
                <w:lang w:val="en-US" w:eastAsia="en-US" w:bidi="ar-SA"/>
              </w:rPr>
              <w:t>British Columbia Teachers' Federation v. British Columbia Public School Employers' Association</w:t>
            </w:r>
            <w:r>
              <w:rPr>
                <w:rFonts w:ascii="arial" w:eastAsia="arial" w:hAnsi="arial" w:cs="arial"/>
                <w:color w:val="000000"/>
                <w:sz w:val="18"/>
                <w:lang w:val="en-US" w:eastAsia="en-US" w:bidi="ar-SA"/>
              </w:rPr>
              <w:t xml:space="preserve">, </w:t>
            </w:r>
            <w:hyperlink r:id="rId853" w:history="1">
              <w:r>
                <w:rPr>
                  <w:rFonts w:ascii="arial" w:eastAsia="arial" w:hAnsi="arial" w:cs="arial"/>
                  <w:i/>
                  <w:color w:val="0077CC"/>
                  <w:sz w:val="18"/>
                  <w:u w:val="single"/>
                  <w:shd w:val="clear" w:color="auto" w:fill="FFFFFF"/>
                  <w:lang w:val="en-US" w:eastAsia="en-US" w:bidi="ar-SA"/>
                </w:rPr>
                <w:t>2004 BCSC 86</w:t>
              </w:r>
            </w:hyperlink>
            <w:r>
              <w:rPr>
                <w:rFonts w:ascii="arial" w:eastAsia="arial" w:hAnsi="arial" w:cs="arial"/>
                <w:color w:val="000000"/>
                <w:sz w:val="18"/>
                <w:lang w:val="en-US" w:eastAsia="en-US" w:bidi="ar-SA"/>
              </w:rPr>
              <w:t>.</w:t>
            </w:r>
          </w:p>
        </w:tc>
        <w:tc>
          <w:tcPr>
            <w:tcW w:w="102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2458"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April 29, 2004</w:t>
            </w:r>
          </w:p>
        </w:tc>
        <w:tc>
          <w:tcPr>
            <w:tcW w:w="102"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604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 xml:space="preserve">The </w:t>
            </w:r>
            <w:r>
              <w:rPr>
                <w:rFonts w:ascii="arial" w:eastAsia="arial" w:hAnsi="arial" w:cs="arial"/>
                <w:i/>
                <w:color w:val="000000"/>
                <w:sz w:val="18"/>
                <w:lang w:val="en-US" w:eastAsia="en-US" w:bidi="ar-SA"/>
              </w:rPr>
              <w:t>Amendment Act</w:t>
            </w:r>
            <w:r>
              <w:rPr>
                <w:rFonts w:ascii="arial" w:eastAsia="arial" w:hAnsi="arial" w:cs="arial"/>
                <w:color w:val="000000"/>
                <w:sz w:val="18"/>
                <w:lang w:val="en-US" w:eastAsia="en-US" w:bidi="ar-SA"/>
              </w:rPr>
              <w:t xml:space="preserve"> was enacted. It effectively restored the arbitrator's decision by deleting all sections of the collective agreement that had been deleted by the arbitrator.</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1150"/>
        <w:gridCol w:w="2091"/>
        <w:gridCol w:w="6169"/>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1126"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2009</w:t>
            </w:r>
          </w:p>
        </w:tc>
        <w:tc>
          <w:tcPr>
            <w:tcW w:w="2048"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604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The government developed a mandate which it gave public sector bargaining agents, known as Mandate 2010. One aspect of Mandate 2010 was known as the "net zero mandate": public sector employers were not to agree to any changes to collective agreements that would result in a net increase in costs to government.</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19"/>
        <w:gridCol w:w="2477"/>
        <w:gridCol w:w="238"/>
        <w:gridCol w:w="6090"/>
        <w:gridCol w:w="103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2458"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March 2011</w:t>
            </w:r>
          </w:p>
        </w:tc>
        <w:tc>
          <w:tcPr>
            <w:tcW w:w="102"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6042"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 round of collective bargaining commences between BCPSEA and BCTF. Mandate 2010 applied. The government had an additional mandate that it asked BCPSEA to achieve in bargaining, seeking concessions from BCTF in favour of greater management rights.</w:t>
            </w:r>
          </w:p>
        </w:tc>
        <w:tc>
          <w:tcPr>
            <w:tcW w:w="102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2458"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April 13, 2011</w:t>
            </w:r>
          </w:p>
        </w:tc>
        <w:tc>
          <w:tcPr>
            <w:tcW w:w="102"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6042"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 xml:space="preserve">The Bill 28 Decision is rendered. It declares ss. 8 and 15 of </w:t>
            </w:r>
            <w:r>
              <w:rPr>
                <w:rFonts w:ascii="arial" w:eastAsia="arial" w:hAnsi="arial" w:cs="arial"/>
                <w:i/>
                <w:color w:val="000000"/>
                <w:sz w:val="18"/>
                <w:lang w:val="en-US" w:eastAsia="en-US" w:bidi="ar-SA"/>
              </w:rPr>
              <w:t>PEFCA</w:t>
            </w:r>
            <w:r>
              <w:rPr>
                <w:rFonts w:ascii="arial" w:eastAsia="arial" w:hAnsi="arial" w:cs="arial"/>
                <w:color w:val="000000"/>
                <w:sz w:val="18"/>
                <w:lang w:val="en-US" w:eastAsia="en-US" w:bidi="ar-SA"/>
              </w:rPr>
              <w:t xml:space="preserve"> and s. 5 of the </w:t>
            </w:r>
            <w:r>
              <w:rPr>
                <w:rFonts w:ascii="arial" w:eastAsia="arial" w:hAnsi="arial" w:cs="arial"/>
                <w:i/>
                <w:color w:val="000000"/>
                <w:sz w:val="18"/>
                <w:lang w:val="en-US" w:eastAsia="en-US" w:bidi="ar-SA"/>
              </w:rPr>
              <w:t>Amendment Act</w:t>
            </w:r>
            <w:r>
              <w:rPr>
                <w:rFonts w:ascii="arial" w:eastAsia="arial" w:hAnsi="arial" w:cs="arial"/>
                <w:color w:val="000000"/>
                <w:sz w:val="18"/>
                <w:lang w:val="en-US" w:eastAsia="en-US" w:bidi="ar-SA"/>
              </w:rPr>
              <w:t xml:space="preserve"> unconstitutional and invalid but suspends the declaration of invalidity for twelve months to allow the government time to address the repercussions of the decision.</w:t>
            </w:r>
          </w:p>
        </w:tc>
        <w:tc>
          <w:tcPr>
            <w:tcW w:w="102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2458"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May-Nov 2011</w:t>
            </w:r>
          </w:p>
        </w:tc>
        <w:tc>
          <w:tcPr>
            <w:tcW w:w="102"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6042"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The government conducts discussions with the BCTF about the repercussions of Bill 28. Paul Straszak leads for the government and Susan Lambert for the BCTF.</w:t>
            </w:r>
          </w:p>
        </w:tc>
        <w:tc>
          <w:tcPr>
            <w:tcW w:w="102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2458"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September 2011</w:t>
            </w:r>
          </w:p>
        </w:tc>
        <w:tc>
          <w:tcPr>
            <w:tcW w:w="102"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6042"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Collective bargaining continues. Teachers commence partial job action, withdrawing some non-essential services.</w:t>
            </w:r>
          </w:p>
        </w:tc>
        <w:tc>
          <w:tcPr>
            <w:tcW w:w="102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2458"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February 28, 2012</w:t>
            </w:r>
          </w:p>
        </w:tc>
        <w:tc>
          <w:tcPr>
            <w:tcW w:w="102"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6042"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 xml:space="preserve">Bill 22, the </w:t>
            </w:r>
            <w:r>
              <w:rPr>
                <w:rFonts w:ascii="arial" w:eastAsia="arial" w:hAnsi="arial" w:cs="arial"/>
                <w:i/>
                <w:color w:val="000000"/>
                <w:sz w:val="18"/>
                <w:lang w:val="en-US" w:eastAsia="en-US" w:bidi="ar-SA"/>
              </w:rPr>
              <w:t>Education Improvement Act</w:t>
            </w:r>
            <w:r>
              <w:rPr>
                <w:rFonts w:ascii="arial" w:eastAsia="arial" w:hAnsi="arial" w:cs="arial"/>
                <w:color w:val="000000"/>
                <w:sz w:val="18"/>
                <w:lang w:val="en-US" w:eastAsia="en-US" w:bidi="ar-SA"/>
              </w:rPr>
              <w:t>, introduced in the legislature.</w:t>
            </w:r>
          </w:p>
        </w:tc>
        <w:tc>
          <w:tcPr>
            <w:tcW w:w="102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2458"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March 15, 2012</w:t>
            </w:r>
          </w:p>
        </w:tc>
        <w:tc>
          <w:tcPr>
            <w:tcW w:w="102"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6042"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Bill 22 is enacted. However, certain sections at issue in the present Bill 22 Action are not brought into force until April 14, 2012.</w:t>
            </w:r>
          </w:p>
        </w:tc>
        <w:tc>
          <w:tcPr>
            <w:tcW w:w="102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2458"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March 28, 2012</w:t>
            </w:r>
          </w:p>
        </w:tc>
        <w:tc>
          <w:tcPr>
            <w:tcW w:w="102"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6042"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The government appoints a mediator, Dr. Charles Jago, in respect of the BCTF-BCPSEA collective bargaining. The mediator's terms are legislatively limited by s. 6(1) of Bill 22.</w:t>
            </w:r>
          </w:p>
        </w:tc>
        <w:tc>
          <w:tcPr>
            <w:tcW w:w="102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2458"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April 14, 2012</w:t>
            </w:r>
          </w:p>
        </w:tc>
        <w:tc>
          <w:tcPr>
            <w:tcW w:w="102"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6042"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The Learning Improvement Act Regulation is brought into force.</w:t>
            </w:r>
          </w:p>
        </w:tc>
        <w:tc>
          <w:tcPr>
            <w:tcW w:w="102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2458"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June 26, 2012</w:t>
            </w:r>
          </w:p>
        </w:tc>
        <w:tc>
          <w:tcPr>
            <w:tcW w:w="102"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6042"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The BCTF and BCPSEA sign a Memorandum of Agreement re changes to the 2006-2011 collective agreement, which Dr. Jago as mediator forwards to the Minister of Education. This is ratified by BCTF members on June 29, 2012.</w:t>
            </w:r>
          </w:p>
        </w:tc>
        <w:tc>
          <w:tcPr>
            <w:tcW w:w="102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2458"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July 1, 2012</w:t>
            </w:r>
          </w:p>
        </w:tc>
        <w:tc>
          <w:tcPr>
            <w:tcW w:w="102"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604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The Class Size and Compensation Regulation is brought into force.</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33</w:t>
      </w:r>
      <w:r>
        <w:rPr>
          <w:rFonts w:ascii="arial" w:eastAsia="arial" w:hAnsi="arial" w:cs="arial"/>
          <w:color w:val="000000"/>
          <w:sz w:val="20"/>
          <w:lang w:val="en-US" w:eastAsia="en-US" w:bidi="ar-SA"/>
        </w:rPr>
        <w:t>  In the present hearing the parties filed affidavit evidence in the Bill 28 Action, but also called evidence in the Bill 22 Action dealing with much of the same subject matter. They conceded that for the most part the oral evidence had overtaken the affidavit evidence. However, the plaintiff does continue to rely on two affidavits in the Bill 28 Action: the Affidavit #2 of Brian Porter sworn May 5, 2010; and the Affidavit #1 of Colleen Hawkey sworn February 5, 2010.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34</w:t>
      </w:r>
      <w:r>
        <w:rPr>
          <w:rFonts w:ascii="arial" w:eastAsia="arial" w:hAnsi="arial" w:cs="arial"/>
          <w:color w:val="000000"/>
          <w:sz w:val="20"/>
          <w:lang w:val="en-US" w:eastAsia="en-US" w:bidi="ar-SA"/>
        </w:rPr>
        <w:t>  The following is a list of the witnesses whose evidence was led at the hearing of the present proceeding, and that person's role at the relevant time: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19"/>
        <w:gridCol w:w="2477"/>
        <w:gridCol w:w="238"/>
        <w:gridCol w:w="6090"/>
        <w:gridCol w:w="103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2458"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Avison, Claire</w:t>
            </w:r>
          </w:p>
        </w:tc>
        <w:tc>
          <w:tcPr>
            <w:tcW w:w="102"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6042"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Assistant Deputy Minister, Ministry of Education (June 2011 - present), and Ministry Representative in post-Bill 28 discussions</w:t>
            </w:r>
          </w:p>
        </w:tc>
        <w:tc>
          <w:tcPr>
            <w:tcW w:w="102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2458"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Davis, Rick</w:t>
            </w:r>
          </w:p>
        </w:tc>
        <w:tc>
          <w:tcPr>
            <w:tcW w:w="102"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6042"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Superintendent, Achievement Division, Ministry of Education (2007 - present), Member of Executive Council, Ministry of Education (2007 - present)</w:t>
            </w:r>
          </w:p>
        </w:tc>
        <w:tc>
          <w:tcPr>
            <w:tcW w:w="102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2458"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Drescher, Peter</w:t>
            </w:r>
          </w:p>
        </w:tc>
        <w:tc>
          <w:tcPr>
            <w:tcW w:w="102"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6042"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Educational Consultant (2010 - present), Deputy Superintendent of the Surrey School District (2001 - 2010)</w:t>
            </w:r>
          </w:p>
        </w:tc>
        <w:tc>
          <w:tcPr>
            <w:tcW w:w="102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2458"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Foster, Doug</w:t>
            </w:r>
          </w:p>
        </w:tc>
        <w:tc>
          <w:tcPr>
            <w:tcW w:w="102"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6042"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Executive Director of Strategic Initiatives, Ministry of Finance (2004 - 2012)</w:t>
            </w:r>
          </w:p>
        </w:tc>
        <w:tc>
          <w:tcPr>
            <w:tcW w:w="102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2458"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Gorman, James</w:t>
            </w:r>
          </w:p>
        </w:tc>
        <w:tc>
          <w:tcPr>
            <w:tcW w:w="102"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6042"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Deputy Minister of Education (January 2008 - June 2013)</w:t>
            </w:r>
          </w:p>
        </w:tc>
        <w:tc>
          <w:tcPr>
            <w:tcW w:w="102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2458"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Hawkey, Colleen</w:t>
            </w:r>
          </w:p>
        </w:tc>
        <w:tc>
          <w:tcPr>
            <w:tcW w:w="102"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6042"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Project Director of Edudata Canada, Senior Researcher for the BCTF (2003 - 2007)</w:t>
            </w:r>
          </w:p>
        </w:tc>
        <w:tc>
          <w:tcPr>
            <w:tcW w:w="102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2458"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Lambert, Susan</w:t>
            </w:r>
          </w:p>
        </w:tc>
        <w:tc>
          <w:tcPr>
            <w:tcW w:w="102"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6042"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President of the BCTF (July 1, 2010 - June 30, 2013)</w:t>
            </w:r>
          </w:p>
        </w:tc>
        <w:tc>
          <w:tcPr>
            <w:tcW w:w="102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2458"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Porter, Brian</w:t>
            </w:r>
          </w:p>
        </w:tc>
        <w:tc>
          <w:tcPr>
            <w:tcW w:w="102"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6042"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Administrative Staff Member (term appointment) of the BCTF (September 2007 - present), Administrative Staff Member of the BCTF and member of BCTF Bargaining Team (1990 - 2006)</w:t>
            </w:r>
          </w:p>
        </w:tc>
        <w:tc>
          <w:tcPr>
            <w:tcW w:w="102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2458"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Strasnak, Paul</w:t>
            </w:r>
          </w:p>
        </w:tc>
        <w:tc>
          <w:tcPr>
            <w:tcW w:w="102"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6042"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CEO of PSEC, Ministry of Public Safety and Solicitor General (June 2009 - September 2012), led government side in post-Bill 28 discussions with BCTF</w:t>
            </w:r>
          </w:p>
        </w:tc>
        <w:tc>
          <w:tcPr>
            <w:tcW w:w="102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2458"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Zacharuk, Christina</w:t>
            </w:r>
          </w:p>
        </w:tc>
        <w:tc>
          <w:tcPr>
            <w:tcW w:w="102"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604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Executive Director of Public Sector Bargaining and Compensation, Public Service Employers' Counsel, Ministry of Public Safety and Solicitor General (2008 - February 2012)</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b/>
          <w:color w:val="000000"/>
          <w:sz w:val="20"/>
          <w:u w:val="single"/>
          <w:lang w:val="en-US" w:eastAsia="en-US" w:bidi="ar-SA"/>
        </w:rPr>
        <w:t xml:space="preserve">Issue 1: What is the Legal Relevance of Government Consultation in the Analysis of s. 2(d) </w:t>
      </w:r>
      <w:r>
        <w:rPr>
          <w:rFonts w:ascii="arial" w:eastAsia="arial" w:hAnsi="arial" w:cs="arial"/>
          <w:b/>
          <w:i/>
          <w:color w:val="000000"/>
          <w:sz w:val="20"/>
          <w:u w:val="single"/>
          <w:lang w:val="en-US" w:eastAsia="en-US" w:bidi="ar-SA"/>
        </w:rPr>
        <w:t>Charter</w:t>
      </w:r>
      <w:r>
        <w:rPr>
          <w:rFonts w:ascii="arial" w:eastAsia="arial" w:hAnsi="arial" w:cs="arial"/>
          <w:b/>
          <w:color w:val="000000"/>
          <w:sz w:val="20"/>
          <w:u w:val="single"/>
          <w:lang w:val="en-US" w:eastAsia="en-US" w:bidi="ar-SA"/>
        </w:rPr>
        <w:t xml:space="preserve"> Protection of Freedom of Association?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35</w:t>
      </w:r>
      <w:r>
        <w:rPr>
          <w:rFonts w:ascii="arial" w:eastAsia="arial" w:hAnsi="arial" w:cs="arial"/>
          <w:color w:val="000000"/>
          <w:sz w:val="20"/>
          <w:lang w:val="en-US" w:eastAsia="en-US" w:bidi="ar-SA"/>
        </w:rPr>
        <w:t xml:space="preserve">  The government submits that pre-legislative consultation is a factor for the court to consider in determining whether or not the Bill 22 Duplicative Provisions are a substantial interference with the collective bargaining freedom of association protected by s. 2(d) of the </w:t>
      </w:r>
      <w:r>
        <w:rPr>
          <w:rFonts w:ascii="arial" w:eastAsia="arial" w:hAnsi="arial" w:cs="arial"/>
          <w:i/>
          <w:color w:val="000000"/>
          <w:sz w:val="20"/>
          <w:lang w:val="en-US" w:eastAsia="en-US" w:bidi="ar-SA"/>
        </w:rPr>
        <w:t>Charter</w:t>
      </w:r>
      <w:r>
        <w:rPr>
          <w:rFonts w:ascii="arial" w:eastAsia="arial" w:hAnsi="arial" w:cs="arial"/>
          <w:color w:val="000000"/>
          <w:sz w:val="20"/>
          <w:lang w:val="en-US" w:eastAsia="en-US" w:bidi="ar-SA"/>
        </w:rPr>
        <w:t>. Since it argues that it consulted with the BCTF prior to Bill 22, it argues that the Bill 22 Duplicative Provisions are not unconstitutional even though the legislation repeats the terms of Bill 28 that were found to be unconstitutional.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36</w:t>
      </w:r>
      <w:r>
        <w:rPr>
          <w:rFonts w:ascii="arial" w:eastAsia="arial" w:hAnsi="arial" w:cs="arial"/>
          <w:color w:val="000000"/>
          <w:sz w:val="20"/>
          <w:lang w:val="en-US" w:eastAsia="en-US" w:bidi="ar-SA"/>
        </w:rPr>
        <w:t xml:space="preserve">  The BCTF argues that pre-legislative consultation can never immunize otherwise unconstitutional legislation from being found to be a violation of </w:t>
      </w:r>
      <w:r>
        <w:rPr>
          <w:rFonts w:ascii="arial" w:eastAsia="arial" w:hAnsi="arial" w:cs="arial"/>
          <w:i/>
          <w:color w:val="000000"/>
          <w:sz w:val="20"/>
          <w:lang w:val="en-US" w:eastAsia="en-US" w:bidi="ar-SA"/>
        </w:rPr>
        <w:t>Charter</w:t>
      </w:r>
      <w:r>
        <w:rPr>
          <w:rFonts w:ascii="arial" w:eastAsia="arial" w:hAnsi="arial" w:cs="arial"/>
          <w:color w:val="000000"/>
          <w:sz w:val="20"/>
          <w:lang w:val="en-US" w:eastAsia="en-US" w:bidi="ar-SA"/>
        </w:rPr>
        <w:t xml:space="preserve"> rights.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37</w:t>
      </w:r>
      <w:r>
        <w:rPr>
          <w:rFonts w:ascii="arial" w:eastAsia="arial" w:hAnsi="arial" w:cs="arial"/>
          <w:color w:val="000000"/>
          <w:sz w:val="20"/>
          <w:lang w:val="en-US" w:eastAsia="en-US" w:bidi="ar-SA"/>
        </w:rPr>
        <w:t xml:space="preserve">  The BCTF does acknowledge that pre-legislation consultation may be relevant to the analysis under s. 1 of the </w:t>
      </w:r>
      <w:r>
        <w:rPr>
          <w:rFonts w:ascii="arial" w:eastAsia="arial" w:hAnsi="arial" w:cs="arial"/>
          <w:i/>
          <w:color w:val="000000"/>
          <w:sz w:val="20"/>
          <w:lang w:val="en-US" w:eastAsia="en-US" w:bidi="ar-SA"/>
        </w:rPr>
        <w:t>Charter</w:t>
      </w:r>
      <w:r>
        <w:rPr>
          <w:rFonts w:ascii="arial" w:eastAsia="arial" w:hAnsi="arial" w:cs="arial"/>
          <w:color w:val="000000"/>
          <w:sz w:val="20"/>
          <w:lang w:val="en-US" w:eastAsia="en-US" w:bidi="ar-SA"/>
        </w:rPr>
        <w:t xml:space="preserve"> as to whether or not the legislation amounts to minimal impairment of the right. It says that does not apply here when the Court already found that the virtually identical legislation in Bill 28 was not minimal impairment.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38</w:t>
      </w:r>
      <w:r>
        <w:rPr>
          <w:rFonts w:ascii="arial" w:eastAsia="arial" w:hAnsi="arial" w:cs="arial"/>
          <w:color w:val="000000"/>
          <w:sz w:val="20"/>
          <w:lang w:val="en-US" w:eastAsia="en-US" w:bidi="ar-SA"/>
        </w:rPr>
        <w:t xml:space="preserve">  To analyze this issue on the legal relevance of consultation it is necessary to turn to the Supreme Court of Canada's decisions in </w:t>
      </w:r>
      <w:r>
        <w:rPr>
          <w:rFonts w:ascii="arial" w:eastAsia="arial" w:hAnsi="arial" w:cs="arial"/>
          <w:i/>
          <w:color w:val="000000"/>
          <w:sz w:val="20"/>
          <w:lang w:val="en-US" w:eastAsia="en-US" w:bidi="ar-SA"/>
        </w:rPr>
        <w:t>Health Services</w:t>
      </w:r>
      <w:r>
        <w:rPr>
          <w:rFonts w:ascii="arial" w:eastAsia="arial" w:hAnsi="arial" w:cs="arial"/>
          <w:color w:val="000000"/>
          <w:sz w:val="20"/>
          <w:lang w:val="en-US" w:eastAsia="en-US" w:bidi="ar-SA"/>
        </w:rPr>
        <w:t xml:space="preserve"> and </w:t>
      </w:r>
      <w:r>
        <w:rPr>
          <w:rFonts w:ascii="arial" w:eastAsia="arial" w:hAnsi="arial" w:cs="arial"/>
          <w:i/>
          <w:color w:val="000000"/>
          <w:sz w:val="20"/>
          <w:lang w:val="en-US" w:eastAsia="en-US" w:bidi="ar-SA"/>
        </w:rPr>
        <w:t>Fraser</w:t>
      </w:r>
      <w:r>
        <w:rPr>
          <w:rFonts w:ascii="arial" w:eastAsia="arial" w:hAnsi="arial" w:cs="arial"/>
          <w:color w:val="000000"/>
          <w:sz w:val="20"/>
          <w:lang w:val="en-US" w:eastAsia="en-US" w:bidi="ar-SA"/>
        </w:rPr>
        <w: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 xml:space="preserve">The </w:t>
      </w:r>
      <w:r>
        <w:rPr>
          <w:rFonts w:ascii="arial" w:eastAsia="arial" w:hAnsi="arial" w:cs="arial"/>
          <w:b/>
          <w:i/>
          <w:color w:val="000000"/>
          <w:sz w:val="20"/>
          <w:lang w:val="en-US" w:eastAsia="en-US" w:bidi="ar-SA"/>
        </w:rPr>
        <w:t>Health Services</w:t>
      </w:r>
      <w:r>
        <w:rPr>
          <w:rFonts w:ascii="arial" w:eastAsia="arial" w:hAnsi="arial" w:cs="arial"/>
          <w:b/>
          <w:color w:val="000000"/>
          <w:sz w:val="20"/>
          <w:lang w:val="en-US" w:eastAsia="en-US" w:bidi="ar-SA"/>
        </w:rPr>
        <w:t xml:space="preserve"> Decision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39</w:t>
      </w:r>
      <w:r>
        <w:rPr>
          <w:rFonts w:ascii="arial" w:eastAsia="arial" w:hAnsi="arial" w:cs="arial"/>
          <w:color w:val="000000"/>
          <w:sz w:val="20"/>
          <w:lang w:val="en-US" w:eastAsia="en-US" w:bidi="ar-SA"/>
        </w:rPr>
        <w:t>  In 2002, the provincial government of British Columbia passed Bills 27, 28 and 29 affecting public sector unionized workers and their collective agreements. Bills 27 and 28 are the Bills affecting the teachers, and the subject of the Bill 28 Decision.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40</w:t>
      </w:r>
      <w:r>
        <w:rPr>
          <w:rFonts w:ascii="arial" w:eastAsia="arial" w:hAnsi="arial" w:cs="arial"/>
          <w:color w:val="000000"/>
          <w:sz w:val="20"/>
          <w:lang w:val="en-US" w:eastAsia="en-US" w:bidi="ar-SA"/>
        </w:rPr>
        <w:t>  The legislation was two-pronged:</w:t>
      </w:r>
      <w:r>
        <w:rPr>
          <w:rFonts w:ascii="arial" w:eastAsia="arial" w:hAnsi="arial" w:cs="arial"/>
          <w:sz w:val="20"/>
          <w:lang w:val="en-US" w:eastAsia="en-US" w:bidi="ar-SA"/>
        </w:rPr>
        <w:cr/>
      </w:r>
    </w:p>
    <w:p>
      <w:pPr>
        <w:numPr>
          <w:numId w:val="16"/>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first, the legislation invalidated existing terms of collective agreements; and,</w:t>
      </w:r>
    </w:p>
    <w:p>
      <w:pPr>
        <w:numPr>
          <w:numId w:val="17"/>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second, the legislation prohibited including any terms in future collective agreements dealing with the same subject matters.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41</w:t>
      </w:r>
      <w:r>
        <w:rPr>
          <w:rFonts w:ascii="arial" w:eastAsia="arial" w:hAnsi="arial" w:cs="arial"/>
          <w:color w:val="000000"/>
          <w:sz w:val="20"/>
          <w:lang w:val="en-US" w:eastAsia="en-US" w:bidi="ar-SA"/>
        </w:rPr>
        <w:t xml:space="preserve">  Bill 29 affected several unions in the health sector. Those unions challenged the legislation as unconstitutional because it infringed their members' rights to freedom of association protected by s. 2(d) of the </w:t>
      </w:r>
      <w:r>
        <w:rPr>
          <w:rFonts w:ascii="arial" w:eastAsia="arial" w:hAnsi="arial" w:cs="arial"/>
          <w:i/>
          <w:color w:val="000000"/>
          <w:sz w:val="20"/>
          <w:lang w:val="en-US" w:eastAsia="en-US" w:bidi="ar-SA"/>
        </w:rPr>
        <w:t>Charter</w:t>
      </w:r>
      <w:r>
        <w:rPr>
          <w:rFonts w:ascii="arial" w:eastAsia="arial" w:hAnsi="arial" w:cs="arial"/>
          <w:color w:val="000000"/>
          <w:sz w:val="20"/>
          <w:lang w:val="en-US" w:eastAsia="en-US" w:bidi="ar-SA"/>
        </w:rPr>
        <w:t xml:space="preserve">. The unions' challenge to the legislation ultimately succeeded in the landmark decision of the Supreme Court of Canada in </w:t>
      </w:r>
      <w:r>
        <w:rPr>
          <w:rFonts w:ascii="arial" w:eastAsia="arial" w:hAnsi="arial" w:cs="arial"/>
          <w:i/>
          <w:color w:val="000000"/>
          <w:sz w:val="20"/>
          <w:lang w:val="en-US" w:eastAsia="en-US" w:bidi="ar-SA"/>
        </w:rPr>
        <w:t>Health Services</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42</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Health Services</w:t>
      </w:r>
      <w:r>
        <w:rPr>
          <w:rFonts w:ascii="arial" w:eastAsia="arial" w:hAnsi="arial" w:cs="arial"/>
          <w:color w:val="000000"/>
          <w:sz w:val="20"/>
          <w:lang w:val="en-US" w:eastAsia="en-US" w:bidi="ar-SA"/>
        </w:rPr>
        <w:t xml:space="preserve"> the Court asked the question of whether the </w:t>
      </w:r>
      <w:r>
        <w:rPr>
          <w:rFonts w:ascii="arial" w:eastAsia="arial" w:hAnsi="arial" w:cs="arial"/>
          <w:i/>
          <w:color w:val="000000"/>
          <w:sz w:val="20"/>
          <w:lang w:val="en-US" w:eastAsia="en-US" w:bidi="ar-SA"/>
        </w:rPr>
        <w:t>Charter</w:t>
      </w:r>
      <w:r>
        <w:rPr>
          <w:rFonts w:ascii="arial" w:eastAsia="arial" w:hAnsi="arial" w:cs="arial"/>
          <w:color w:val="000000"/>
          <w:sz w:val="20"/>
          <w:lang w:val="en-US" w:eastAsia="en-US" w:bidi="ar-SA"/>
        </w:rPr>
        <w:t xml:space="preserve"> s. 2(d) guarantee of freedom of association "extends to the right of employees to join together in a union to negotiate with employers on workplace issues or terms of employment -- a process described broadly as collective bargaining" (at para. 38). The question was answered affirmatively, at para. 86:</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We conclude that the protection of collective bargaining under s. 2(</w:t>
      </w:r>
      <w:r>
        <w:rPr>
          <w:rFonts w:ascii="arial" w:eastAsia="arial" w:hAnsi="arial" w:cs="arial"/>
          <w:i/>
          <w:color w:val="000000"/>
          <w:sz w:val="20"/>
          <w:lang w:val="en-US" w:eastAsia="en-US" w:bidi="ar-SA"/>
        </w:rPr>
        <w:t>d</w:t>
      </w:r>
      <w:r>
        <w:rPr>
          <w:rFonts w:ascii="arial" w:eastAsia="arial" w:hAnsi="arial" w:cs="arial"/>
          <w:color w:val="000000"/>
          <w:sz w:val="20"/>
          <w:lang w:val="en-US" w:eastAsia="en-US" w:bidi="ar-SA"/>
        </w:rPr>
        <w:t xml:space="preserve">) of the </w:t>
      </w:r>
      <w:r>
        <w:rPr>
          <w:rFonts w:ascii="arial" w:eastAsia="arial" w:hAnsi="arial" w:cs="arial"/>
          <w:i/>
          <w:color w:val="000000"/>
          <w:sz w:val="20"/>
          <w:lang w:val="en-US" w:eastAsia="en-US" w:bidi="ar-SA"/>
        </w:rPr>
        <w:t>Charter</w:t>
      </w:r>
      <w:r>
        <w:rPr>
          <w:rFonts w:ascii="arial" w:eastAsia="arial" w:hAnsi="arial" w:cs="arial"/>
          <w:color w:val="000000"/>
          <w:sz w:val="20"/>
          <w:lang w:val="en-US" w:eastAsia="en-US" w:bidi="ar-SA"/>
        </w:rPr>
        <w:t xml:space="preserve"> is consistent with and supportive of the values underlying the </w:t>
      </w:r>
      <w:r>
        <w:rPr>
          <w:rFonts w:ascii="arial" w:eastAsia="arial" w:hAnsi="arial" w:cs="arial"/>
          <w:i/>
          <w:color w:val="000000"/>
          <w:sz w:val="20"/>
          <w:lang w:val="en-US" w:eastAsia="en-US" w:bidi="ar-SA"/>
        </w:rPr>
        <w:t>Charter</w:t>
      </w:r>
      <w:r>
        <w:rPr>
          <w:rFonts w:ascii="arial" w:eastAsia="arial" w:hAnsi="arial" w:cs="arial"/>
          <w:color w:val="000000"/>
          <w:sz w:val="20"/>
          <w:lang w:val="en-US" w:eastAsia="en-US" w:bidi="ar-SA"/>
        </w:rPr>
        <w:t xml:space="preserve"> and the purposes of the </w:t>
      </w:r>
      <w:r>
        <w:rPr>
          <w:rFonts w:ascii="arial" w:eastAsia="arial" w:hAnsi="arial" w:cs="arial"/>
          <w:i/>
          <w:color w:val="000000"/>
          <w:sz w:val="20"/>
          <w:lang w:val="en-US" w:eastAsia="en-US" w:bidi="ar-SA"/>
        </w:rPr>
        <w:t>Charter</w:t>
      </w:r>
      <w:r>
        <w:rPr>
          <w:rFonts w:ascii="arial" w:eastAsia="arial" w:hAnsi="arial" w:cs="arial"/>
          <w:color w:val="000000"/>
          <w:sz w:val="20"/>
          <w:lang w:val="en-US" w:eastAsia="en-US" w:bidi="ar-SA"/>
        </w:rPr>
        <w:t xml:space="preserve"> as a whole. Recognizing that workers have the right to bargain collectively as part of their freedom to associate reaffirms the values of dignity, personal autonomy, equality and democracy that are inherent in the </w:t>
      </w:r>
      <w:r>
        <w:rPr>
          <w:rFonts w:ascii="arial" w:eastAsia="arial" w:hAnsi="arial" w:cs="arial"/>
          <w:i/>
          <w:color w:val="000000"/>
          <w:sz w:val="20"/>
          <w:lang w:val="en-US" w:eastAsia="en-US" w:bidi="ar-SA"/>
        </w:rPr>
        <w:t>Charter</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43</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Health Services</w:t>
      </w:r>
      <w:r>
        <w:rPr>
          <w:rFonts w:ascii="arial" w:eastAsia="arial" w:hAnsi="arial" w:cs="arial"/>
          <w:color w:val="000000"/>
          <w:sz w:val="20"/>
          <w:lang w:val="en-US" w:eastAsia="en-US" w:bidi="ar-SA"/>
        </w:rPr>
        <w:t xml:space="preserve"> the Supreme Court of Canada reviewed the history of collective bargaining rights in Canada and internationally.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44</w:t>
      </w:r>
      <w:r>
        <w:rPr>
          <w:rFonts w:ascii="arial" w:eastAsia="arial" w:hAnsi="arial" w:cs="arial"/>
          <w:color w:val="000000"/>
          <w:sz w:val="20"/>
          <w:lang w:val="en-US" w:eastAsia="en-US" w:bidi="ar-SA"/>
        </w:rPr>
        <w:t xml:space="preserve">  As reviewed in </w:t>
      </w:r>
      <w:r>
        <w:rPr>
          <w:rFonts w:ascii="arial" w:eastAsia="arial" w:hAnsi="arial" w:cs="arial"/>
          <w:i/>
          <w:color w:val="000000"/>
          <w:sz w:val="20"/>
          <w:lang w:val="en-US" w:eastAsia="en-US" w:bidi="ar-SA"/>
        </w:rPr>
        <w:t>Health Services</w:t>
      </w:r>
      <w:r>
        <w:rPr>
          <w:rFonts w:ascii="arial" w:eastAsia="arial" w:hAnsi="arial" w:cs="arial"/>
          <w:color w:val="000000"/>
          <w:sz w:val="20"/>
          <w:lang w:val="en-US" w:eastAsia="en-US" w:bidi="ar-SA"/>
        </w:rPr>
        <w:t xml:space="preserve"> at paras. 45-53, workers' attempts to organize in order to improve their working conditions date back to the late Middle Ages in England, and to the fur trade in Canada. In the 18th and 19th centuries, laws were passed to criminalize workers organizations as being in restraint of trade or part of a criminal conspiracy. When more workers were given the right to vote through suffrage reforms, the laws gradually began to change. In Canada, a strike by typographers in Toronto in 1872, calling for a nine-hour work day, led to arrests and criminal charges. The public concern about this led to legislative reform, de-criminalizing union efforts to improve workers' conditions of employment.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45</w:t>
      </w:r>
      <w:r>
        <w:rPr>
          <w:rFonts w:ascii="arial" w:eastAsia="arial" w:hAnsi="arial" w:cs="arial"/>
          <w:color w:val="000000"/>
          <w:sz w:val="20"/>
          <w:lang w:val="en-US" w:eastAsia="en-US" w:bidi="ar-SA"/>
        </w:rPr>
        <w:t xml:space="preserve">  Over time the protection of workers' rights to associate to influence working conditions has been seen as enhancing democracy. As quoted in </w:t>
      </w:r>
      <w:r>
        <w:rPr>
          <w:rFonts w:ascii="arial" w:eastAsia="arial" w:hAnsi="arial" w:cs="arial"/>
          <w:i/>
          <w:color w:val="000000"/>
          <w:sz w:val="20"/>
          <w:lang w:val="en-US" w:eastAsia="en-US" w:bidi="ar-SA"/>
        </w:rPr>
        <w:t>Health Services</w:t>
      </w:r>
      <w:r>
        <w:rPr>
          <w:rFonts w:ascii="arial" w:eastAsia="arial" w:hAnsi="arial" w:cs="arial"/>
          <w:color w:val="000000"/>
          <w:sz w:val="20"/>
          <w:lang w:val="en-US" w:eastAsia="en-US" w:bidi="ar-SA"/>
        </w:rPr>
        <w:t xml:space="preserve"> at para. 57:</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scholars have subsequently seen in collective bargaining "the means of establishing industrial democracy, ... the means of providing for the workers' lives in industry the sense of worth, of freedom, and of participation that democratic government promises them as citizens."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([Karl E. Klare,] "Judicial Deradicalization of the Wagner Act and the Origins of Modern Legal Consciousness, 1937-1941" (1978), 62 Minn. L. Rev. 265, at pp. 281-84)</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46</w:t>
      </w:r>
      <w:r>
        <w:rPr>
          <w:rFonts w:ascii="arial" w:eastAsia="arial" w:hAnsi="arial" w:cs="arial"/>
          <w:color w:val="000000"/>
          <w:sz w:val="20"/>
          <w:lang w:val="en-US" w:eastAsia="en-US" w:bidi="ar-SA"/>
        </w:rPr>
        <w:t xml:space="preserve">  As explained in </w:t>
      </w:r>
      <w:r>
        <w:rPr>
          <w:rFonts w:ascii="arial" w:eastAsia="arial" w:hAnsi="arial" w:cs="arial"/>
          <w:i/>
          <w:color w:val="000000"/>
          <w:sz w:val="20"/>
          <w:lang w:val="en-US" w:eastAsia="en-US" w:bidi="ar-SA"/>
        </w:rPr>
        <w:t>Health Services</w:t>
      </w:r>
      <w:r>
        <w:rPr>
          <w:rFonts w:ascii="arial" w:eastAsia="arial" w:hAnsi="arial" w:cs="arial"/>
          <w:color w:val="000000"/>
          <w:sz w:val="20"/>
          <w:lang w:val="en-US" w:eastAsia="en-US" w:bidi="ar-SA"/>
        </w:rPr>
        <w:t xml:space="preserve">, when the </w:t>
      </w:r>
      <w:r>
        <w:rPr>
          <w:rFonts w:ascii="arial" w:eastAsia="arial" w:hAnsi="arial" w:cs="arial"/>
          <w:i/>
          <w:color w:val="000000"/>
          <w:sz w:val="20"/>
          <w:lang w:val="en-US" w:eastAsia="en-US" w:bidi="ar-SA"/>
        </w:rPr>
        <w:t>Charter</w:t>
      </w:r>
      <w:r>
        <w:rPr>
          <w:rFonts w:ascii="arial" w:eastAsia="arial" w:hAnsi="arial" w:cs="arial"/>
          <w:color w:val="000000"/>
          <w:sz w:val="20"/>
          <w:lang w:val="en-US" w:eastAsia="en-US" w:bidi="ar-SA"/>
        </w:rPr>
        <w:t xml:space="preserve"> was enacted by Parliament in 1982, the concept of freedom of association encompassing collective bargaining had a long tradition in Canada (at para. 64-65). Collective bargaining was seen as fulfilling an important social purpose, by providing a means to promote the common well-being. Collective bargaining is a means of providing equality in the workplace, diminishing the arbitrary power of the employer and allowing workers a means to protect themselves from unfair or unsafe work conditions (at para. 84).</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47</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Health Services</w:t>
      </w:r>
      <w:r>
        <w:rPr>
          <w:rFonts w:ascii="arial" w:eastAsia="arial" w:hAnsi="arial" w:cs="arial"/>
          <w:color w:val="000000"/>
          <w:sz w:val="20"/>
          <w:lang w:val="en-US" w:eastAsia="en-US" w:bidi="ar-SA"/>
        </w:rPr>
        <w:t>, some of the collective agreement terms that were invalidated and the subject matters that were prohibited from future collective agreements due to the challenged legislation, had to do with contracting out, layoffs, and bumping (or seniority rights). The Supreme Court of Canada found that this constituted "substantial interference" with the workers' s. 2(d) right of freedom of association.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48</w:t>
      </w:r>
      <w:r>
        <w:rPr>
          <w:rFonts w:ascii="arial" w:eastAsia="arial" w:hAnsi="arial" w:cs="arial"/>
          <w:color w:val="000000"/>
          <w:sz w:val="20"/>
          <w:lang w:val="en-US" w:eastAsia="en-US" w:bidi="ar-SA"/>
        </w:rPr>
        <w:t xml:space="preserve">  Further the Supreme Court of Canada in </w:t>
      </w:r>
      <w:r>
        <w:rPr>
          <w:rFonts w:ascii="arial" w:eastAsia="arial" w:hAnsi="arial" w:cs="arial"/>
          <w:i/>
          <w:color w:val="000000"/>
          <w:sz w:val="20"/>
          <w:lang w:val="en-US" w:eastAsia="en-US" w:bidi="ar-SA"/>
        </w:rPr>
        <w:t>Health Services</w:t>
      </w:r>
      <w:r>
        <w:rPr>
          <w:rFonts w:ascii="arial" w:eastAsia="arial" w:hAnsi="arial" w:cs="arial"/>
          <w:color w:val="000000"/>
          <w:sz w:val="20"/>
          <w:lang w:val="en-US" w:eastAsia="en-US" w:bidi="ar-SA"/>
        </w:rPr>
        <w:t xml:space="preserve"> found that some other terms invalidated by the legislation, relating to transfers and reassignments, were "relatively minor" (para. 131) and were replaced with legislation containing similar employee protections (para. 118). The legislative override of these terms was found not to be "substantial interference" with the unions' ability to engage in collective bargaining.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49</w:t>
      </w:r>
      <w:r>
        <w:rPr>
          <w:rFonts w:ascii="arial" w:eastAsia="arial" w:hAnsi="arial" w:cs="arial"/>
          <w:color w:val="000000"/>
          <w:sz w:val="20"/>
          <w:lang w:val="en-US" w:eastAsia="en-US" w:bidi="ar-SA"/>
        </w:rPr>
        <w:t xml:space="preserve">  The Court in </w:t>
      </w:r>
      <w:r>
        <w:rPr>
          <w:rFonts w:ascii="arial" w:eastAsia="arial" w:hAnsi="arial" w:cs="arial"/>
          <w:i/>
          <w:color w:val="000000"/>
          <w:sz w:val="20"/>
          <w:lang w:val="en-US" w:eastAsia="en-US" w:bidi="ar-SA"/>
        </w:rPr>
        <w:t>Health Services</w:t>
      </w:r>
      <w:r>
        <w:rPr>
          <w:rFonts w:ascii="arial" w:eastAsia="arial" w:hAnsi="arial" w:cs="arial"/>
          <w:color w:val="000000"/>
          <w:sz w:val="20"/>
          <w:lang w:val="en-US" w:eastAsia="en-US" w:bidi="ar-SA"/>
        </w:rPr>
        <w:t xml:space="preserve"> acknowledged that actions by the government which can be challenged as violating the right to collective bargaining can either be actions as employer of public sector employees; or actions as legislator in enacting legislation. It noted that the conduct at issue in the case was legislative, not that the government violated s. 2(d) as employer (at para. 88).</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50</w:t>
      </w:r>
      <w:r>
        <w:rPr>
          <w:rFonts w:ascii="arial" w:eastAsia="arial" w:hAnsi="arial" w:cs="arial"/>
          <w:color w:val="000000"/>
          <w:sz w:val="20"/>
          <w:lang w:val="en-US" w:eastAsia="en-US" w:bidi="ar-SA"/>
        </w:rPr>
        <w:t xml:space="preserve">  The fact that the government was not the employer in </w:t>
      </w:r>
      <w:r>
        <w:rPr>
          <w:rFonts w:ascii="arial" w:eastAsia="arial" w:hAnsi="arial" w:cs="arial"/>
          <w:i/>
          <w:color w:val="000000"/>
          <w:sz w:val="20"/>
          <w:lang w:val="en-US" w:eastAsia="en-US" w:bidi="ar-SA"/>
        </w:rPr>
        <w:t>Health Services</w:t>
      </w:r>
      <w:r>
        <w:rPr>
          <w:rFonts w:ascii="arial" w:eastAsia="arial" w:hAnsi="arial" w:cs="arial"/>
          <w:color w:val="000000"/>
          <w:sz w:val="20"/>
          <w:lang w:val="en-US" w:eastAsia="en-US" w:bidi="ar-SA"/>
        </w:rPr>
        <w:t xml:space="preserve"> was one reason that some of the legislation was found not to be an interference with collective bargaining. Legislation which abolished government programs was not unconstitutional because the government was not the employer, and so these programs were outside of the collective bargaining process (at para. 125).</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51</w:t>
      </w:r>
      <w:r>
        <w:rPr>
          <w:rFonts w:ascii="arial" w:eastAsia="arial" w:hAnsi="arial" w:cs="arial"/>
          <w:color w:val="000000"/>
          <w:sz w:val="20"/>
          <w:lang w:val="en-US" w:eastAsia="en-US" w:bidi="ar-SA"/>
        </w:rPr>
        <w:t xml:space="preserve">  Nevertheless, the Court in </w:t>
      </w:r>
      <w:r>
        <w:rPr>
          <w:rFonts w:ascii="arial" w:eastAsia="arial" w:hAnsi="arial" w:cs="arial"/>
          <w:i/>
          <w:color w:val="000000"/>
          <w:sz w:val="20"/>
          <w:lang w:val="en-US" w:eastAsia="en-US" w:bidi="ar-SA"/>
        </w:rPr>
        <w:t>Health Services</w:t>
      </w:r>
      <w:r>
        <w:rPr>
          <w:rFonts w:ascii="arial" w:eastAsia="arial" w:hAnsi="arial" w:cs="arial"/>
          <w:color w:val="000000"/>
          <w:sz w:val="20"/>
          <w:lang w:val="en-US" w:eastAsia="en-US" w:bidi="ar-SA"/>
        </w:rPr>
        <w:t xml:space="preserve"> set out the general legal principles which would apply to both types of government conduct, as employer or as legislator. At para. 89 the Court held: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the constitutional right to collective bargaining concerns the protection of the ability of workers to engage in associational activities, and their capacity to act in common to reach shared goals related to workplace issues and terms of employment. In brief, the protected activity might be described as employees banding together to achieve particular work-related objectives. Section 2(</w:t>
      </w:r>
      <w:r>
        <w:rPr>
          <w:rFonts w:ascii="arial" w:eastAsia="arial" w:hAnsi="arial" w:cs="arial"/>
          <w:i/>
          <w:color w:val="000000"/>
          <w:sz w:val="20"/>
          <w:lang w:val="en-US" w:eastAsia="en-US" w:bidi="ar-SA"/>
        </w:rPr>
        <w:t>d</w:t>
      </w:r>
      <w:r>
        <w:rPr>
          <w:rFonts w:ascii="arial" w:eastAsia="arial" w:hAnsi="arial" w:cs="arial"/>
          <w:color w:val="000000"/>
          <w:sz w:val="20"/>
          <w:lang w:val="en-US" w:eastAsia="en-US" w:bidi="ar-SA"/>
        </w:rPr>
        <w:t xml:space="preserve">) does not guarantee the particular objectives sought through this associational activity. However, it guarantees the process through which those goals are pursued. </w:t>
      </w:r>
      <w:r>
        <w:rPr>
          <w:rFonts w:ascii="arial" w:eastAsia="arial" w:hAnsi="arial" w:cs="arial"/>
          <w:color w:val="000000"/>
          <w:sz w:val="20"/>
          <w:u w:val="single"/>
          <w:lang w:val="en-US" w:eastAsia="en-US" w:bidi="ar-SA"/>
        </w:rPr>
        <w:t>It means that employees have the right to unite, to present demands to</w:t>
      </w:r>
      <w:r>
        <w:rPr>
          <w:rFonts w:ascii="arial" w:eastAsia="arial" w:hAnsi="arial" w:cs="arial"/>
          <w:color w:val="000000"/>
          <w:sz w:val="20"/>
          <w:lang w:val="en-US" w:eastAsia="en-US" w:bidi="ar-SA"/>
        </w:rPr>
        <w:t xml:space="preserve"> health sector </w:t>
      </w:r>
      <w:r>
        <w:rPr>
          <w:rFonts w:ascii="arial" w:eastAsia="arial" w:hAnsi="arial" w:cs="arial"/>
          <w:color w:val="000000"/>
          <w:sz w:val="20"/>
          <w:u w:val="single"/>
          <w:lang w:val="en-US" w:eastAsia="en-US" w:bidi="ar-SA"/>
        </w:rPr>
        <w:t>employers collectively and to engage in discussions in an attempt to achieve workplace-related goals. Section 2(</w:t>
      </w:r>
      <w:r>
        <w:rPr>
          <w:rFonts w:ascii="arial" w:eastAsia="arial" w:hAnsi="arial" w:cs="arial"/>
          <w:i/>
          <w:color w:val="000000"/>
          <w:sz w:val="20"/>
          <w:u w:val="single"/>
          <w:lang w:val="en-US" w:eastAsia="en-US" w:bidi="ar-SA"/>
        </w:rPr>
        <w:t>d</w:t>
      </w:r>
      <w:r>
        <w:rPr>
          <w:rFonts w:ascii="arial" w:eastAsia="arial" w:hAnsi="arial" w:cs="arial"/>
          <w:color w:val="000000"/>
          <w:sz w:val="20"/>
          <w:u w:val="single"/>
          <w:lang w:val="en-US" w:eastAsia="en-US" w:bidi="ar-SA"/>
        </w:rPr>
        <w:t>) imposes corresponding duties on government employers to agree to meet and discuss with them. It also puts constraints on the exercise of legislative powers in respect of the right to collective bargaining,</w:t>
      </w:r>
      <w:r>
        <w:rPr>
          <w:rFonts w:ascii="arial" w:eastAsia="arial" w:hAnsi="arial" w:cs="arial"/>
          <w:color w:val="000000"/>
          <w:sz w:val="20"/>
          <w:lang w:val="en-US" w:eastAsia="en-US" w:bidi="ar-SA"/>
        </w:rPr>
        <w:t xml:space="preserve"> which we shall discuss below.</w:t>
      </w:r>
    </w:p>
    <w:p>
      <w:pPr>
        <w:spacing w:before="120" w:line="260" w:lineRule="atLeast"/>
        <w:ind w:left="3240"/>
        <w:rPr>
          <w:rFonts w:ascii="arial" w:eastAsia="arial" w:hAnsi="arial" w:cs="arial"/>
          <w:sz w:val="20"/>
          <w:lang w:val="en-US" w:eastAsia="en-US" w:bidi="ar-SA"/>
        </w:rPr>
      </w:pPr>
      <w:r>
        <w:rPr>
          <w:rFonts w:ascii="arial" w:eastAsia="arial" w:hAnsi="arial" w:cs="arial"/>
          <w:color w:val="000000"/>
          <w:sz w:val="20"/>
          <w:lang w:val="en-US" w:eastAsia="en-US" w:bidi="ar-SA"/>
        </w:rPr>
        <w:t>[Emphasis added.]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52</w:t>
      </w:r>
      <w:r>
        <w:rPr>
          <w:rFonts w:ascii="arial" w:eastAsia="arial" w:hAnsi="arial" w:cs="arial"/>
          <w:color w:val="000000"/>
          <w:sz w:val="20"/>
          <w:lang w:val="en-US" w:eastAsia="en-US" w:bidi="ar-SA"/>
        </w:rPr>
        <w:t xml:space="preserve">  The Court developed a two-step inquiry for determining whether or not government conduct (whether legislative conduct or conduct as employer) constituted substantial interference with the s. 2(d) </w:t>
      </w:r>
      <w:r>
        <w:rPr>
          <w:rFonts w:ascii="arial" w:eastAsia="arial" w:hAnsi="arial" w:cs="arial"/>
          <w:i/>
          <w:color w:val="000000"/>
          <w:sz w:val="20"/>
          <w:lang w:val="en-US" w:eastAsia="en-US" w:bidi="ar-SA"/>
        </w:rPr>
        <w:t>Charter</w:t>
      </w:r>
      <w:r>
        <w:rPr>
          <w:rFonts w:ascii="arial" w:eastAsia="arial" w:hAnsi="arial" w:cs="arial"/>
          <w:color w:val="000000"/>
          <w:sz w:val="20"/>
          <w:lang w:val="en-US" w:eastAsia="en-US" w:bidi="ar-SA"/>
        </w:rPr>
        <w:t xml:space="preserve"> protection. The first step required consideration of the importance of the matter to the collective activity, and the second step required consideration of the "manner" or "process" in which the government measure was taken.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53</w:t>
      </w:r>
      <w:r>
        <w:rPr>
          <w:rFonts w:ascii="arial" w:eastAsia="arial" w:hAnsi="arial" w:cs="arial"/>
          <w:color w:val="000000"/>
          <w:sz w:val="20"/>
          <w:lang w:val="en-US" w:eastAsia="en-US" w:bidi="ar-SA"/>
        </w:rPr>
        <w:t xml:space="preserve">  With respect to the second step, the Court in </w:t>
      </w:r>
      <w:r>
        <w:rPr>
          <w:rFonts w:ascii="arial" w:eastAsia="arial" w:hAnsi="arial" w:cs="arial"/>
          <w:i/>
          <w:color w:val="000000"/>
          <w:sz w:val="20"/>
          <w:lang w:val="en-US" w:eastAsia="en-US" w:bidi="ar-SA"/>
        </w:rPr>
        <w:t>Health Services</w:t>
      </w:r>
      <w:r>
        <w:rPr>
          <w:rFonts w:ascii="arial" w:eastAsia="arial" w:hAnsi="arial" w:cs="arial"/>
          <w:color w:val="000000"/>
          <w:sz w:val="20"/>
          <w:lang w:val="en-US" w:eastAsia="en-US" w:bidi="ar-SA"/>
        </w:rPr>
        <w:t xml:space="preserve"> said this:</w:t>
      </w:r>
      <w:r>
        <w:rPr>
          <w:rFonts w:ascii="arial" w:eastAsia="arial" w:hAnsi="arial" w:cs="arial"/>
          <w:sz w:val="20"/>
          <w:lang w:val="en-US" w:eastAsia="en-US" w:bidi="ar-SA"/>
        </w:rPr>
        <w:cr/>
      </w:r>
    </w:p>
    <w:p>
      <w:pPr>
        <w:numPr>
          <w:numId w:val="18"/>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if the changes touch on collective bargaining but "preserve a process of consultation and good faith negotiation" then s. 2(d) will not be violated (at paras. 93-94);</w:t>
      </w:r>
    </w:p>
    <w:p>
      <w:pPr>
        <w:numPr>
          <w:numId w:val="1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this second inquiry asks "does the legislative measure or government conduct in issue respect the fundamental precept of collective bargaining -- the duty to consult and negotiate in good faith?" (para. 97);</w:t>
      </w:r>
    </w:p>
    <w:p>
      <w:pPr>
        <w:numPr>
          <w:numId w:val="2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if the change has been made through a process of good faith consultation it is unlikely to have adversely affected the employees' right to collective bargaining (para. 129);</w:t>
      </w:r>
    </w:p>
    <w:p>
      <w:pPr>
        <w:numPr>
          <w:numId w:val="2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one is to consider "the manner in which the government measure is accomplished. Important changes effected through a process of good faith negotiation may not violate s. 2(</w:t>
      </w:r>
      <w:r>
        <w:rPr>
          <w:rFonts w:ascii="arial" w:eastAsia="arial" w:hAnsi="arial" w:cs="arial"/>
          <w:i/>
          <w:color w:val="000000"/>
          <w:sz w:val="20"/>
          <w:lang w:val="en-US" w:eastAsia="en-US" w:bidi="ar-SA"/>
        </w:rPr>
        <w:t>d</w:t>
      </w:r>
      <w:r>
        <w:rPr>
          <w:rFonts w:ascii="arial" w:eastAsia="arial" w:hAnsi="arial" w:cs="arial"/>
          <w:color w:val="000000"/>
          <w:sz w:val="20"/>
          <w:lang w:val="en-US" w:eastAsia="en-US" w:bidi="ar-SA"/>
        </w:rPr>
        <w:t>). ... Only where the matter is both important to the process of collective bargaining, and has been imposed in violation of the duty of good faith negotiation, will s. 2(</w:t>
      </w:r>
      <w:r>
        <w:rPr>
          <w:rFonts w:ascii="arial" w:eastAsia="arial" w:hAnsi="arial" w:cs="arial"/>
          <w:i/>
          <w:color w:val="000000"/>
          <w:sz w:val="20"/>
          <w:lang w:val="en-US" w:eastAsia="en-US" w:bidi="ar-SA"/>
        </w:rPr>
        <w:t>d</w:t>
      </w:r>
      <w:r>
        <w:rPr>
          <w:rFonts w:ascii="arial" w:eastAsia="arial" w:hAnsi="arial" w:cs="arial"/>
          <w:color w:val="000000"/>
          <w:sz w:val="20"/>
          <w:lang w:val="en-US" w:eastAsia="en-US" w:bidi="ar-SA"/>
        </w:rPr>
        <w:t>) be breached" (para. 109).</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54</w:t>
      </w:r>
      <w:r>
        <w:rPr>
          <w:rFonts w:ascii="arial" w:eastAsia="arial" w:hAnsi="arial" w:cs="arial"/>
          <w:color w:val="000000"/>
          <w:sz w:val="20"/>
          <w:lang w:val="en-US" w:eastAsia="en-US" w:bidi="ar-SA"/>
        </w:rPr>
        <w:t xml:space="preserve">  Again, the above statements of the second inquiry in </w:t>
      </w:r>
      <w:r>
        <w:rPr>
          <w:rFonts w:ascii="arial" w:eastAsia="arial" w:hAnsi="arial" w:cs="arial"/>
          <w:i/>
          <w:color w:val="000000"/>
          <w:sz w:val="20"/>
          <w:lang w:val="en-US" w:eastAsia="en-US" w:bidi="ar-SA"/>
        </w:rPr>
        <w:t>Health Services</w:t>
      </w:r>
      <w:r>
        <w:rPr>
          <w:rFonts w:ascii="arial" w:eastAsia="arial" w:hAnsi="arial" w:cs="arial"/>
          <w:color w:val="000000"/>
          <w:sz w:val="20"/>
          <w:lang w:val="en-US" w:eastAsia="en-US" w:bidi="ar-SA"/>
        </w:rPr>
        <w:t xml:space="preserve"> were meant to generally apply to all types of government conduct, legislative and as employer.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55</w:t>
      </w:r>
      <w:r>
        <w:rPr>
          <w:rFonts w:ascii="arial" w:eastAsia="arial" w:hAnsi="arial" w:cs="arial"/>
          <w:color w:val="000000"/>
          <w:sz w:val="20"/>
          <w:lang w:val="en-US" w:eastAsia="en-US" w:bidi="ar-SA"/>
        </w:rPr>
        <w:t xml:space="preserve">  One can easily understand how government as employer must engage in a process that respects the fundamental precept of collective bargaining, if as employer it takes steps that interfere with collective bargaining but wants to argue that it did not violate s. 2(d) rights. But by stating the test this way for all types of government conduct, the Court in </w:t>
      </w:r>
      <w:r>
        <w:rPr>
          <w:rFonts w:ascii="arial" w:eastAsia="arial" w:hAnsi="arial" w:cs="arial"/>
          <w:i/>
          <w:color w:val="000000"/>
          <w:sz w:val="20"/>
          <w:lang w:val="en-US" w:eastAsia="en-US" w:bidi="ar-SA"/>
        </w:rPr>
        <w:t>Health Services</w:t>
      </w:r>
      <w:r>
        <w:rPr>
          <w:rFonts w:ascii="arial" w:eastAsia="arial" w:hAnsi="arial" w:cs="arial"/>
          <w:color w:val="000000"/>
          <w:sz w:val="20"/>
          <w:lang w:val="en-US" w:eastAsia="en-US" w:bidi="ar-SA"/>
        </w:rPr>
        <w:t xml:space="preserve"> raised the possibility that pre-legislative consultation might be relevant in determining whether subsequent legislation itself substantially interferes with collective bargaining.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56</w:t>
      </w:r>
      <w:r>
        <w:rPr>
          <w:rFonts w:ascii="arial" w:eastAsia="arial" w:hAnsi="arial" w:cs="arial"/>
          <w:color w:val="000000"/>
          <w:sz w:val="20"/>
          <w:lang w:val="en-US" w:eastAsia="en-US" w:bidi="ar-SA"/>
        </w:rPr>
        <w:t xml:space="preserve">  It is unclear exactly what type of hypothetical situation the Court in </w:t>
      </w:r>
      <w:r>
        <w:rPr>
          <w:rFonts w:ascii="arial" w:eastAsia="arial" w:hAnsi="arial" w:cs="arial"/>
          <w:i/>
          <w:color w:val="000000"/>
          <w:sz w:val="20"/>
          <w:lang w:val="en-US" w:eastAsia="en-US" w:bidi="ar-SA"/>
        </w:rPr>
        <w:t>Health Services</w:t>
      </w:r>
      <w:r>
        <w:rPr>
          <w:rFonts w:ascii="arial" w:eastAsia="arial" w:hAnsi="arial" w:cs="arial"/>
          <w:color w:val="000000"/>
          <w:sz w:val="20"/>
          <w:lang w:val="en-US" w:eastAsia="en-US" w:bidi="ar-SA"/>
        </w:rPr>
        <w:t xml:space="preserve"> had in mind, as noted by one commentator:</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Court is not clear whether this "saving" effect of good faith consultation follows because it would inevitably lead to inoffensive legislation, or because it would effectively take the place of collective bargaining between employer and employee. The latter is, of course, a much more plausible idea where the employer is the government and not a private sector party.</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Peter Carver, "Comparing Aboriginal and Other Duties to Consult in Canadian Law" </w:t>
      </w:r>
      <w:hyperlink r:id="rId878" w:history="1">
        <w:r>
          <w:rPr>
            <w:rFonts w:ascii="arial" w:eastAsia="arial" w:hAnsi="arial" w:cs="arial"/>
            <w:i/>
            <w:color w:val="0077CC"/>
            <w:sz w:val="20"/>
            <w:u w:val="single"/>
            <w:shd w:val="clear" w:color="auto" w:fill="FFFFFF"/>
            <w:lang w:val="en-US" w:eastAsia="en-US" w:bidi="ar-SA"/>
          </w:rPr>
          <w:t>(2012) 49 Alta. L. Rev. 855</w:t>
        </w:r>
      </w:hyperlink>
      <w:r>
        <w:rPr>
          <w:rFonts w:ascii="arial" w:eastAsia="arial" w:hAnsi="arial" w:cs="arial"/>
          <w:color w:val="000000"/>
          <w:sz w:val="20"/>
          <w:lang w:val="en-US" w:eastAsia="en-US" w:bidi="ar-SA"/>
        </w:rPr>
        <w:t xml:space="preserve"> at 871.</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57</w:t>
      </w:r>
      <w:r>
        <w:rPr>
          <w:rFonts w:ascii="arial" w:eastAsia="arial" w:hAnsi="arial" w:cs="arial"/>
          <w:color w:val="000000"/>
          <w:sz w:val="20"/>
          <w:lang w:val="en-US" w:eastAsia="en-US" w:bidi="ar-SA"/>
        </w:rPr>
        <w:t xml:space="preserve">  However once the statement of general principles was behind the Court, and when it came to the actual analysis of the government conduct at issue, which was legislative and not as employer, the majority decision in </w:t>
      </w:r>
      <w:r>
        <w:rPr>
          <w:rFonts w:ascii="arial" w:eastAsia="arial" w:hAnsi="arial" w:cs="arial"/>
          <w:i/>
          <w:color w:val="000000"/>
          <w:sz w:val="20"/>
          <w:lang w:val="en-US" w:eastAsia="en-US" w:bidi="ar-SA"/>
        </w:rPr>
        <w:t>Health Services</w:t>
      </w:r>
      <w:r>
        <w:rPr>
          <w:rFonts w:ascii="arial" w:eastAsia="arial" w:hAnsi="arial" w:cs="arial"/>
          <w:color w:val="000000"/>
          <w:sz w:val="20"/>
          <w:lang w:val="en-US" w:eastAsia="en-US" w:bidi="ar-SA"/>
        </w:rPr>
        <w:t xml:space="preserve"> did not refer to any pre-legislative consultation process or lack thereof. Rather, the Court framed the second inquiry question as a consideration of the content or impact of the legislation: see paras. 132-136. The Court examined whether the content of the legislation itself preserved "the process of good faith bargaining and consultation" (at para. 133). This was stated as "exclusively" the focus (para. 133). It was also described earlier as "the bottom line" (at para. 107; see also paras. 113-115).</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58</w:t>
      </w:r>
      <w:r>
        <w:rPr>
          <w:rFonts w:ascii="arial" w:eastAsia="arial" w:hAnsi="arial" w:cs="arial"/>
          <w:color w:val="000000"/>
          <w:sz w:val="20"/>
          <w:lang w:val="en-US" w:eastAsia="en-US" w:bidi="ar-SA"/>
        </w:rPr>
        <w:t xml:space="preserve">  After examining the content of the legislation, the Court in </w:t>
      </w:r>
      <w:r>
        <w:rPr>
          <w:rFonts w:ascii="arial" w:eastAsia="arial" w:hAnsi="arial" w:cs="arial"/>
          <w:i/>
          <w:color w:val="000000"/>
          <w:sz w:val="20"/>
          <w:lang w:val="en-US" w:eastAsia="en-US" w:bidi="ar-SA"/>
        </w:rPr>
        <w:t>Health Services</w:t>
      </w:r>
      <w:r>
        <w:rPr>
          <w:rFonts w:ascii="arial" w:eastAsia="arial" w:hAnsi="arial" w:cs="arial"/>
          <w:color w:val="000000"/>
          <w:sz w:val="20"/>
          <w:lang w:val="en-US" w:eastAsia="en-US" w:bidi="ar-SA"/>
        </w:rPr>
        <w:t xml:space="preserve"> found that the legislation constituted a "virtual denial of the s. 2(d) right to a process of good faith bargaining and consultation" (para. 135). It was by focussing exclusively on the provisions themselves that the Court was able to reach this conclusion, and not by considering the process leading to the legislation. The Court held at paras.132-133, 135-136:</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Having concluded that the subject matter of ss. 6(2), 6(4) and 9 of the Act is of central importance to the unions and their ability to carry on collective bargaining, </w:t>
      </w:r>
      <w:r>
        <w:rPr>
          <w:rFonts w:ascii="arial" w:eastAsia="arial" w:hAnsi="arial" w:cs="arial"/>
          <w:color w:val="000000"/>
          <w:sz w:val="20"/>
          <w:u w:val="single"/>
          <w:lang w:val="en-US" w:eastAsia="en-US" w:bidi="ar-SA"/>
        </w:rPr>
        <w:t>we must now consider whether those provisions preserve the processes of collective bargaining</w:t>
      </w:r>
      <w:r>
        <w:rPr>
          <w:rFonts w:ascii="arial" w:eastAsia="arial" w:hAnsi="arial" w:cs="arial"/>
          <w:color w:val="000000"/>
          <w:sz w:val="20"/>
          <w:lang w:val="en-US" w:eastAsia="en-US" w:bidi="ar-SA"/>
        </w:rPr>
        <w:t xml:space="preserve">. Together, these two inquiries will permit us to assess whether the law at issue here constitutes significant interference with the collective aspect of freedom of association, which </w:t>
      </w:r>
      <w:r>
        <w:rPr>
          <w:rFonts w:ascii="arial" w:eastAsia="arial" w:hAnsi="arial" w:cs="arial"/>
          <w:i/>
          <w:color w:val="000000"/>
          <w:sz w:val="20"/>
          <w:lang w:val="en-US" w:eastAsia="en-US" w:bidi="ar-SA"/>
        </w:rPr>
        <w:t>Dunmore</w:t>
      </w:r>
      <w:r>
        <w:rPr>
          <w:rFonts w:ascii="arial" w:eastAsia="arial" w:hAnsi="arial" w:cs="arial"/>
          <w:color w:val="000000"/>
          <w:sz w:val="20"/>
          <w:lang w:val="en-US" w:eastAsia="en-US" w:bidi="ar-SA"/>
        </w:rPr>
        <w:t xml:space="preserve"> recognized.</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This inquiry </w:t>
      </w:r>
      <w:r>
        <w:rPr>
          <w:rFonts w:ascii="arial" w:eastAsia="arial" w:hAnsi="arial" w:cs="arial"/>
          <w:color w:val="000000"/>
          <w:sz w:val="20"/>
          <w:u w:val="single"/>
          <w:lang w:val="en-US" w:eastAsia="en-US" w:bidi="ar-SA"/>
        </w:rPr>
        <w:t>refocuses our attention squarely and exclusively on how the provisions affect the process of good faith bargaining and consultation</w:t>
      </w:r>
      <w:r>
        <w:rPr>
          <w:rFonts w:ascii="arial" w:eastAsia="arial" w:hAnsi="arial" w:cs="arial"/>
          <w:color w:val="000000"/>
          <w:sz w:val="20"/>
          <w:lang w:val="en-US" w:eastAsia="en-US" w:bidi="ar-SA"/>
        </w:rPr>
        <w:t>. In this case, we are satisfied that ss. 6(2), 6(4) and 9 interfere significantly with the ability of those bound by them to engage in the associational activity of collective bargaining.</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difficulty, however, is that </w:t>
      </w:r>
      <w:r>
        <w:rPr>
          <w:rFonts w:ascii="arial" w:eastAsia="arial" w:hAnsi="arial" w:cs="arial"/>
          <w:color w:val="000000"/>
          <w:sz w:val="20"/>
          <w:u w:val="single"/>
          <w:lang w:val="en-US" w:eastAsia="en-US" w:bidi="ar-SA"/>
        </w:rPr>
        <w:t>the measures adopted by the government constitute a virtual denial of the s. 2(</w:t>
      </w:r>
      <w:r>
        <w:rPr>
          <w:rFonts w:ascii="arial" w:eastAsia="arial" w:hAnsi="arial" w:cs="arial"/>
          <w:i/>
          <w:color w:val="000000"/>
          <w:sz w:val="20"/>
          <w:u w:val="single"/>
          <w:lang w:val="en-US" w:eastAsia="en-US" w:bidi="ar-SA"/>
        </w:rPr>
        <w:t>d</w:t>
      </w:r>
      <w:r>
        <w:rPr>
          <w:rFonts w:ascii="arial" w:eastAsia="arial" w:hAnsi="arial" w:cs="arial"/>
          <w:color w:val="000000"/>
          <w:sz w:val="20"/>
          <w:u w:val="single"/>
          <w:lang w:val="en-US" w:eastAsia="en-US" w:bidi="ar-SA"/>
        </w:rPr>
        <w:t>) right to a process of good faith bargaining and consultation.</w:t>
      </w:r>
      <w:r>
        <w:rPr>
          <w:rFonts w:ascii="arial" w:eastAsia="arial" w:hAnsi="arial" w:cs="arial"/>
          <w:color w:val="000000"/>
          <w:sz w:val="20"/>
          <w:lang w:val="en-US" w:eastAsia="en-US" w:bidi="ar-SA"/>
        </w:rPr>
        <w:t xml:space="preserve"> The absolute prohibition on contracting out in s. 6(2), as discussed, eliminates any possibility of consultation. Section 6(4) puts the nail in the coffin of consultation by making void any provisions in a collective agreement imposing a requirement to consult before contracting out. Section 9, in like fashion, effectively precludes consultation with the union prior to laying off or bumping.</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We conclude that ss. 6(2), 6(4) and 9 of the legislation constitute a significant interference with the right to bargain collectively and hence violate s. 2(</w:t>
      </w:r>
      <w:r>
        <w:rPr>
          <w:rFonts w:ascii="arial" w:eastAsia="arial" w:hAnsi="arial" w:cs="arial"/>
          <w:i/>
          <w:color w:val="000000"/>
          <w:sz w:val="20"/>
          <w:lang w:val="en-US" w:eastAsia="en-US" w:bidi="ar-SA"/>
        </w:rPr>
        <w:t>d</w:t>
      </w:r>
      <w:r>
        <w:rPr>
          <w:rFonts w:ascii="arial" w:eastAsia="arial" w:hAnsi="arial" w:cs="arial"/>
          <w:color w:val="000000"/>
          <w:sz w:val="20"/>
          <w:lang w:val="en-US" w:eastAsia="en-US" w:bidi="ar-SA"/>
        </w:rPr>
        <w:t xml:space="preserve">) of the </w:t>
      </w:r>
      <w:r>
        <w:rPr>
          <w:rFonts w:ascii="arial" w:eastAsia="arial" w:hAnsi="arial" w:cs="arial"/>
          <w:i/>
          <w:color w:val="000000"/>
          <w:sz w:val="20"/>
          <w:lang w:val="en-US" w:eastAsia="en-US" w:bidi="ar-SA"/>
        </w:rPr>
        <w:t>Charter</w:t>
      </w:r>
      <w:r>
        <w:rPr>
          <w:rFonts w:ascii="arial" w:eastAsia="arial" w:hAnsi="arial" w:cs="arial"/>
          <w:color w:val="000000"/>
          <w:sz w:val="20"/>
          <w:lang w:val="en-US" w:eastAsia="en-US" w:bidi="ar-SA"/>
        </w:rPr>
        <w:t>.</w:t>
      </w:r>
    </w:p>
    <w:p>
      <w:pPr>
        <w:spacing w:before="120" w:line="260" w:lineRule="atLeast"/>
        <w:ind w:left="3240"/>
        <w:rPr>
          <w:rFonts w:ascii="arial" w:eastAsia="arial" w:hAnsi="arial" w:cs="arial"/>
          <w:sz w:val="20"/>
          <w:lang w:val="en-US" w:eastAsia="en-US" w:bidi="ar-SA"/>
        </w:rPr>
      </w:pPr>
      <w:r>
        <w:rPr>
          <w:rFonts w:ascii="arial" w:eastAsia="arial" w:hAnsi="arial" w:cs="arial"/>
          <w:color w:val="000000"/>
          <w:sz w:val="20"/>
          <w:lang w:val="en-US" w:eastAsia="en-US" w:bidi="ar-SA"/>
        </w:rPr>
        <w:t>[Emphasis added.]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59</w:t>
      </w:r>
      <w:r>
        <w:rPr>
          <w:rFonts w:ascii="arial" w:eastAsia="arial" w:hAnsi="arial" w:cs="arial"/>
          <w:color w:val="000000"/>
          <w:sz w:val="20"/>
          <w:lang w:val="en-US" w:eastAsia="en-US" w:bidi="ar-SA"/>
        </w:rPr>
        <w:t xml:space="preserve">  The Court in </w:t>
      </w:r>
      <w:r>
        <w:rPr>
          <w:rFonts w:ascii="arial" w:eastAsia="arial" w:hAnsi="arial" w:cs="arial"/>
          <w:i/>
          <w:color w:val="000000"/>
          <w:sz w:val="20"/>
          <w:lang w:val="en-US" w:eastAsia="en-US" w:bidi="ar-SA"/>
        </w:rPr>
        <w:t>Health Services</w:t>
      </w:r>
      <w:r>
        <w:rPr>
          <w:rFonts w:ascii="arial" w:eastAsia="arial" w:hAnsi="arial" w:cs="arial"/>
          <w:color w:val="000000"/>
          <w:sz w:val="20"/>
          <w:lang w:val="en-US" w:eastAsia="en-US" w:bidi="ar-SA"/>
        </w:rPr>
        <w:t xml:space="preserve"> went on to consider whether or not the infringements on the workers' s. 2(d) rights could be saved under s. 1 of the </w:t>
      </w:r>
      <w:r>
        <w:rPr>
          <w:rFonts w:ascii="arial" w:eastAsia="arial" w:hAnsi="arial" w:cs="arial"/>
          <w:i/>
          <w:color w:val="000000"/>
          <w:sz w:val="20"/>
          <w:lang w:val="en-US" w:eastAsia="en-US" w:bidi="ar-SA"/>
        </w:rPr>
        <w:t>Charter</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60</w:t>
      </w:r>
      <w:r>
        <w:rPr>
          <w:rFonts w:ascii="arial" w:eastAsia="arial" w:hAnsi="arial" w:cs="arial"/>
          <w:color w:val="000000"/>
          <w:sz w:val="20"/>
          <w:lang w:val="en-US" w:eastAsia="en-US" w:bidi="ar-SA"/>
        </w:rPr>
        <w:t xml:space="preserve">  In the s. 1 analysis, the Court in </w:t>
      </w:r>
      <w:r>
        <w:rPr>
          <w:rFonts w:ascii="arial" w:eastAsia="arial" w:hAnsi="arial" w:cs="arial"/>
          <w:i/>
          <w:color w:val="000000"/>
          <w:sz w:val="20"/>
          <w:lang w:val="en-US" w:eastAsia="en-US" w:bidi="ar-SA"/>
        </w:rPr>
        <w:t>Health Services</w:t>
      </w:r>
      <w:r>
        <w:rPr>
          <w:rFonts w:ascii="arial" w:eastAsia="arial" w:hAnsi="arial" w:cs="arial"/>
          <w:color w:val="000000"/>
          <w:sz w:val="20"/>
          <w:lang w:val="en-US" w:eastAsia="en-US" w:bidi="ar-SA"/>
        </w:rPr>
        <w:t xml:space="preserve"> considered whether or not the legislation minimally impaired the </w:t>
      </w:r>
      <w:r>
        <w:rPr>
          <w:rFonts w:ascii="arial" w:eastAsia="arial" w:hAnsi="arial" w:cs="arial"/>
          <w:i/>
          <w:color w:val="000000"/>
          <w:sz w:val="20"/>
          <w:lang w:val="en-US" w:eastAsia="en-US" w:bidi="ar-SA"/>
        </w:rPr>
        <w:t>Charter</w:t>
      </w:r>
      <w:r>
        <w:rPr>
          <w:rFonts w:ascii="arial" w:eastAsia="arial" w:hAnsi="arial" w:cs="arial"/>
          <w:color w:val="000000"/>
          <w:sz w:val="20"/>
          <w:lang w:val="en-US" w:eastAsia="en-US" w:bidi="ar-SA"/>
        </w:rPr>
        <w:t xml:space="preserve"> rights of the parties. The Court held that it did not. In reaching this conclusion, the Court considered as a factor the government's complete lack of consultation with the union prior to passing the legislation. The Court held at paras. 156-161:</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An examination of the record as to alternatives considered by the government reinforces the conclusion that the impairment in this case did not fall within the range of reasonable alternatives available to the government in achieving its pressing and substantial objective of improving health care delivery. </w:t>
      </w:r>
      <w:r>
        <w:rPr>
          <w:rFonts w:ascii="arial" w:eastAsia="arial" w:hAnsi="arial" w:cs="arial"/>
          <w:color w:val="000000"/>
          <w:sz w:val="20"/>
          <w:u w:val="single"/>
          <w:lang w:val="en-US" w:eastAsia="en-US" w:bidi="ar-SA"/>
        </w:rPr>
        <w:t>The record discloses no consideration by the government of whether it could reach its goal by less intrusive measures, and virtually no consultation with unions on the matter</w:t>
      </w:r>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u w:val="single"/>
          <w:lang w:val="en-US" w:eastAsia="en-US" w:bidi="ar-SA"/>
        </w:rPr>
        <w:t>Legislators are not bound to consult with affected parties before passing legislation. On the other hand, it may be useful to consider, in the course of the s. 1 justification analysis, whether the government considered other options or engaged consultation with the affected parties, in choosing to adopt its preferred approach.</w:t>
      </w:r>
      <w:r>
        <w:rPr>
          <w:rFonts w:ascii="arial" w:eastAsia="arial" w:hAnsi="arial" w:cs="arial"/>
          <w:color w:val="000000"/>
          <w:sz w:val="20"/>
          <w:lang w:val="en-US" w:eastAsia="en-US" w:bidi="ar-SA"/>
        </w:rPr>
        <w:t xml:space="preserve"> The Court has looked at pre-legislative considerations in the past in the context of minimal impairment. This is simply evidence going to whether other options, in a range of possible options, were explored.</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In this case, the only evidence presented by the government, including the sealed evidence, confirmed that a range of options were on the table. One was chosen. </w:t>
      </w:r>
      <w:r>
        <w:rPr>
          <w:rFonts w:ascii="arial" w:eastAsia="arial" w:hAnsi="arial" w:cs="arial"/>
          <w:color w:val="000000"/>
          <w:sz w:val="20"/>
          <w:u w:val="single"/>
          <w:lang w:val="en-US" w:eastAsia="en-US" w:bidi="ar-SA"/>
        </w:rPr>
        <w:t>The government presented no evidence as to why this particular solution was chosen and why there was no consultation with the unions about the range of options open to it</w:t>
      </w:r>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u w:val="single"/>
          <w:lang w:val="en-US" w:eastAsia="en-US" w:bidi="ar-SA"/>
        </w:rPr>
        <w:t>The evidence establishes that there was no meaningful consultation prior to passing the Act on the part of either the government or the HEABC (as employer). The HEABC neither attempted to renegotiate provisions of the collective agreements in force prior to the adoption of Bill 29, nor considered any other way to address the concerns noted by the government relating to labour costs and the lack of flexibility in administrating the health care sector. The government also failed to engage in meaningful bargaining or consultation prior to the adoption of Bill 29 or to provide the unions with any other means of exerting meaningful influence over the outcome of the process (for example, a satisfactory system of labour conciliation or arbitration).</w:t>
      </w:r>
      <w:r>
        <w:rPr>
          <w:rFonts w:ascii="arial" w:eastAsia="arial" w:hAnsi="arial" w:cs="arial"/>
          <w:color w:val="000000"/>
          <w:sz w:val="20"/>
          <w:lang w:val="en-US" w:eastAsia="en-US" w:bidi="ar-SA"/>
        </w:rPr>
        <w:t xml:space="preserve"> Union representatives had repeatedly expressed a desire to consult with government regarding specific aspects of the Act, and had conveyed to the government that the matters to be dealt with under the Act were of particular significance to them. Indeed, the government had indicated willingness to consult on prior occasions. Yet, in this case, consultation never took place. The only evidence of consultation is a brief telephone conversation between a member of the government and a union representative within the half hour before the Act (then Bill 29) went to the legislature floor and limited to informing the union of the actions that the government intended to take.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This was an important and significant piece of labour legislation. It had the potential to affect the rights of employees dramatically and unusually. Yet it was adopted with full knowledge that the unions were strongly opposed to many of the provisions, and without consideration of alternative ways to achieve the government objective, and without explanation of the government's choices.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We conclude that the government has not shown that the Act minimally impaired the employees' s. 2(</w:t>
      </w:r>
      <w:r>
        <w:rPr>
          <w:rFonts w:ascii="arial" w:eastAsia="arial" w:hAnsi="arial" w:cs="arial"/>
          <w:i/>
          <w:color w:val="000000"/>
          <w:sz w:val="20"/>
          <w:lang w:val="en-US" w:eastAsia="en-US" w:bidi="ar-SA"/>
        </w:rPr>
        <w:t>d</w:t>
      </w:r>
      <w:r>
        <w:rPr>
          <w:rFonts w:ascii="arial" w:eastAsia="arial" w:hAnsi="arial" w:cs="arial"/>
          <w:color w:val="000000"/>
          <w:sz w:val="20"/>
          <w:lang w:val="en-US" w:eastAsia="en-US" w:bidi="ar-SA"/>
        </w:rPr>
        <w:t>) right of collective bargaining.</w:t>
      </w:r>
    </w:p>
    <w:p>
      <w:pPr>
        <w:spacing w:before="120" w:line="260" w:lineRule="atLeast"/>
        <w:ind w:left="3240"/>
        <w:rPr>
          <w:rFonts w:ascii="arial" w:eastAsia="arial" w:hAnsi="arial" w:cs="arial"/>
          <w:sz w:val="20"/>
          <w:lang w:val="en-US" w:eastAsia="en-US" w:bidi="ar-SA"/>
        </w:rPr>
      </w:pPr>
      <w:r>
        <w:rPr>
          <w:rFonts w:ascii="arial" w:eastAsia="arial" w:hAnsi="arial" w:cs="arial"/>
          <w:color w:val="000000"/>
          <w:sz w:val="20"/>
          <w:lang w:val="en-US" w:eastAsia="en-US" w:bidi="ar-SA"/>
        </w:rPr>
        <w:t>[Emphasis added.]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61</w:t>
      </w:r>
      <w:r>
        <w:rPr>
          <w:rFonts w:ascii="arial" w:eastAsia="arial" w:hAnsi="arial" w:cs="arial"/>
          <w:color w:val="000000"/>
          <w:sz w:val="20"/>
          <w:lang w:val="en-US" w:eastAsia="en-US" w:bidi="ar-SA"/>
        </w:rPr>
        <w:t xml:space="preserve">  The majority judgment in </w:t>
      </w:r>
      <w:r>
        <w:rPr>
          <w:rFonts w:ascii="arial" w:eastAsia="arial" w:hAnsi="arial" w:cs="arial"/>
          <w:i/>
          <w:color w:val="000000"/>
          <w:sz w:val="20"/>
          <w:lang w:val="en-US" w:eastAsia="en-US" w:bidi="ar-SA"/>
        </w:rPr>
        <w:t>Health Services</w:t>
      </w:r>
      <w:r>
        <w:rPr>
          <w:rFonts w:ascii="arial" w:eastAsia="arial" w:hAnsi="arial" w:cs="arial"/>
          <w:color w:val="000000"/>
          <w:sz w:val="20"/>
          <w:lang w:val="en-US" w:eastAsia="en-US" w:bidi="ar-SA"/>
        </w:rPr>
        <w:t xml:space="preserve"> suggests that a government's prior good faith consultation with a union, prior to conduct which interferes with collective bargaining, is potentially relevant in two ways:</w:t>
      </w:r>
      <w:r>
        <w:rPr>
          <w:rFonts w:ascii="arial" w:eastAsia="arial" w:hAnsi="arial" w:cs="arial"/>
          <w:sz w:val="20"/>
          <w:lang w:val="en-US" w:eastAsia="en-US" w:bidi="ar-SA"/>
        </w:rPr>
        <w:cr/>
      </w:r>
    </w:p>
    <w:p>
      <w:pPr>
        <w:numPr>
          <w:numId w:val="2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First, prior consultation by the government may be relevant on the second part of the inquiry into whether or not to whether the measure constituted substantial interference with the s. 2(d) </w:t>
      </w:r>
      <w:r>
        <w:rPr>
          <w:rFonts w:ascii="arial" w:eastAsia="arial" w:hAnsi="arial" w:cs="arial"/>
          <w:i/>
          <w:color w:val="000000"/>
          <w:sz w:val="20"/>
          <w:lang w:val="en-US" w:eastAsia="en-US" w:bidi="ar-SA"/>
        </w:rPr>
        <w:t>Charter</w:t>
      </w:r>
      <w:r>
        <w:rPr>
          <w:rFonts w:ascii="arial" w:eastAsia="arial" w:hAnsi="arial" w:cs="arial"/>
          <w:color w:val="000000"/>
          <w:sz w:val="20"/>
          <w:lang w:val="en-US" w:eastAsia="en-US" w:bidi="ar-SA"/>
        </w:rPr>
        <w:t xml:space="preserve"> right. If the impugned government conduct has followed a process of good faith consultation, it may be less likely to adversely impact the employees' right to collective bargaining (at para. 129). However, the Court's decision is nuanced in this regard. Close analysis suggests that this is a less significant factor when the challenge is to legislation as opposed to government conduct </w:t>
      </w:r>
      <w:r>
        <w:rPr>
          <w:rFonts w:ascii="arial" w:eastAsia="arial" w:hAnsi="arial" w:cs="arial"/>
          <w:i/>
          <w:color w:val="000000"/>
          <w:sz w:val="20"/>
          <w:lang w:val="en-US" w:eastAsia="en-US" w:bidi="ar-SA"/>
        </w:rPr>
        <w:t>qua</w:t>
      </w:r>
      <w:r>
        <w:rPr>
          <w:rFonts w:ascii="arial" w:eastAsia="arial" w:hAnsi="arial" w:cs="arial"/>
          <w:color w:val="000000"/>
          <w:sz w:val="20"/>
          <w:lang w:val="en-US" w:eastAsia="en-US" w:bidi="ar-SA"/>
        </w:rPr>
        <w:t xml:space="preserve"> employer. When the challenge is to legislation, what seems most significant is whether the content of the legislative provisions themselves preserve a process of good faith consultation.</w:t>
      </w:r>
    </w:p>
    <w:p>
      <w:pPr>
        <w:numPr>
          <w:numId w:val="2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Second, prior consultation by the government is relevant under the s. 1 analysis, in considering whether or not the legislation minimally impairs the right. If a legislative change has been made without consultation, it will be more difficult for the government to establish that it searched for a minimally impairing solution (at para. 157).</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62</w:t>
      </w:r>
      <w:r>
        <w:rPr>
          <w:rFonts w:ascii="arial" w:eastAsia="arial" w:hAnsi="arial" w:cs="arial"/>
          <w:color w:val="000000"/>
          <w:sz w:val="20"/>
          <w:lang w:val="en-US" w:eastAsia="en-US" w:bidi="ar-SA"/>
        </w:rPr>
        <w:t xml:space="preserve">  The minority judgment (dissenting in part) in </w:t>
      </w:r>
      <w:r>
        <w:rPr>
          <w:rFonts w:ascii="arial" w:eastAsia="arial" w:hAnsi="arial" w:cs="arial"/>
          <w:i/>
          <w:color w:val="000000"/>
          <w:sz w:val="20"/>
          <w:lang w:val="en-US" w:eastAsia="en-US" w:bidi="ar-SA"/>
        </w:rPr>
        <w:t>Health Services</w:t>
      </w:r>
      <w:r>
        <w:rPr>
          <w:rFonts w:ascii="arial" w:eastAsia="arial" w:hAnsi="arial" w:cs="arial"/>
          <w:color w:val="000000"/>
          <w:sz w:val="20"/>
          <w:lang w:val="en-US" w:eastAsia="en-US" w:bidi="ar-SA"/>
        </w:rPr>
        <w:t xml:space="preserve"> disagreed with the majority's approach to the analysis of whether or not a s. 2(d) infringement had taken place, although she did agree that there was such an infringement with respect to some parts of the challenged legislation.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63</w:t>
      </w:r>
      <w:r>
        <w:rPr>
          <w:rFonts w:ascii="arial" w:eastAsia="arial" w:hAnsi="arial" w:cs="arial"/>
          <w:color w:val="000000"/>
          <w:sz w:val="20"/>
          <w:lang w:val="en-US" w:eastAsia="en-US" w:bidi="ar-SA"/>
        </w:rPr>
        <w:t>  Importantly on the "consultation" issue, Deschamps J. disagreed with the majority's suggestion that the court should consider the "process" by which the government measure was implemented when the measure at issue is legislative. In her view, this would imply a duty to consult which is inconsistent with the principle that the legislature does not need to consult before it legislates. She held at para. 179:</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With respect to the second inquiry ("the manner in which the measure impacts on the collective right to good faith negotiation and consultation" (para. 93)), I am concerned with the way this test is restated and applied in the majority's reasons. For example, rather than focussing on the impact on the right, the majority refer to "the manner in which the government measure is accomplished" (para. 109), "the process by which the measure was implemented" (para. 112) and "the process by which the changes were made" (para. 129). With respect, these formulations imply a duty to consult that is inconsistent with the proposition that "[l]egislators are not bound to consult with affected parties before passing legislation" (para. 157), one with which I fully agree.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64</w:t>
      </w:r>
      <w:r>
        <w:rPr>
          <w:rFonts w:ascii="arial" w:eastAsia="arial" w:hAnsi="arial" w:cs="arial"/>
          <w:color w:val="000000"/>
          <w:sz w:val="20"/>
          <w:lang w:val="en-US" w:eastAsia="en-US" w:bidi="ar-SA"/>
        </w:rPr>
        <w:t xml:space="preserve">  It may be that the concern expressed by Deschamps J. was implicitly reconciled in the next leading Supreme Court of Canada case on the issue, where consultation prior to legislation was not mentioned as a factor in assessing the s. 2(d) right: </w:t>
      </w:r>
      <w:r>
        <w:rPr>
          <w:rFonts w:ascii="arial" w:eastAsia="arial" w:hAnsi="arial" w:cs="arial"/>
          <w:i/>
          <w:color w:val="000000"/>
          <w:sz w:val="20"/>
          <w:lang w:val="en-US" w:eastAsia="en-US" w:bidi="ar-SA"/>
        </w:rPr>
        <w:t>Fraser</w:t>
      </w:r>
      <w:r>
        <w:rPr>
          <w:rFonts w:ascii="arial" w:eastAsia="arial" w:hAnsi="arial" w:cs="arial"/>
          <w:color w:val="000000"/>
          <w:sz w:val="20"/>
          <w:lang w:val="en-US" w:eastAsia="en-US" w:bidi="ar-SA"/>
        </w:rPr>
        <w: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 xml:space="preserve">The </w:t>
      </w:r>
      <w:r>
        <w:rPr>
          <w:rFonts w:ascii="arial" w:eastAsia="arial" w:hAnsi="arial" w:cs="arial"/>
          <w:b/>
          <w:i/>
          <w:color w:val="000000"/>
          <w:sz w:val="20"/>
          <w:lang w:val="en-US" w:eastAsia="en-US" w:bidi="ar-SA"/>
        </w:rPr>
        <w:t>Fraser</w:t>
      </w:r>
      <w:r>
        <w:rPr>
          <w:rFonts w:ascii="arial" w:eastAsia="arial" w:hAnsi="arial" w:cs="arial"/>
          <w:b/>
          <w:color w:val="000000"/>
          <w:sz w:val="20"/>
          <w:lang w:val="en-US" w:eastAsia="en-US" w:bidi="ar-SA"/>
        </w:rPr>
        <w:t xml:space="preserve"> Decision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65</w:t>
      </w:r>
      <w:r>
        <w:rPr>
          <w:rFonts w:ascii="arial" w:eastAsia="arial" w:hAnsi="arial" w:cs="arial"/>
          <w:color w:val="000000"/>
          <w:sz w:val="20"/>
          <w:lang w:val="en-US" w:eastAsia="en-US" w:bidi="ar-SA"/>
        </w:rPr>
        <w:t xml:space="preserve">  The majority judgment in </w:t>
      </w:r>
      <w:r>
        <w:rPr>
          <w:rFonts w:ascii="arial" w:eastAsia="arial" w:hAnsi="arial" w:cs="arial"/>
          <w:i/>
          <w:color w:val="000000"/>
          <w:sz w:val="20"/>
          <w:lang w:val="en-US" w:eastAsia="en-US" w:bidi="ar-SA"/>
        </w:rPr>
        <w:t>Fraser</w:t>
      </w:r>
      <w:r>
        <w:rPr>
          <w:rFonts w:ascii="arial" w:eastAsia="arial" w:hAnsi="arial" w:cs="arial"/>
          <w:color w:val="000000"/>
          <w:sz w:val="20"/>
          <w:lang w:val="en-US" w:eastAsia="en-US" w:bidi="ar-SA"/>
        </w:rPr>
        <w:t xml:space="preserve"> summarized the state of the law regarding the s. 2(d) </w:t>
      </w:r>
      <w:r>
        <w:rPr>
          <w:rFonts w:ascii="arial" w:eastAsia="arial" w:hAnsi="arial" w:cs="arial"/>
          <w:i/>
          <w:color w:val="000000"/>
          <w:sz w:val="20"/>
          <w:lang w:val="en-US" w:eastAsia="en-US" w:bidi="ar-SA"/>
        </w:rPr>
        <w:t>Charter</w:t>
      </w:r>
      <w:r>
        <w:rPr>
          <w:rFonts w:ascii="arial" w:eastAsia="arial" w:hAnsi="arial" w:cs="arial"/>
          <w:color w:val="000000"/>
          <w:sz w:val="20"/>
          <w:lang w:val="en-US" w:eastAsia="en-US" w:bidi="ar-SA"/>
        </w:rPr>
        <w:t xml:space="preserve"> protection of freedom of association at para. 2:</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Section 2(</w:t>
      </w:r>
      <w:r>
        <w:rPr>
          <w:rFonts w:ascii="arial" w:eastAsia="arial" w:hAnsi="arial" w:cs="arial"/>
          <w:i/>
          <w:color w:val="000000"/>
          <w:sz w:val="20"/>
          <w:lang w:val="en-US" w:eastAsia="en-US" w:bidi="ar-SA"/>
        </w:rPr>
        <w:t>d</w:t>
      </w:r>
      <w:r>
        <w:rPr>
          <w:rFonts w:ascii="arial" w:eastAsia="arial" w:hAnsi="arial" w:cs="arial"/>
          <w:color w:val="000000"/>
          <w:sz w:val="20"/>
          <w:lang w:val="en-US" w:eastAsia="en-US" w:bidi="ar-SA"/>
        </w:rPr>
        <w:t xml:space="preserve">) of the </w:t>
      </w:r>
      <w:r>
        <w:rPr>
          <w:rFonts w:ascii="arial" w:eastAsia="arial" w:hAnsi="arial" w:cs="arial"/>
          <w:i/>
          <w:color w:val="000000"/>
          <w:sz w:val="20"/>
          <w:lang w:val="en-US" w:eastAsia="en-US" w:bidi="ar-SA"/>
        </w:rPr>
        <w:t>Charter</w:t>
      </w:r>
      <w:r>
        <w:rPr>
          <w:rFonts w:ascii="arial" w:eastAsia="arial" w:hAnsi="arial" w:cs="arial"/>
          <w:color w:val="000000"/>
          <w:sz w:val="20"/>
          <w:lang w:val="en-US" w:eastAsia="en-US" w:bidi="ar-SA"/>
        </w:rPr>
        <w:t xml:space="preserve"> protects the right to associate to achieve collective goals. Laws or state actions that substantially interfere with the ability to achieve workplace goals through collective actions have the effect of negating the right of free association and therefore constitute a limit on the s. 2(</w:t>
      </w:r>
      <w:r>
        <w:rPr>
          <w:rFonts w:ascii="arial" w:eastAsia="arial" w:hAnsi="arial" w:cs="arial"/>
          <w:i/>
          <w:color w:val="000000"/>
          <w:sz w:val="20"/>
          <w:lang w:val="en-US" w:eastAsia="en-US" w:bidi="ar-SA"/>
        </w:rPr>
        <w:t>d</w:t>
      </w:r>
      <w:r>
        <w:rPr>
          <w:rFonts w:ascii="arial" w:eastAsia="arial" w:hAnsi="arial" w:cs="arial"/>
          <w:color w:val="000000"/>
          <w:sz w:val="20"/>
          <w:lang w:val="en-US" w:eastAsia="en-US" w:bidi="ar-SA"/>
        </w:rPr>
        <w:t xml:space="preserve">) right of free association, which renders the law or action unconstitutional unless it is justified under s. 1 of the </w:t>
      </w:r>
      <w:r>
        <w:rPr>
          <w:rFonts w:ascii="arial" w:eastAsia="arial" w:hAnsi="arial" w:cs="arial"/>
          <w:i/>
          <w:color w:val="000000"/>
          <w:sz w:val="20"/>
          <w:lang w:val="en-US" w:eastAsia="en-US" w:bidi="ar-SA"/>
        </w:rPr>
        <w:t>Charter.</w:t>
      </w:r>
      <w:r>
        <w:rPr>
          <w:rFonts w:ascii="arial" w:eastAsia="arial" w:hAnsi="arial" w:cs="arial"/>
          <w:color w:val="000000"/>
          <w:sz w:val="20"/>
          <w:lang w:val="en-US" w:eastAsia="en-US" w:bidi="ar-SA"/>
        </w:rPr>
        <w:t xml:space="preserve"> </w:t>
      </w:r>
      <w:r>
        <w:rPr>
          <w:rFonts w:ascii="arial" w:eastAsia="arial" w:hAnsi="arial" w:cs="arial"/>
          <w:color w:val="000000"/>
          <w:sz w:val="20"/>
          <w:u w:val="single"/>
          <w:lang w:val="en-US" w:eastAsia="en-US" w:bidi="ar-SA"/>
        </w:rPr>
        <w:t>This requires a process of engagement that permits employee associations to make representations to employers, which employers must consider and discuss in good faith.</w:t>
      </w:r>
    </w:p>
    <w:p>
      <w:pPr>
        <w:spacing w:before="120" w:line="260" w:lineRule="atLeast"/>
        <w:ind w:left="3240"/>
        <w:rPr>
          <w:rFonts w:ascii="arial" w:eastAsia="arial" w:hAnsi="arial" w:cs="arial"/>
          <w:sz w:val="20"/>
          <w:lang w:val="en-US" w:eastAsia="en-US" w:bidi="ar-SA"/>
        </w:rPr>
      </w:pPr>
      <w:r>
        <w:rPr>
          <w:rFonts w:ascii="arial" w:eastAsia="arial" w:hAnsi="arial" w:cs="arial"/>
          <w:color w:val="000000"/>
          <w:sz w:val="20"/>
          <w:lang w:val="en-US" w:eastAsia="en-US" w:bidi="ar-SA"/>
        </w:rPr>
        <w:t>[Emphasis added.]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66</w:t>
      </w:r>
      <w:r>
        <w:rPr>
          <w:rFonts w:ascii="arial" w:eastAsia="arial" w:hAnsi="arial" w:cs="arial"/>
          <w:color w:val="000000"/>
          <w:sz w:val="20"/>
          <w:lang w:val="en-US" w:eastAsia="en-US" w:bidi="ar-SA"/>
        </w:rPr>
        <w:t xml:space="preserve">  In its summary of the case law, the Court in </w:t>
      </w:r>
      <w:r>
        <w:rPr>
          <w:rFonts w:ascii="arial" w:eastAsia="arial" w:hAnsi="arial" w:cs="arial"/>
          <w:i/>
          <w:color w:val="000000"/>
          <w:sz w:val="20"/>
          <w:lang w:val="en-US" w:eastAsia="en-US" w:bidi="ar-SA"/>
        </w:rPr>
        <w:t>Fraser</w:t>
      </w:r>
      <w:r>
        <w:rPr>
          <w:rFonts w:ascii="arial" w:eastAsia="arial" w:hAnsi="arial" w:cs="arial"/>
          <w:color w:val="000000"/>
          <w:sz w:val="20"/>
          <w:lang w:val="en-US" w:eastAsia="en-US" w:bidi="ar-SA"/>
        </w:rPr>
        <w:t xml:space="preserve"> did not mention anything about prior consultation potentially curing subsequent legislation from its substantial interference with freedom of association. It viewed the question as whether or not the legislation "makes meaningful association to achieve workplace goals effectively impossible" (at para. 98). This includes the question of whether the legislation itself (not the pre-legislation consultation process), "provides a process that satisfies this constitutional requirement", namely, "the right of an employees' association to make representations to the </w:t>
      </w:r>
      <w:r>
        <w:rPr>
          <w:rFonts w:ascii="arial" w:eastAsia="arial" w:hAnsi="arial" w:cs="arial"/>
          <w:color w:val="000000"/>
          <w:sz w:val="20"/>
          <w:u w:val="single"/>
          <w:lang w:val="en-US" w:eastAsia="en-US" w:bidi="ar-SA"/>
        </w:rPr>
        <w:t>employer</w:t>
      </w:r>
      <w:r>
        <w:rPr>
          <w:rFonts w:ascii="arial" w:eastAsia="arial" w:hAnsi="arial" w:cs="arial"/>
          <w:color w:val="000000"/>
          <w:sz w:val="20"/>
          <w:lang w:val="en-US" w:eastAsia="en-US" w:bidi="ar-SA"/>
        </w:rPr>
        <w:t xml:space="preserve"> and have its views considered in good faith" (at para. 99). [Emphasis added.]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67</w:t>
      </w:r>
      <w:r>
        <w:rPr>
          <w:rFonts w:ascii="arial" w:eastAsia="arial" w:hAnsi="arial" w:cs="arial"/>
          <w:color w:val="000000"/>
          <w:sz w:val="20"/>
          <w:lang w:val="en-US" w:eastAsia="en-US" w:bidi="ar-SA"/>
        </w:rPr>
        <w:t xml:space="preserve">  The majority judgment in </w:t>
      </w:r>
      <w:r>
        <w:rPr>
          <w:rFonts w:ascii="arial" w:eastAsia="arial" w:hAnsi="arial" w:cs="arial"/>
          <w:i/>
          <w:color w:val="000000"/>
          <w:sz w:val="20"/>
          <w:lang w:val="en-US" w:eastAsia="en-US" w:bidi="ar-SA"/>
        </w:rPr>
        <w:t>Fraser</w:t>
      </w:r>
      <w:r>
        <w:rPr>
          <w:rFonts w:ascii="arial" w:eastAsia="arial" w:hAnsi="arial" w:cs="arial"/>
          <w:color w:val="000000"/>
          <w:sz w:val="20"/>
          <w:lang w:val="en-US" w:eastAsia="en-US" w:bidi="ar-SA"/>
        </w:rPr>
        <w:t xml:space="preserve"> summarized </w:t>
      </w:r>
      <w:r>
        <w:rPr>
          <w:rFonts w:ascii="arial" w:eastAsia="arial" w:hAnsi="arial" w:cs="arial"/>
          <w:i/>
          <w:color w:val="000000"/>
          <w:sz w:val="20"/>
          <w:lang w:val="en-US" w:eastAsia="en-US" w:bidi="ar-SA"/>
        </w:rPr>
        <w:t>Health Services</w:t>
      </w:r>
      <w:r>
        <w:rPr>
          <w:rFonts w:ascii="arial" w:eastAsia="arial" w:hAnsi="arial" w:cs="arial"/>
          <w:color w:val="000000"/>
          <w:sz w:val="20"/>
          <w:lang w:val="en-US" w:eastAsia="en-US" w:bidi="ar-SA"/>
        </w:rPr>
        <w:t xml:space="preserve"> without any reference to consultation or the lack thereof being a factor in the s. 2(d) analysis: see para. 37.</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The Bill 28 Decision and Consultation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68</w:t>
      </w:r>
      <w:r>
        <w:rPr>
          <w:rFonts w:ascii="arial" w:eastAsia="arial" w:hAnsi="arial" w:cs="arial"/>
          <w:color w:val="000000"/>
          <w:sz w:val="20"/>
          <w:lang w:val="en-US" w:eastAsia="en-US" w:bidi="ar-SA"/>
        </w:rPr>
        <w:t xml:space="preserve">  The Bill 28 Decision applied the analytical steps laid out in </w:t>
      </w:r>
      <w:r>
        <w:rPr>
          <w:rFonts w:ascii="arial" w:eastAsia="arial" w:hAnsi="arial" w:cs="arial"/>
          <w:i/>
          <w:color w:val="000000"/>
          <w:sz w:val="20"/>
          <w:lang w:val="en-US" w:eastAsia="en-US" w:bidi="ar-SA"/>
        </w:rPr>
        <w:t>Health Services</w:t>
      </w:r>
      <w:r>
        <w:rPr>
          <w:rFonts w:ascii="arial" w:eastAsia="arial" w:hAnsi="arial" w:cs="arial"/>
          <w:color w:val="000000"/>
          <w:sz w:val="20"/>
          <w:lang w:val="en-US" w:eastAsia="en-US" w:bidi="ar-SA"/>
        </w:rPr>
        <w:t>. The absence of consultation prior to the legislation was mentioned as a factor in the Bill 28 Decision, both in terms of analyzing the process by which the legislation was brought about (para. 307), and in analyzing whether the legislation minimally impaired the right (paras. 365, 374). That of course does not mean that if any form of consultation had occurred, the legislation would have been saved.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69</w:t>
      </w:r>
      <w:r>
        <w:rPr>
          <w:rFonts w:ascii="arial" w:eastAsia="arial" w:hAnsi="arial" w:cs="arial"/>
          <w:color w:val="000000"/>
          <w:sz w:val="20"/>
          <w:lang w:val="en-US" w:eastAsia="en-US" w:bidi="ar-SA"/>
        </w:rPr>
        <w:t>  The present question regarding whether or not there is any distinction to be made as between the impact of a consultation process on government conduct as legislator versus government conduct as employer, was not argued or addressed in the Bill 28 Decision because there was no consultation.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70</w:t>
      </w:r>
      <w:r>
        <w:rPr>
          <w:rFonts w:ascii="arial" w:eastAsia="arial" w:hAnsi="arial" w:cs="arial"/>
          <w:color w:val="000000"/>
          <w:sz w:val="20"/>
          <w:lang w:val="en-US" w:eastAsia="en-US" w:bidi="ar-SA"/>
        </w:rPr>
        <w:t xml:space="preserve">  Further, the Bill 28 Decision was delivered before the Supreme Court of Canada's further clarification of the s. 2(d) </w:t>
      </w:r>
      <w:r>
        <w:rPr>
          <w:rFonts w:ascii="arial" w:eastAsia="arial" w:hAnsi="arial" w:cs="arial"/>
          <w:i/>
          <w:color w:val="000000"/>
          <w:sz w:val="20"/>
          <w:lang w:val="en-US" w:eastAsia="en-US" w:bidi="ar-SA"/>
        </w:rPr>
        <w:t>Charter</w:t>
      </w:r>
      <w:r>
        <w:rPr>
          <w:rFonts w:ascii="arial" w:eastAsia="arial" w:hAnsi="arial" w:cs="arial"/>
          <w:color w:val="000000"/>
          <w:sz w:val="20"/>
          <w:lang w:val="en-US" w:eastAsia="en-US" w:bidi="ar-SA"/>
        </w:rPr>
        <w:t xml:space="preserve"> protection in </w:t>
      </w:r>
      <w:r>
        <w:rPr>
          <w:rFonts w:ascii="arial" w:eastAsia="arial" w:hAnsi="arial" w:cs="arial"/>
          <w:i/>
          <w:color w:val="000000"/>
          <w:sz w:val="20"/>
          <w:lang w:val="en-US" w:eastAsia="en-US" w:bidi="ar-SA"/>
        </w:rPr>
        <w:t>Fraser</w:t>
      </w:r>
      <w:r>
        <w:rPr>
          <w:rFonts w:ascii="arial" w:eastAsia="arial" w:hAnsi="arial" w:cs="arial"/>
          <w:color w:val="000000"/>
          <w:sz w:val="20"/>
          <w:lang w:val="en-US" w:eastAsia="en-US" w:bidi="ar-SA"/>
        </w:rPr>
        <w:t>, in which there was no mention of consultation as a factor.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71</w:t>
      </w:r>
      <w:r>
        <w:rPr>
          <w:rFonts w:ascii="arial" w:eastAsia="arial" w:hAnsi="arial" w:cs="arial"/>
          <w:color w:val="000000"/>
          <w:sz w:val="20"/>
          <w:lang w:val="en-US" w:eastAsia="en-US" w:bidi="ar-SA"/>
        </w:rPr>
        <w:t>  The Bill 28 Decision did not suggest or consider that government consultation after a determination that legislation is invalid could potentially cure the unconstitutionality of the legislation. This proposition was not argued.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Analysis of Relevance of Pre-Legislative Consultation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72</w:t>
      </w:r>
      <w:r>
        <w:rPr>
          <w:rFonts w:ascii="arial" w:eastAsia="arial" w:hAnsi="arial" w:cs="arial"/>
          <w:color w:val="000000"/>
          <w:sz w:val="20"/>
          <w:lang w:val="en-US" w:eastAsia="en-US" w:bidi="ar-SA"/>
        </w:rPr>
        <w:t xml:space="preserve">  As I have reviewed, the Supreme Court of Canada in </w:t>
      </w:r>
      <w:r>
        <w:rPr>
          <w:rFonts w:ascii="arial" w:eastAsia="arial" w:hAnsi="arial" w:cs="arial"/>
          <w:i/>
          <w:color w:val="000000"/>
          <w:sz w:val="20"/>
          <w:lang w:val="en-US" w:eastAsia="en-US" w:bidi="ar-SA"/>
        </w:rPr>
        <w:t>Health Services</w:t>
      </w:r>
      <w:r>
        <w:rPr>
          <w:rFonts w:ascii="arial" w:eastAsia="arial" w:hAnsi="arial" w:cs="arial"/>
          <w:color w:val="000000"/>
          <w:sz w:val="20"/>
          <w:lang w:val="en-US" w:eastAsia="en-US" w:bidi="ar-SA"/>
        </w:rPr>
        <w:t xml:space="preserve"> suggested that government consultation has two possible areas of relevance in a case where it is alleged that the government interfered with s. 2(d) rights:</w:t>
      </w:r>
      <w:r>
        <w:rPr>
          <w:rFonts w:ascii="arial" w:eastAsia="arial" w:hAnsi="arial" w:cs="arial"/>
          <w:sz w:val="20"/>
          <w:lang w:val="en-US" w:eastAsia="en-US" w:bidi="ar-SA"/>
        </w:rPr>
        <w:cr/>
      </w:r>
    </w:p>
    <w:p>
      <w:pPr>
        <w:numPr>
          <w:numId w:val="2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in the second stage of the inquiry as to whether or not the government conduct amounts to substantial interference with employees' freedom of association under s. 2(d);</w:t>
      </w:r>
    </w:p>
    <w:p>
      <w:pPr>
        <w:numPr>
          <w:numId w:val="2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in determining whether a s. 2(d) violation is saved under s. 1 of the </w:t>
      </w:r>
      <w:r>
        <w:rPr>
          <w:rFonts w:ascii="arial" w:eastAsia="arial" w:hAnsi="arial" w:cs="arial"/>
          <w:i/>
          <w:color w:val="000000"/>
          <w:sz w:val="20"/>
          <w:lang w:val="en-US" w:eastAsia="en-US" w:bidi="ar-SA"/>
        </w:rPr>
        <w:t>Charter</w:t>
      </w:r>
      <w:r>
        <w:rPr>
          <w:rFonts w:ascii="arial" w:eastAsia="arial" w:hAnsi="arial" w:cs="arial"/>
          <w:color w:val="000000"/>
          <w:sz w:val="20"/>
          <w:lang w:val="en-US" w:eastAsia="en-US" w:bidi="ar-SA"/>
        </w:rPr>
        <w:t>, as a minimal impairment of the right.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73</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Fraser</w:t>
      </w:r>
      <w:r>
        <w:rPr>
          <w:rFonts w:ascii="arial" w:eastAsia="arial" w:hAnsi="arial" w:cs="arial"/>
          <w:color w:val="000000"/>
          <w:sz w:val="20"/>
          <w:lang w:val="en-US" w:eastAsia="en-US" w:bidi="ar-SA"/>
        </w:rPr>
        <w:t>, the Court did not refer to consultation as relevant.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74</w:t>
      </w:r>
      <w:r>
        <w:rPr>
          <w:rFonts w:ascii="arial" w:eastAsia="arial" w:hAnsi="arial" w:cs="arial"/>
          <w:color w:val="000000"/>
          <w:sz w:val="20"/>
          <w:lang w:val="en-US" w:eastAsia="en-US" w:bidi="ar-SA"/>
        </w:rPr>
        <w:t xml:space="preserve">  In my view, the ambiguity in </w:t>
      </w:r>
      <w:r>
        <w:rPr>
          <w:rFonts w:ascii="arial" w:eastAsia="arial" w:hAnsi="arial" w:cs="arial"/>
          <w:i/>
          <w:color w:val="000000"/>
          <w:sz w:val="20"/>
          <w:lang w:val="en-US" w:eastAsia="en-US" w:bidi="ar-SA"/>
        </w:rPr>
        <w:t>Health Services</w:t>
      </w:r>
      <w:r>
        <w:rPr>
          <w:rFonts w:ascii="arial" w:eastAsia="arial" w:hAnsi="arial" w:cs="arial"/>
          <w:color w:val="000000"/>
          <w:sz w:val="20"/>
          <w:lang w:val="en-US" w:eastAsia="en-US" w:bidi="ar-SA"/>
        </w:rPr>
        <w:t xml:space="preserve"> regarding the relevance of consultation prior to the impugned government conduct, and the majority approach in </w:t>
      </w:r>
      <w:r>
        <w:rPr>
          <w:rFonts w:ascii="arial" w:eastAsia="arial" w:hAnsi="arial" w:cs="arial"/>
          <w:i/>
          <w:color w:val="000000"/>
          <w:sz w:val="20"/>
          <w:lang w:val="en-US" w:eastAsia="en-US" w:bidi="ar-SA"/>
        </w:rPr>
        <w:t>Fraser</w:t>
      </w:r>
      <w:r>
        <w:rPr>
          <w:rFonts w:ascii="arial" w:eastAsia="arial" w:hAnsi="arial" w:cs="arial"/>
          <w:color w:val="000000"/>
          <w:sz w:val="20"/>
          <w:lang w:val="en-US" w:eastAsia="en-US" w:bidi="ar-SA"/>
        </w:rPr>
        <w:t xml:space="preserve"> which did not consider pre-legislative consultation as being at all relevant to the question of a violation of the s. 2(d) right, can be reconciled if one distinguishes between consultation on legislation; and consultation which is similar to collective bargaining in a situation where the government is acting as employer.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75</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Fraser</w:t>
      </w:r>
      <w:r>
        <w:rPr>
          <w:rFonts w:ascii="arial" w:eastAsia="arial" w:hAnsi="arial" w:cs="arial"/>
          <w:color w:val="000000"/>
          <w:sz w:val="20"/>
          <w:lang w:val="en-US" w:eastAsia="en-US" w:bidi="ar-SA"/>
        </w:rPr>
        <w:t>, the government was not the employer. What was at issue was not the legislated deletion of past negotiated collective agreement terms. Rather, what was at issue was whether the legislative scheme introduced for agricultural workers violated their s. 2(d) rights.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76</w:t>
      </w:r>
      <w:r>
        <w:rPr>
          <w:rFonts w:ascii="arial" w:eastAsia="arial" w:hAnsi="arial" w:cs="arial"/>
          <w:color w:val="000000"/>
          <w:sz w:val="20"/>
          <w:lang w:val="en-US" w:eastAsia="en-US" w:bidi="ar-SA"/>
        </w:rPr>
        <w:t xml:space="preserve">  The Court in </w:t>
      </w:r>
      <w:r>
        <w:rPr>
          <w:rFonts w:ascii="arial" w:eastAsia="arial" w:hAnsi="arial" w:cs="arial"/>
          <w:i/>
          <w:color w:val="000000"/>
          <w:sz w:val="20"/>
          <w:lang w:val="en-US" w:eastAsia="en-US" w:bidi="ar-SA"/>
        </w:rPr>
        <w:t>Health Services</w:t>
      </w:r>
      <w:r>
        <w:rPr>
          <w:rFonts w:ascii="arial" w:eastAsia="arial" w:hAnsi="arial" w:cs="arial"/>
          <w:color w:val="000000"/>
          <w:sz w:val="20"/>
          <w:lang w:val="en-US" w:eastAsia="en-US" w:bidi="ar-SA"/>
        </w:rPr>
        <w:t xml:space="preserve"> identified that the challenge in that case was against government conduct as legislator, not as employer (at para. 88). Nevertheless, the fact that the unions involved public sector workers whose employment costs were funded by the government was an important part of the context. The Court's later review of </w:t>
      </w:r>
      <w:r>
        <w:rPr>
          <w:rFonts w:ascii="arial" w:eastAsia="arial" w:hAnsi="arial" w:cs="arial"/>
          <w:i/>
          <w:color w:val="000000"/>
          <w:sz w:val="20"/>
          <w:lang w:val="en-US" w:eastAsia="en-US" w:bidi="ar-SA"/>
        </w:rPr>
        <w:t>Health Services</w:t>
      </w:r>
      <w:r>
        <w:rPr>
          <w:rFonts w:ascii="arial" w:eastAsia="arial" w:hAnsi="arial" w:cs="arial"/>
          <w:color w:val="000000"/>
          <w:sz w:val="20"/>
          <w:lang w:val="en-US" w:eastAsia="en-US" w:bidi="ar-SA"/>
        </w:rPr>
        <w:t xml:space="preserve"> suggests that the Court subsequently understood its decision as in part being based on the government being the indirect or direct employer of the affected employees: see para. 35 of </w:t>
      </w:r>
      <w:r>
        <w:rPr>
          <w:rFonts w:ascii="arial" w:eastAsia="arial" w:hAnsi="arial" w:cs="arial"/>
          <w:i/>
          <w:color w:val="000000"/>
          <w:sz w:val="20"/>
          <w:lang w:val="en-US" w:eastAsia="en-US" w:bidi="ar-SA"/>
        </w:rPr>
        <w:t>Fraser</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77</w:t>
      </w:r>
      <w:r>
        <w:rPr>
          <w:rFonts w:ascii="arial" w:eastAsia="arial" w:hAnsi="arial" w:cs="arial"/>
          <w:color w:val="000000"/>
          <w:sz w:val="20"/>
          <w:lang w:val="en-US" w:eastAsia="en-US" w:bidi="ar-SA"/>
        </w:rPr>
        <w:t xml:space="preserve">  When the majority in </w:t>
      </w:r>
      <w:r>
        <w:rPr>
          <w:rFonts w:ascii="arial" w:eastAsia="arial" w:hAnsi="arial" w:cs="arial"/>
          <w:i/>
          <w:color w:val="000000"/>
          <w:sz w:val="20"/>
          <w:lang w:val="en-US" w:eastAsia="en-US" w:bidi="ar-SA"/>
        </w:rPr>
        <w:t>Health Services</w:t>
      </w:r>
      <w:r>
        <w:rPr>
          <w:rFonts w:ascii="arial" w:eastAsia="arial" w:hAnsi="arial" w:cs="arial"/>
          <w:color w:val="000000"/>
          <w:sz w:val="20"/>
          <w:lang w:val="en-US" w:eastAsia="en-US" w:bidi="ar-SA"/>
        </w:rPr>
        <w:t xml:space="preserve"> spoke of the relevance of the process by which the impugned government conduct came about, and whether that process respected the fundamental precepts of collective bargaining, it was attempting to set out general principles that would apply to government conduct whether as legislator or as employer. But when it came to analyzing the constitutionality of the challenged legislation at issue in that case, the lack of prior consultation was not a factor in concluding that the legislation on its face significantly interfered with the s. 2(d) right.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78</w:t>
      </w:r>
      <w:r>
        <w:rPr>
          <w:rFonts w:ascii="arial" w:eastAsia="arial" w:hAnsi="arial" w:cs="arial"/>
          <w:color w:val="000000"/>
          <w:sz w:val="20"/>
          <w:lang w:val="en-US" w:eastAsia="en-US" w:bidi="ar-SA"/>
        </w:rPr>
        <w:t xml:space="preserve">  The majority in </w:t>
      </w:r>
      <w:r>
        <w:rPr>
          <w:rFonts w:ascii="arial" w:eastAsia="arial" w:hAnsi="arial" w:cs="arial"/>
          <w:i/>
          <w:color w:val="000000"/>
          <w:sz w:val="20"/>
          <w:lang w:val="en-US" w:eastAsia="en-US" w:bidi="ar-SA"/>
        </w:rPr>
        <w:t>Health Services</w:t>
      </w:r>
      <w:r>
        <w:rPr>
          <w:rFonts w:ascii="arial" w:eastAsia="arial" w:hAnsi="arial" w:cs="arial"/>
          <w:color w:val="000000"/>
          <w:sz w:val="20"/>
          <w:lang w:val="en-US" w:eastAsia="en-US" w:bidi="ar-SA"/>
        </w:rPr>
        <w:t xml:space="preserve"> reinforced the principle that legislatures are not required to consult prior to enacting legislation (at para. 157; see also </w:t>
      </w:r>
      <w:r>
        <w:rPr>
          <w:rFonts w:ascii="arial" w:eastAsia="arial" w:hAnsi="arial" w:cs="arial"/>
          <w:i/>
          <w:color w:val="000000"/>
          <w:sz w:val="20"/>
          <w:lang w:val="en-US" w:eastAsia="en-US" w:bidi="ar-SA"/>
        </w:rPr>
        <w:t>Authorson v. Canada (Attorney General)</w:t>
      </w:r>
      <w:r>
        <w:rPr>
          <w:rFonts w:ascii="arial" w:eastAsia="arial" w:hAnsi="arial" w:cs="arial"/>
          <w:color w:val="000000"/>
          <w:sz w:val="20"/>
          <w:lang w:val="en-US" w:eastAsia="en-US" w:bidi="ar-SA"/>
        </w:rPr>
        <w:t xml:space="preserve">, </w:t>
      </w:r>
      <w:hyperlink r:id="rId846" w:history="1">
        <w:r>
          <w:rPr>
            <w:rFonts w:ascii="arial" w:eastAsia="arial" w:hAnsi="arial" w:cs="arial"/>
            <w:i/>
            <w:color w:val="0077CC"/>
            <w:sz w:val="20"/>
            <w:u w:val="single"/>
            <w:shd w:val="clear" w:color="auto" w:fill="FFFFFF"/>
            <w:lang w:val="en-US" w:eastAsia="en-US" w:bidi="ar-SA"/>
          </w:rPr>
          <w:t>2003 SCC 39</w:t>
        </w:r>
      </w:hyperlink>
      <w:r>
        <w:rPr>
          <w:rFonts w:ascii="arial" w:eastAsia="arial" w:hAnsi="arial" w:cs="arial"/>
          <w:color w:val="000000"/>
          <w:sz w:val="20"/>
          <w:lang w:val="en-US" w:eastAsia="en-US" w:bidi="ar-SA"/>
        </w:rPr>
        <w:t xml:space="preserve">). Likewise, the majority in </w:t>
      </w:r>
      <w:r>
        <w:rPr>
          <w:rFonts w:ascii="arial" w:eastAsia="arial" w:hAnsi="arial" w:cs="arial"/>
          <w:i/>
          <w:color w:val="000000"/>
          <w:sz w:val="20"/>
          <w:lang w:val="en-US" w:eastAsia="en-US" w:bidi="ar-SA"/>
        </w:rPr>
        <w:t>Fraser</w:t>
      </w:r>
      <w:r>
        <w:rPr>
          <w:rFonts w:ascii="arial" w:eastAsia="arial" w:hAnsi="arial" w:cs="arial"/>
          <w:color w:val="000000"/>
          <w:sz w:val="20"/>
          <w:lang w:val="en-US" w:eastAsia="en-US" w:bidi="ar-SA"/>
        </w:rPr>
        <w:t xml:space="preserve"> emphasised that judicial deference to Parliament does not play a part in the s. 2(d) analysis but only in the s. 1 analysis at the minimal impairment stage (at para. 81). These comments are consistent with the conclusion that when considering whether or not there is a s. 2(d) infringement there is little need to examine government pre-legislative consultation when assessing the government's role as legislator, not as employer.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79</w:t>
      </w:r>
      <w:r>
        <w:rPr>
          <w:rFonts w:ascii="arial" w:eastAsia="arial" w:hAnsi="arial" w:cs="arial"/>
          <w:color w:val="000000"/>
          <w:sz w:val="20"/>
          <w:lang w:val="en-US" w:eastAsia="en-US" w:bidi="ar-SA"/>
        </w:rPr>
        <w:t xml:space="preserve">  If legislation on its face substantially interferes with s. 2(d) </w:t>
      </w:r>
      <w:r>
        <w:rPr>
          <w:rFonts w:ascii="arial" w:eastAsia="arial" w:hAnsi="arial" w:cs="arial"/>
          <w:i/>
          <w:color w:val="000000"/>
          <w:sz w:val="20"/>
          <w:lang w:val="en-US" w:eastAsia="en-US" w:bidi="ar-SA"/>
        </w:rPr>
        <w:t>Charter</w:t>
      </w:r>
      <w:r>
        <w:rPr>
          <w:rFonts w:ascii="arial" w:eastAsia="arial" w:hAnsi="arial" w:cs="arial"/>
          <w:color w:val="000000"/>
          <w:sz w:val="20"/>
          <w:lang w:val="en-US" w:eastAsia="en-US" w:bidi="ar-SA"/>
        </w:rPr>
        <w:t xml:space="preserve"> rights, it is hard to envision many situations where pre-legislative consultation would "save" the effect such that the legislation would be found not to substantially interfere with s. 2(d) rights, unless in its consultation the government was acting </w:t>
      </w:r>
      <w:r>
        <w:rPr>
          <w:rFonts w:ascii="arial" w:eastAsia="arial" w:hAnsi="arial" w:cs="arial"/>
          <w:i/>
          <w:color w:val="000000"/>
          <w:sz w:val="20"/>
          <w:lang w:val="en-US" w:eastAsia="en-US" w:bidi="ar-SA"/>
        </w:rPr>
        <w:t>qua</w:t>
      </w:r>
      <w:r>
        <w:rPr>
          <w:rFonts w:ascii="arial" w:eastAsia="arial" w:hAnsi="arial" w:cs="arial"/>
          <w:color w:val="000000"/>
          <w:sz w:val="20"/>
          <w:lang w:val="en-US" w:eastAsia="en-US" w:bidi="ar-SA"/>
        </w:rPr>
        <w:t xml:space="preserve"> employer in respect of the people affected by the legislation.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80</w:t>
      </w:r>
      <w:r>
        <w:rPr>
          <w:rFonts w:ascii="arial" w:eastAsia="arial" w:hAnsi="arial" w:cs="arial"/>
          <w:color w:val="000000"/>
          <w:sz w:val="20"/>
          <w:lang w:val="en-US" w:eastAsia="en-US" w:bidi="ar-SA"/>
        </w:rPr>
        <w:t xml:space="preserve">  One can imagine the hypothetical situation where the government as employer engages in a process akin to collective bargaining with a single union, but due to an impasse, then passes legislation which imposes some terms of the collective agreement for a limited time period without otherwise restricting future collective bargaining. This may have been the hypothetical situation envisioned by the majority judgment in </w:t>
      </w:r>
      <w:r>
        <w:rPr>
          <w:rFonts w:ascii="arial" w:eastAsia="arial" w:hAnsi="arial" w:cs="arial"/>
          <w:i/>
          <w:color w:val="000000"/>
          <w:sz w:val="20"/>
          <w:lang w:val="en-US" w:eastAsia="en-US" w:bidi="ar-SA"/>
        </w:rPr>
        <w:t>Health Services</w:t>
      </w:r>
      <w:r>
        <w:rPr>
          <w:rFonts w:ascii="arial" w:eastAsia="arial" w:hAnsi="arial" w:cs="arial"/>
          <w:color w:val="000000"/>
          <w:sz w:val="20"/>
          <w:lang w:val="en-US" w:eastAsia="en-US" w:bidi="ar-SA"/>
        </w:rPr>
        <w:t xml:space="preserve"> in noting that the process of consultation may be relevant to the s. 2(d) analysis.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81</w:t>
      </w:r>
      <w:r>
        <w:rPr>
          <w:rFonts w:ascii="arial" w:eastAsia="arial" w:hAnsi="arial" w:cs="arial"/>
          <w:color w:val="000000"/>
          <w:sz w:val="20"/>
          <w:lang w:val="en-US" w:eastAsia="en-US" w:bidi="ar-SA"/>
        </w:rPr>
        <w:t xml:space="preserve">  But where the government is not the employer and passes legislation after an employer-employee labour negotiations impasse, it is difficult to see how government pre-legislation consultation with the union could be relevant to the question of whether or not the legislation substantially interferes with the s. 2(d) right. However, in that situation, government pre-legislation consultation could be relevant to the s. 1 </w:t>
      </w:r>
      <w:r>
        <w:rPr>
          <w:rFonts w:ascii="arial" w:eastAsia="arial" w:hAnsi="arial" w:cs="arial"/>
          <w:i/>
          <w:color w:val="000000"/>
          <w:sz w:val="20"/>
          <w:lang w:val="en-US" w:eastAsia="en-US" w:bidi="ar-SA"/>
        </w:rPr>
        <w:t>Charter</w:t>
      </w:r>
      <w:r>
        <w:rPr>
          <w:rFonts w:ascii="arial" w:eastAsia="arial" w:hAnsi="arial" w:cs="arial"/>
          <w:color w:val="000000"/>
          <w:sz w:val="20"/>
          <w:lang w:val="en-US" w:eastAsia="en-US" w:bidi="ar-SA"/>
        </w:rPr>
        <w:t xml:space="preserve"> analysis and the question of whether or not the government considered other solutions. Also, the background of the labour impasse could be relevant to understanding the context and any exigencies that applied to the situation.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82</w:t>
      </w:r>
      <w:r>
        <w:rPr>
          <w:rFonts w:ascii="arial" w:eastAsia="arial" w:hAnsi="arial" w:cs="arial"/>
          <w:color w:val="000000"/>
          <w:sz w:val="20"/>
          <w:lang w:val="en-US" w:eastAsia="en-US" w:bidi="ar-SA"/>
        </w:rPr>
        <w:t>  In trying to appreciate the distinction between government conduct as legislator and government conduct as employer, in my view it is also important to consider the normal remedies that flow from a constitutional challenge.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83</w:t>
      </w:r>
      <w:r>
        <w:rPr>
          <w:rFonts w:ascii="arial" w:eastAsia="arial" w:hAnsi="arial" w:cs="arial"/>
          <w:color w:val="000000"/>
          <w:sz w:val="20"/>
          <w:lang w:val="en-US" w:eastAsia="en-US" w:bidi="ar-SA"/>
        </w:rPr>
        <w:t xml:space="preserve">  Normally the remedy from a challenge to unconstitutional legislation is a declaration that the law is of no force and effect, as mandated by s. 52(1) of the </w:t>
      </w:r>
      <w:r>
        <w:rPr>
          <w:rFonts w:ascii="arial" w:eastAsia="arial" w:hAnsi="arial" w:cs="arial"/>
          <w:i/>
          <w:color w:val="000000"/>
          <w:sz w:val="20"/>
          <w:lang w:val="en-US" w:eastAsia="en-US" w:bidi="ar-SA"/>
        </w:rPr>
        <w:t>Constitution Act, 1982,</w:t>
      </w:r>
      <w:r>
        <w:rPr>
          <w:rFonts w:ascii="arial" w:eastAsia="arial" w:hAnsi="arial" w:cs="arial"/>
          <w:color w:val="000000"/>
          <w:sz w:val="20"/>
          <w:lang w:val="en-US" w:eastAsia="en-US" w:bidi="ar-SA"/>
        </w:rPr>
        <w:t xml:space="preserve"> being Schedule B to the </w:t>
      </w:r>
      <w:r>
        <w:rPr>
          <w:rFonts w:ascii="arial" w:eastAsia="arial" w:hAnsi="arial" w:cs="arial"/>
          <w:i/>
          <w:color w:val="000000"/>
          <w:sz w:val="20"/>
          <w:lang w:val="en-US" w:eastAsia="en-US" w:bidi="ar-SA"/>
        </w:rPr>
        <w:t>Canada Act 1982</w:t>
      </w:r>
      <w:r>
        <w:rPr>
          <w:rFonts w:ascii="arial" w:eastAsia="arial" w:hAnsi="arial" w:cs="arial"/>
          <w:color w:val="000000"/>
          <w:sz w:val="20"/>
          <w:lang w:val="en-US" w:eastAsia="en-US" w:bidi="ar-SA"/>
        </w:rPr>
        <w:t xml:space="preserve"> (U.K.), 1982, c. 11 [</w:t>
      </w:r>
      <w:r>
        <w:rPr>
          <w:rFonts w:ascii="arial" w:eastAsia="arial" w:hAnsi="arial" w:cs="arial"/>
          <w:i/>
          <w:color w:val="000000"/>
          <w:sz w:val="20"/>
          <w:lang w:val="en-US" w:eastAsia="en-US" w:bidi="ar-SA"/>
        </w:rPr>
        <w:t>Constitution Act</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84</w:t>
      </w:r>
      <w:r>
        <w:rPr>
          <w:rFonts w:ascii="arial" w:eastAsia="arial" w:hAnsi="arial" w:cs="arial"/>
          <w:color w:val="000000"/>
          <w:sz w:val="20"/>
          <w:lang w:val="en-US" w:eastAsia="en-US" w:bidi="ar-SA"/>
        </w:rPr>
        <w:t xml:space="preserve">  However the remedy for other, non-legislative government conduct which is in violation of </w:t>
      </w:r>
      <w:r>
        <w:rPr>
          <w:rFonts w:ascii="arial" w:eastAsia="arial" w:hAnsi="arial" w:cs="arial"/>
          <w:i/>
          <w:color w:val="000000"/>
          <w:sz w:val="20"/>
          <w:lang w:val="en-US" w:eastAsia="en-US" w:bidi="ar-SA"/>
        </w:rPr>
        <w:t>Charter</w:t>
      </w:r>
      <w:r>
        <w:rPr>
          <w:rFonts w:ascii="arial" w:eastAsia="arial" w:hAnsi="arial" w:cs="arial"/>
          <w:color w:val="000000"/>
          <w:sz w:val="20"/>
          <w:lang w:val="en-US" w:eastAsia="en-US" w:bidi="ar-SA"/>
        </w:rPr>
        <w:t xml:space="preserve"> rights flows from s. 24(1) of the </w:t>
      </w:r>
      <w:r>
        <w:rPr>
          <w:rFonts w:ascii="arial" w:eastAsia="arial" w:hAnsi="arial" w:cs="arial"/>
          <w:i/>
          <w:color w:val="000000"/>
          <w:sz w:val="20"/>
          <w:lang w:val="en-US" w:eastAsia="en-US" w:bidi="ar-SA"/>
        </w:rPr>
        <w:t>Charter</w:t>
      </w:r>
      <w:r>
        <w:rPr>
          <w:rFonts w:ascii="arial" w:eastAsia="arial" w:hAnsi="arial" w:cs="arial"/>
          <w:color w:val="000000"/>
          <w:sz w:val="20"/>
          <w:lang w:val="en-US" w:eastAsia="en-US" w:bidi="ar-SA"/>
        </w:rPr>
        <w:t xml:space="preserve">. The case law distinguishes between the two remedies and holds that rarely and in very limited circumstances can both remedies be granted: </w:t>
      </w:r>
      <w:r>
        <w:rPr>
          <w:rFonts w:ascii="arial" w:eastAsia="arial" w:hAnsi="arial" w:cs="arial"/>
          <w:i/>
          <w:color w:val="000000"/>
          <w:sz w:val="20"/>
          <w:lang w:val="en-US" w:eastAsia="en-US" w:bidi="ar-SA"/>
        </w:rPr>
        <w:t>Schachter v. Canada</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[1992] 2 S.C.R. 679</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Schachter</w:t>
      </w:r>
      <w:r>
        <w:rPr>
          <w:rFonts w:ascii="arial" w:eastAsia="arial" w:hAnsi="arial" w:cs="arial"/>
          <w:color w:val="000000"/>
          <w:sz w:val="20"/>
          <w:lang w:val="en-US" w:eastAsia="en-US" w:bidi="ar-SA"/>
        </w:rPr>
        <w:t xml:space="preserve">] at 720; </w:t>
      </w:r>
      <w:r>
        <w:rPr>
          <w:rFonts w:ascii="arial" w:eastAsia="arial" w:hAnsi="arial" w:cs="arial"/>
          <w:i/>
          <w:color w:val="000000"/>
          <w:sz w:val="20"/>
          <w:lang w:val="en-US" w:eastAsia="en-US" w:bidi="ar-SA"/>
        </w:rPr>
        <w:t>Mackin v. New Brunswick (Minister of Finance); Rice v. New Brunswick</w:t>
      </w:r>
      <w:r>
        <w:rPr>
          <w:rFonts w:ascii="arial" w:eastAsia="arial" w:hAnsi="arial" w:cs="arial"/>
          <w:color w:val="000000"/>
          <w:sz w:val="20"/>
          <w:lang w:val="en-US" w:eastAsia="en-US" w:bidi="ar-SA"/>
        </w:rPr>
        <w:t xml:space="preserve">, </w:t>
      </w:r>
      <w:hyperlink r:id="rId866" w:history="1">
        <w:r>
          <w:rPr>
            <w:rFonts w:ascii="arial" w:eastAsia="arial" w:hAnsi="arial" w:cs="arial"/>
            <w:i/>
            <w:color w:val="0077CC"/>
            <w:sz w:val="20"/>
            <w:u w:val="single"/>
            <w:shd w:val="clear" w:color="auto" w:fill="FFFFFF"/>
            <w:lang w:val="en-US" w:eastAsia="en-US" w:bidi="ar-SA"/>
          </w:rPr>
          <w:t>2002 SCC 13</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Mackin</w:t>
      </w:r>
      <w:r>
        <w:rPr>
          <w:rFonts w:ascii="arial" w:eastAsia="arial" w:hAnsi="arial" w:cs="arial"/>
          <w:color w:val="000000"/>
          <w:sz w:val="20"/>
          <w:lang w:val="en-US" w:eastAsia="en-US" w:bidi="ar-SA"/>
        </w:rPr>
        <w:t>] at paras. 78, 81.</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85</w:t>
      </w:r>
      <w:r>
        <w:rPr>
          <w:rFonts w:ascii="arial" w:eastAsia="arial" w:hAnsi="arial" w:cs="arial"/>
          <w:color w:val="000000"/>
          <w:sz w:val="20"/>
          <w:lang w:val="en-US" w:eastAsia="en-US" w:bidi="ar-SA"/>
        </w:rPr>
        <w:t xml:space="preserve">  The difference in remedies as between unconstitutional government legislation and unconstitutional government conduct as employer was the subject of comment in </w:t>
      </w:r>
      <w:r>
        <w:rPr>
          <w:rFonts w:ascii="arial" w:eastAsia="arial" w:hAnsi="arial" w:cs="arial"/>
          <w:i/>
          <w:color w:val="000000"/>
          <w:sz w:val="20"/>
          <w:lang w:val="en-US" w:eastAsia="en-US" w:bidi="ar-SA"/>
        </w:rPr>
        <w:t>Meredith v. Canada (Attorney General),</w:t>
      </w:r>
      <w:r>
        <w:rPr>
          <w:rFonts w:ascii="arial" w:eastAsia="arial" w:hAnsi="arial" w:cs="arial"/>
          <w:color w:val="000000"/>
          <w:sz w:val="20"/>
          <w:lang w:val="en-US" w:eastAsia="en-US" w:bidi="ar-SA"/>
        </w:rPr>
        <w:t xml:space="preserve"> </w:t>
      </w:r>
      <w:hyperlink r:id="rId867" w:history="1">
        <w:r>
          <w:rPr>
            <w:rFonts w:ascii="arial" w:eastAsia="arial" w:hAnsi="arial" w:cs="arial"/>
            <w:i/>
            <w:color w:val="0077CC"/>
            <w:sz w:val="20"/>
            <w:u w:val="single"/>
            <w:shd w:val="clear" w:color="auto" w:fill="FFFFFF"/>
            <w:lang w:val="en-US" w:eastAsia="en-US" w:bidi="ar-SA"/>
          </w:rPr>
          <w:t>2013 FCA 112</w:t>
        </w:r>
      </w:hyperlink>
      <w:r>
        <w:rPr>
          <w:rFonts w:ascii="arial" w:eastAsia="arial" w:hAnsi="arial" w:cs="arial"/>
          <w:color w:val="000000"/>
          <w:sz w:val="20"/>
          <w:lang w:val="en-US" w:eastAsia="en-US" w:bidi="ar-SA"/>
        </w:rPr>
        <w:t>. There the Federal Court of Appeal found the trial judge to have erred in not considering the two issues separately and contextually, noting that the differing remedies require separate analysis (at paras. 61-65).</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86</w:t>
      </w:r>
      <w:r>
        <w:rPr>
          <w:rFonts w:ascii="arial" w:eastAsia="arial" w:hAnsi="arial" w:cs="arial"/>
          <w:color w:val="000000"/>
          <w:sz w:val="20"/>
          <w:lang w:val="en-US" w:eastAsia="en-US" w:bidi="ar-SA"/>
        </w:rPr>
        <w:t xml:space="preserve">  What would happen in a situation where the government passed a law which on its face substantially interfered with s. 2(d) </w:t>
      </w:r>
      <w:r>
        <w:rPr>
          <w:rFonts w:ascii="arial" w:eastAsia="arial" w:hAnsi="arial" w:cs="arial"/>
          <w:i/>
          <w:color w:val="000000"/>
          <w:sz w:val="20"/>
          <w:lang w:val="en-US" w:eastAsia="en-US" w:bidi="ar-SA"/>
        </w:rPr>
        <w:t>Charter</w:t>
      </w:r>
      <w:r>
        <w:rPr>
          <w:rFonts w:ascii="arial" w:eastAsia="arial" w:hAnsi="arial" w:cs="arial"/>
          <w:color w:val="000000"/>
          <w:sz w:val="20"/>
          <w:lang w:val="en-US" w:eastAsia="en-US" w:bidi="ar-SA"/>
        </w:rPr>
        <w:t xml:space="preserve"> rights of a large group of workers, for example encompassing several unions, but it consulted with one union representing a small subset of those workers prior to passing the law? Would the law be saved with respect to the small subset of workers but be deemed of no force and effect with respect to the other workers?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87</w:t>
      </w:r>
      <w:r>
        <w:rPr>
          <w:rFonts w:ascii="arial" w:eastAsia="arial" w:hAnsi="arial" w:cs="arial"/>
          <w:color w:val="000000"/>
          <w:sz w:val="20"/>
          <w:lang w:val="en-US" w:eastAsia="en-US" w:bidi="ar-SA"/>
        </w:rPr>
        <w:t xml:space="preserve">  Of course different remedies for an unconstitutional law are discouraged as contrary to the rule of law. As noted, the typical remedy for an unconstitutional law is to strike down the law, unless it can be saved by striking down only part of the law or by reading in content to make the law constitutional. As held in </w:t>
      </w:r>
      <w:r>
        <w:rPr>
          <w:rFonts w:ascii="arial" w:eastAsia="arial" w:hAnsi="arial" w:cs="arial"/>
          <w:i/>
          <w:color w:val="000000"/>
          <w:sz w:val="20"/>
          <w:lang w:val="en-US" w:eastAsia="en-US" w:bidi="ar-SA"/>
        </w:rPr>
        <w:t>R. v. Ferguson</w:t>
      </w:r>
      <w:r>
        <w:rPr>
          <w:rFonts w:ascii="arial" w:eastAsia="arial" w:hAnsi="arial" w:cs="arial"/>
          <w:color w:val="000000"/>
          <w:sz w:val="20"/>
          <w:lang w:val="en-US" w:eastAsia="en-US" w:bidi="ar-SA"/>
        </w:rPr>
        <w:t xml:space="preserve">, </w:t>
      </w:r>
      <w:hyperlink r:id="rId872" w:history="1">
        <w:r>
          <w:rPr>
            <w:rFonts w:ascii="arial" w:eastAsia="arial" w:hAnsi="arial" w:cs="arial"/>
            <w:i/>
            <w:color w:val="0077CC"/>
            <w:sz w:val="20"/>
            <w:u w:val="single"/>
            <w:shd w:val="clear" w:color="auto" w:fill="FFFFFF"/>
            <w:lang w:val="en-US" w:eastAsia="en-US" w:bidi="ar-SA"/>
          </w:rPr>
          <w:t>2008 SCC 6</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Ferguson</w:t>
      </w:r>
      <w:r>
        <w:rPr>
          <w:rFonts w:ascii="arial" w:eastAsia="arial" w:hAnsi="arial" w:cs="arial"/>
          <w:color w:val="000000"/>
          <w:sz w:val="20"/>
          <w:lang w:val="en-US" w:eastAsia="en-US" w:bidi="ar-SA"/>
        </w:rPr>
        <w:t>] at para. 65:</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presence of s. 52(1) with its mandatory wording suggests an intention of the framers of the </w:t>
      </w:r>
      <w:r>
        <w:rPr>
          <w:rFonts w:ascii="arial" w:eastAsia="arial" w:hAnsi="arial" w:cs="arial"/>
          <w:i/>
          <w:color w:val="000000"/>
          <w:sz w:val="20"/>
          <w:lang w:val="en-US" w:eastAsia="en-US" w:bidi="ar-SA"/>
        </w:rPr>
        <w:t>Charter</w:t>
      </w:r>
      <w:r>
        <w:rPr>
          <w:rFonts w:ascii="arial" w:eastAsia="arial" w:hAnsi="arial" w:cs="arial"/>
          <w:color w:val="000000"/>
          <w:sz w:val="20"/>
          <w:lang w:val="en-US" w:eastAsia="en-US" w:bidi="ar-SA"/>
        </w:rPr>
        <w:t xml:space="preserve"> that unconstitutional laws are deprived of effect to the extent of their inconsistency, not left on the books subject to discretionary case-by-case remedies: see </w:t>
      </w:r>
      <w:r>
        <w:rPr>
          <w:rFonts w:ascii="arial" w:eastAsia="arial" w:hAnsi="arial" w:cs="arial"/>
          <w:i/>
          <w:color w:val="000000"/>
          <w:sz w:val="20"/>
          <w:lang w:val="en-US" w:eastAsia="en-US" w:bidi="ar-SA"/>
        </w:rPr>
        <w:t xml:space="preserve">Osborne, </w:t>
      </w:r>
      <w:r>
        <w:rPr>
          <w:rFonts w:ascii="arial" w:eastAsia="arial" w:hAnsi="arial" w:cs="arial"/>
          <w:i/>
          <w:color w:val="000000"/>
          <w:sz w:val="20"/>
          <w:lang w:val="en-US" w:eastAsia="en-US" w:bidi="ar-SA"/>
        </w:rPr>
        <w:t>[1991] 2 S.C.R. 69</w:t>
      </w:r>
      <w:r>
        <w:rPr>
          <w:rFonts w:ascii="arial" w:eastAsia="arial" w:hAnsi="arial" w:cs="arial"/>
          <w:i/>
          <w:color w:val="000000"/>
          <w:sz w:val="20"/>
          <w:lang w:val="en-US" w:eastAsia="en-US" w:bidi="ar-SA"/>
        </w:rPr>
        <w:t>, per</w:t>
      </w:r>
      <w:r>
        <w:rPr>
          <w:rFonts w:ascii="arial" w:eastAsia="arial" w:hAnsi="arial" w:cs="arial"/>
          <w:color w:val="000000"/>
          <w:sz w:val="20"/>
          <w:lang w:val="en-US" w:eastAsia="en-US" w:bidi="ar-SA"/>
        </w:rPr>
        <w:t xml:space="preserve"> Wilson J. In cases where the requirements for severance or reading in are met, it may be possible to remedy the inconsistency judicially instead of striking down the impugned legislation as a whole: </w:t>
      </w:r>
      <w:r>
        <w:rPr>
          <w:rFonts w:ascii="arial" w:eastAsia="arial" w:hAnsi="arial" w:cs="arial"/>
          <w:i/>
          <w:color w:val="000000"/>
          <w:sz w:val="20"/>
          <w:lang w:val="en-US" w:eastAsia="en-US" w:bidi="ar-SA"/>
        </w:rPr>
        <w:t>Vriend</w:t>
      </w:r>
      <w:r>
        <w:rPr>
          <w:rFonts w:ascii="arial" w:eastAsia="arial" w:hAnsi="arial" w:cs="arial"/>
          <w:color w:val="000000"/>
          <w:sz w:val="20"/>
          <w:lang w:val="en-US" w:eastAsia="en-US" w:bidi="ar-SA"/>
        </w:rPr>
        <w:t xml:space="preserve">, </w:t>
      </w:r>
      <w:hyperlink r:id="rId879" w:history="1">
        <w:r>
          <w:rPr>
            <w:rFonts w:ascii="arial" w:eastAsia="arial" w:hAnsi="arial" w:cs="arial"/>
            <w:i/>
            <w:color w:val="0077CC"/>
            <w:sz w:val="20"/>
            <w:u w:val="single"/>
            <w:shd w:val="clear" w:color="auto" w:fill="FFFFFF"/>
            <w:lang w:val="en-US" w:eastAsia="en-US" w:bidi="ar-SA"/>
          </w:rPr>
          <w:t>[1998] 1 S.C.R. 493</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Sharpe</w:t>
      </w:r>
      <w:r>
        <w:rPr>
          <w:rFonts w:ascii="arial" w:eastAsia="arial" w:hAnsi="arial" w:cs="arial"/>
          <w:color w:val="000000"/>
          <w:sz w:val="20"/>
          <w:lang w:val="en-US" w:eastAsia="en-US" w:bidi="ar-SA"/>
        </w:rPr>
        <w:t xml:space="preserve">, </w:t>
      </w:r>
      <w:hyperlink r:id="rId880" w:history="1">
        <w:r>
          <w:rPr>
            <w:rFonts w:ascii="arial" w:eastAsia="arial" w:hAnsi="arial" w:cs="arial"/>
            <w:i/>
            <w:color w:val="0077CC"/>
            <w:sz w:val="20"/>
            <w:u w:val="single"/>
            <w:shd w:val="clear" w:color="auto" w:fill="FFFFFF"/>
            <w:lang w:val="en-US" w:eastAsia="en-US" w:bidi="ar-SA"/>
          </w:rPr>
          <w:t>[2001] 1 S.C.R. 45</w:t>
        </w:r>
      </w:hyperlink>
      <w:r>
        <w:rPr>
          <w:rFonts w:ascii="arial" w:eastAsia="arial" w:hAnsi="arial" w:cs="arial"/>
          <w:color w:val="000000"/>
          <w:sz w:val="20"/>
          <w:lang w:val="en-US" w:eastAsia="en-US" w:bidi="ar-SA"/>
        </w:rPr>
        <w:t>. Where this is not possible - as in the case of an unconstitutional mandatory minimum sentence - the unconstitutional provision must be struck down. The ball is thrown back into Parliament's court, to revise the law, should it choose to do so, so that it no longer produces unconstitutional effects. In either case, the remedy is a s. 52 remedy that renders the unconstitutional provision of no force or effect to the extent of its inconsistency. To the extent that the law is unconstitutional, it is not merely inapplicable for the purposes of the case at hand. It is null and void, and is effectively removed from the statute books.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88</w:t>
      </w:r>
      <w:r>
        <w:rPr>
          <w:rFonts w:ascii="arial" w:eastAsia="arial" w:hAnsi="arial" w:cs="arial"/>
          <w:color w:val="000000"/>
          <w:sz w:val="20"/>
          <w:lang w:val="en-US" w:eastAsia="en-US" w:bidi="ar-SA"/>
        </w:rPr>
        <w:t xml:space="preserve">  If government conduct as legislator is challenged, s. 1 of the </w:t>
      </w:r>
      <w:r>
        <w:rPr>
          <w:rFonts w:ascii="arial" w:eastAsia="arial" w:hAnsi="arial" w:cs="arial"/>
          <w:i/>
          <w:color w:val="000000"/>
          <w:sz w:val="20"/>
          <w:lang w:val="en-US" w:eastAsia="en-US" w:bidi="ar-SA"/>
        </w:rPr>
        <w:t>Charter</w:t>
      </w:r>
      <w:r>
        <w:rPr>
          <w:rFonts w:ascii="arial" w:eastAsia="arial" w:hAnsi="arial" w:cs="arial"/>
          <w:color w:val="000000"/>
          <w:sz w:val="20"/>
          <w:lang w:val="en-US" w:eastAsia="en-US" w:bidi="ar-SA"/>
        </w:rPr>
        <w:t xml:space="preserve"> may apply to save the legislation; but if a government action is challenged, it is not an action "prescribed by law" and cannot be justified under s. 1: </w:t>
      </w:r>
      <w:r>
        <w:rPr>
          <w:rFonts w:ascii="arial" w:eastAsia="arial" w:hAnsi="arial" w:cs="arial"/>
          <w:i/>
          <w:color w:val="000000"/>
          <w:sz w:val="20"/>
          <w:lang w:val="en-US" w:eastAsia="en-US" w:bidi="ar-SA"/>
        </w:rPr>
        <w:t>Alberta v. Hutterian Brethren of Wilson Colony</w:t>
      </w:r>
      <w:r>
        <w:rPr>
          <w:rFonts w:ascii="arial" w:eastAsia="arial" w:hAnsi="arial" w:cs="arial"/>
          <w:color w:val="000000"/>
          <w:sz w:val="20"/>
          <w:lang w:val="en-US" w:eastAsia="en-US" w:bidi="ar-SA"/>
        </w:rPr>
        <w:t xml:space="preserve">, </w:t>
      </w:r>
      <w:hyperlink r:id="rId881" w:history="1">
        <w:r>
          <w:rPr>
            <w:rFonts w:ascii="arial" w:eastAsia="arial" w:hAnsi="arial" w:cs="arial"/>
            <w:i/>
            <w:color w:val="0077CC"/>
            <w:sz w:val="20"/>
            <w:u w:val="single"/>
            <w:shd w:val="clear" w:color="auto" w:fill="FFFFFF"/>
            <w:lang w:val="en-US" w:eastAsia="en-US" w:bidi="ar-SA"/>
          </w:rPr>
          <w:t>2009 SCC 37</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Hutterian Brethren</w:t>
      </w:r>
      <w:r>
        <w:rPr>
          <w:rFonts w:ascii="arial" w:eastAsia="arial" w:hAnsi="arial" w:cs="arial"/>
          <w:color w:val="000000"/>
          <w:sz w:val="20"/>
          <w:lang w:val="en-US" w:eastAsia="en-US" w:bidi="ar-SA"/>
        </w:rPr>
        <w:t>] at para. 39.</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89</w:t>
      </w:r>
      <w:r>
        <w:rPr>
          <w:rFonts w:ascii="arial" w:eastAsia="arial" w:hAnsi="arial" w:cs="arial"/>
          <w:color w:val="000000"/>
          <w:sz w:val="20"/>
          <w:lang w:val="en-US" w:eastAsia="en-US" w:bidi="ar-SA"/>
        </w:rPr>
        <w:t xml:space="preserve">  The </w:t>
      </w:r>
      <w:r>
        <w:rPr>
          <w:rFonts w:ascii="arial" w:eastAsia="arial" w:hAnsi="arial" w:cs="arial"/>
          <w:i/>
          <w:color w:val="000000"/>
          <w:sz w:val="20"/>
          <w:lang w:val="en-US" w:eastAsia="en-US" w:bidi="ar-SA"/>
        </w:rPr>
        <w:t>Hutterian Brethren</w:t>
      </w:r>
      <w:r>
        <w:rPr>
          <w:rFonts w:ascii="arial" w:eastAsia="arial" w:hAnsi="arial" w:cs="arial"/>
          <w:color w:val="000000"/>
          <w:sz w:val="20"/>
          <w:lang w:val="en-US" w:eastAsia="en-US" w:bidi="ar-SA"/>
        </w:rPr>
        <w:t xml:space="preserve"> case also contains an interesting discussion about reasonable accommodation in human rights law and employer/employee relationships, and the s. 1 analysis, at para. 71 as follows: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In summary, where the validity of a law of general application is at stake, reasonable accommodation is not an appropriate substitute for a proper s. 1 analysis based on the methodology of </w:t>
      </w:r>
      <w:r>
        <w:rPr>
          <w:rFonts w:ascii="arial" w:eastAsia="arial" w:hAnsi="arial" w:cs="arial"/>
          <w:i/>
          <w:color w:val="000000"/>
          <w:sz w:val="20"/>
          <w:lang w:val="en-US" w:eastAsia="en-US" w:bidi="ar-SA"/>
        </w:rPr>
        <w:t>Oakes</w:t>
      </w:r>
      <w:r>
        <w:rPr>
          <w:rFonts w:ascii="arial" w:eastAsia="arial" w:hAnsi="arial" w:cs="arial"/>
          <w:color w:val="000000"/>
          <w:sz w:val="20"/>
          <w:lang w:val="en-US" w:eastAsia="en-US" w:bidi="ar-SA"/>
        </w:rPr>
        <w:t>. Where the government has passed a measure into law, the provisions of s. 1 apply. The government is entitled to justify the law, not by showing that it has accommodated the claimant, but by establishing that the measure is rationally connected to a pressing and substantial goal, minimally impairing of the right and proportionate in its effects.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90</w:t>
      </w:r>
      <w:r>
        <w:rPr>
          <w:rFonts w:ascii="arial" w:eastAsia="arial" w:hAnsi="arial" w:cs="arial"/>
          <w:color w:val="000000"/>
          <w:sz w:val="20"/>
          <w:lang w:val="en-US" w:eastAsia="en-US" w:bidi="ar-SA"/>
        </w:rPr>
        <w:t xml:space="preserve">  One can see the merits of the above analysis in </w:t>
      </w:r>
      <w:r>
        <w:rPr>
          <w:rFonts w:ascii="arial" w:eastAsia="arial" w:hAnsi="arial" w:cs="arial"/>
          <w:i/>
          <w:color w:val="000000"/>
          <w:sz w:val="20"/>
          <w:lang w:val="en-US" w:eastAsia="en-US" w:bidi="ar-SA"/>
        </w:rPr>
        <w:t>Hutterian Brethern</w:t>
      </w:r>
      <w:r>
        <w:rPr>
          <w:rFonts w:ascii="arial" w:eastAsia="arial" w:hAnsi="arial" w:cs="arial"/>
          <w:color w:val="000000"/>
          <w:sz w:val="20"/>
          <w:lang w:val="en-US" w:eastAsia="en-US" w:bidi="ar-SA"/>
        </w:rPr>
        <w:t xml:space="preserve"> applied to pre-legislation consultation as well: that when the government has passed a law it is entitled to justify the law based on s. 1 of the </w:t>
      </w:r>
      <w:r>
        <w:rPr>
          <w:rFonts w:ascii="arial" w:eastAsia="arial" w:hAnsi="arial" w:cs="arial"/>
          <w:i/>
          <w:color w:val="000000"/>
          <w:sz w:val="20"/>
          <w:lang w:val="en-US" w:eastAsia="en-US" w:bidi="ar-SA"/>
        </w:rPr>
        <w:t>Charter</w:t>
      </w:r>
      <w:r>
        <w:rPr>
          <w:rFonts w:ascii="arial" w:eastAsia="arial" w:hAnsi="arial" w:cs="arial"/>
          <w:color w:val="000000"/>
          <w:sz w:val="20"/>
          <w:lang w:val="en-US" w:eastAsia="en-US" w:bidi="ar-SA"/>
        </w:rPr>
        <w:t>, not by showing that it has engaged in a pre-legislative consultation process.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91</w:t>
      </w:r>
      <w:r>
        <w:rPr>
          <w:rFonts w:ascii="arial" w:eastAsia="arial" w:hAnsi="arial" w:cs="arial"/>
          <w:color w:val="000000"/>
          <w:sz w:val="20"/>
          <w:lang w:val="en-US" w:eastAsia="en-US" w:bidi="ar-SA"/>
        </w:rPr>
        <w:t xml:space="preserve">  Just as it is hard to imagine a law that is otherwise an interference with a </w:t>
      </w:r>
      <w:r>
        <w:rPr>
          <w:rFonts w:ascii="arial" w:eastAsia="arial" w:hAnsi="arial" w:cs="arial"/>
          <w:i/>
          <w:color w:val="000000"/>
          <w:sz w:val="20"/>
          <w:lang w:val="en-US" w:eastAsia="en-US" w:bidi="ar-SA"/>
        </w:rPr>
        <w:t>Charter</w:t>
      </w:r>
      <w:r>
        <w:rPr>
          <w:rFonts w:ascii="arial" w:eastAsia="arial" w:hAnsi="arial" w:cs="arial"/>
          <w:color w:val="000000"/>
          <w:sz w:val="20"/>
          <w:lang w:val="en-US" w:eastAsia="en-US" w:bidi="ar-SA"/>
        </w:rPr>
        <w:t xml:space="preserve"> right being found not to interfere because of pre-legislative consultation, it is even harder to imagine a situation where legislation is found to be unconstitutional as amounting to substantial interference with s. 2(d) rights, but then this unconstitutionality could be "cured" by the government "consulting" with the union after the fact of the legislation. This is essentially the unusual position the government takes in this case.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92</w:t>
      </w:r>
      <w:r>
        <w:rPr>
          <w:rFonts w:ascii="arial" w:eastAsia="arial" w:hAnsi="arial" w:cs="arial"/>
          <w:color w:val="000000"/>
          <w:sz w:val="20"/>
          <w:lang w:val="en-US" w:eastAsia="en-US" w:bidi="ar-SA"/>
        </w:rPr>
        <w:t xml:space="preserve">  As a matter of principle I am of the view that it would be rare that the government could rely on its "consultation" conduct after the fact of legislation declared invalid based on its breach of a s. 2(d) </w:t>
      </w:r>
      <w:r>
        <w:rPr>
          <w:rFonts w:ascii="arial" w:eastAsia="arial" w:hAnsi="arial" w:cs="arial"/>
          <w:i/>
          <w:color w:val="000000"/>
          <w:sz w:val="20"/>
          <w:lang w:val="en-US" w:eastAsia="en-US" w:bidi="ar-SA"/>
        </w:rPr>
        <w:t>Charter</w:t>
      </w:r>
      <w:r>
        <w:rPr>
          <w:rFonts w:ascii="arial" w:eastAsia="arial" w:hAnsi="arial" w:cs="arial"/>
          <w:color w:val="000000"/>
          <w:sz w:val="20"/>
          <w:lang w:val="en-US" w:eastAsia="en-US" w:bidi="ar-SA"/>
        </w:rPr>
        <w:t xml:space="preserve"> right, to cure the unconstitutionality of the legislation, and to then pass virtually identical legislation. Such a process would encourage state actors to ignore s. 2(d) rights with impunity as there would be no practical consequences for a breach.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93</w:t>
      </w:r>
      <w:r>
        <w:rPr>
          <w:rFonts w:ascii="arial" w:eastAsia="arial" w:hAnsi="arial" w:cs="arial"/>
          <w:color w:val="000000"/>
          <w:sz w:val="20"/>
          <w:lang w:val="en-US" w:eastAsia="en-US" w:bidi="ar-SA"/>
        </w:rPr>
        <w:t xml:space="preserve">  It would seem more relevant in this situation to judge the new legislation on its content only: is there something new about it which this time did preserve the process of employee associational conduct protected by the s. 2(d) </w:t>
      </w:r>
      <w:r>
        <w:rPr>
          <w:rFonts w:ascii="arial" w:eastAsia="arial" w:hAnsi="arial" w:cs="arial"/>
          <w:i/>
          <w:color w:val="000000"/>
          <w:sz w:val="20"/>
          <w:lang w:val="en-US" w:eastAsia="en-US" w:bidi="ar-SA"/>
        </w:rPr>
        <w:t>Charter</w:t>
      </w:r>
      <w:r>
        <w:rPr>
          <w:rFonts w:ascii="arial" w:eastAsia="arial" w:hAnsi="arial" w:cs="arial"/>
          <w:color w:val="000000"/>
          <w:sz w:val="20"/>
          <w:lang w:val="en-US" w:eastAsia="en-US" w:bidi="ar-SA"/>
        </w:rPr>
        <w:t xml:space="preserve"> right?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94</w:t>
      </w:r>
      <w:r>
        <w:rPr>
          <w:rFonts w:ascii="arial" w:eastAsia="arial" w:hAnsi="arial" w:cs="arial"/>
          <w:color w:val="000000"/>
          <w:sz w:val="20"/>
          <w:lang w:val="en-US" w:eastAsia="en-US" w:bidi="ar-SA"/>
        </w:rPr>
        <w:t xml:space="preserve">  But if the government is entitled to rely on its pre-legislative consultation as saving legislation from being found to violate s. 2(d) rights, then I conclude based on </w:t>
      </w:r>
      <w:r>
        <w:rPr>
          <w:rFonts w:ascii="arial" w:eastAsia="arial" w:hAnsi="arial" w:cs="arial"/>
          <w:i/>
          <w:color w:val="000000"/>
          <w:sz w:val="20"/>
          <w:lang w:val="en-US" w:eastAsia="en-US" w:bidi="ar-SA"/>
        </w:rPr>
        <w:t>Health Services</w:t>
      </w:r>
      <w:r>
        <w:rPr>
          <w:rFonts w:ascii="arial" w:eastAsia="arial" w:hAnsi="arial" w:cs="arial"/>
          <w:color w:val="000000"/>
          <w:sz w:val="20"/>
          <w:lang w:val="en-US" w:eastAsia="en-US" w:bidi="ar-SA"/>
        </w:rPr>
        <w:t xml:space="preserve"> that the pre-legislative consultation process has to be akin to a process of good faith negotiation between employer and employee association.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95</w:t>
      </w:r>
      <w:r>
        <w:rPr>
          <w:rFonts w:ascii="arial" w:eastAsia="arial" w:hAnsi="arial" w:cs="arial"/>
          <w:color w:val="000000"/>
          <w:sz w:val="20"/>
          <w:lang w:val="en-US" w:eastAsia="en-US" w:bidi="ar-SA"/>
        </w:rPr>
        <w:t xml:space="preserve">  In other words, I conclude that where, as here, the government relies on its conduct in the s. 2(d) analysis as amounting to a process of good faith consultation justifying subsequent legislative interference with collective bargaining rights, then its conduct must be judged </w:t>
      </w:r>
      <w:r>
        <w:rPr>
          <w:rFonts w:ascii="arial" w:eastAsia="arial" w:hAnsi="arial" w:cs="arial"/>
          <w:i/>
          <w:color w:val="000000"/>
          <w:sz w:val="20"/>
          <w:lang w:val="en-US" w:eastAsia="en-US" w:bidi="ar-SA"/>
        </w:rPr>
        <w:t>qua</w:t>
      </w:r>
      <w:r>
        <w:rPr>
          <w:rFonts w:ascii="arial" w:eastAsia="arial" w:hAnsi="arial" w:cs="arial"/>
          <w:color w:val="000000"/>
          <w:sz w:val="20"/>
          <w:lang w:val="en-US" w:eastAsia="en-US" w:bidi="ar-SA"/>
        </w:rPr>
        <w:t xml:space="preserve"> employer.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96</w:t>
      </w:r>
      <w:r>
        <w:rPr>
          <w:rFonts w:ascii="arial" w:eastAsia="arial" w:hAnsi="arial" w:cs="arial"/>
          <w:color w:val="000000"/>
          <w:sz w:val="20"/>
          <w:lang w:val="en-US" w:eastAsia="en-US" w:bidi="ar-SA"/>
        </w:rPr>
        <w:t>  I will examine the consultation between the government and the BCTF prior to the enactment of Bill 22 considering the facts in the context of two overall inquiries:</w:t>
      </w:r>
      <w:r>
        <w:rPr>
          <w:rFonts w:ascii="arial" w:eastAsia="arial" w:hAnsi="arial" w:cs="arial"/>
          <w:sz w:val="20"/>
          <w:lang w:val="en-US" w:eastAsia="en-US" w:bidi="ar-SA"/>
        </w:rPr>
        <w:cr/>
      </w:r>
    </w:p>
    <w:p>
      <w:pPr>
        <w:numPr>
          <w:numId w:val="2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as part of the s. 2(d) </w:t>
      </w:r>
      <w:r>
        <w:rPr>
          <w:rFonts w:ascii="arial" w:eastAsia="arial" w:hAnsi="arial" w:cs="arial"/>
          <w:i/>
          <w:color w:val="000000"/>
          <w:sz w:val="20"/>
          <w:lang w:val="en-US" w:eastAsia="en-US" w:bidi="ar-SA"/>
        </w:rPr>
        <w:t>Charter</w:t>
      </w:r>
      <w:r>
        <w:rPr>
          <w:rFonts w:ascii="arial" w:eastAsia="arial" w:hAnsi="arial" w:cs="arial"/>
          <w:color w:val="000000"/>
          <w:sz w:val="20"/>
          <w:lang w:val="en-US" w:eastAsia="en-US" w:bidi="ar-SA"/>
        </w:rPr>
        <w:t xml:space="preserve"> inquiry, was the pre-legislation consultation akin to a process of good faith consultation between employer and employee; and,</w:t>
      </w:r>
    </w:p>
    <w:p>
      <w:pPr>
        <w:numPr>
          <w:numId w:val="2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as part of the s.1 </w:t>
      </w:r>
      <w:r>
        <w:rPr>
          <w:rFonts w:ascii="arial" w:eastAsia="arial" w:hAnsi="arial" w:cs="arial"/>
          <w:i/>
          <w:color w:val="000000"/>
          <w:sz w:val="20"/>
          <w:lang w:val="en-US" w:eastAsia="en-US" w:bidi="ar-SA"/>
        </w:rPr>
        <w:t>Charter</w:t>
      </w:r>
      <w:r>
        <w:rPr>
          <w:rFonts w:ascii="arial" w:eastAsia="arial" w:hAnsi="arial" w:cs="arial"/>
          <w:color w:val="000000"/>
          <w:sz w:val="20"/>
          <w:lang w:val="en-US" w:eastAsia="en-US" w:bidi="ar-SA"/>
        </w:rPr>
        <w:t xml:space="preserve"> inquiry, does the consultation shows that the government searched for solutions that would minimally impair the teachers' s. 2(d) rights.</w:t>
      </w:r>
    </w:p>
    <w:p>
      <w:pPr>
        <w:spacing w:before="120"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Content of Consultation Relevant to the s. 2(d) Inquiry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97</w:t>
      </w:r>
      <w:r>
        <w:rPr>
          <w:rFonts w:ascii="arial" w:eastAsia="arial" w:hAnsi="arial" w:cs="arial"/>
          <w:color w:val="000000"/>
          <w:sz w:val="20"/>
          <w:lang w:val="en-US" w:eastAsia="en-US" w:bidi="ar-SA"/>
        </w:rPr>
        <w:t>  A related question is: what is the content of an employer's duty to negotiate in good faith with an association of employees?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98</w:t>
      </w:r>
      <w:r>
        <w:rPr>
          <w:rFonts w:ascii="arial" w:eastAsia="arial" w:hAnsi="arial" w:cs="arial"/>
          <w:color w:val="000000"/>
          <w:sz w:val="20"/>
          <w:lang w:val="en-US" w:eastAsia="en-US" w:bidi="ar-SA"/>
        </w:rPr>
        <w:t xml:space="preserve">  The majority judgments in </w:t>
      </w:r>
      <w:r>
        <w:rPr>
          <w:rFonts w:ascii="arial" w:eastAsia="arial" w:hAnsi="arial" w:cs="arial"/>
          <w:i/>
          <w:color w:val="000000"/>
          <w:sz w:val="20"/>
          <w:lang w:val="en-US" w:eastAsia="en-US" w:bidi="ar-SA"/>
        </w:rPr>
        <w:t>Health Services</w:t>
      </w:r>
      <w:r>
        <w:rPr>
          <w:rFonts w:ascii="arial" w:eastAsia="arial" w:hAnsi="arial" w:cs="arial"/>
          <w:color w:val="000000"/>
          <w:sz w:val="20"/>
          <w:lang w:val="en-US" w:eastAsia="en-US" w:bidi="ar-SA"/>
        </w:rPr>
        <w:t xml:space="preserve"> and </w:t>
      </w:r>
      <w:r>
        <w:rPr>
          <w:rFonts w:ascii="arial" w:eastAsia="arial" w:hAnsi="arial" w:cs="arial"/>
          <w:i/>
          <w:color w:val="000000"/>
          <w:sz w:val="20"/>
          <w:lang w:val="en-US" w:eastAsia="en-US" w:bidi="ar-SA"/>
        </w:rPr>
        <w:t>Fraser</w:t>
      </w:r>
      <w:r>
        <w:rPr>
          <w:rFonts w:ascii="arial" w:eastAsia="arial" w:hAnsi="arial" w:cs="arial"/>
          <w:color w:val="000000"/>
          <w:sz w:val="20"/>
          <w:lang w:val="en-US" w:eastAsia="en-US" w:bidi="ar-SA"/>
        </w:rPr>
        <w:t xml:space="preserve"> make it clear that what is being assessed by the court in the s. 2(d) analysis, is whether the government by its conduct preserved a process allowing the employees the right to, in association, make collective representations in furtherance of workplace goals to their </w:t>
      </w:r>
      <w:r>
        <w:rPr>
          <w:rFonts w:ascii="arial" w:eastAsia="arial" w:hAnsi="arial" w:cs="arial"/>
          <w:color w:val="000000"/>
          <w:sz w:val="20"/>
          <w:u w:val="single"/>
          <w:lang w:val="en-US" w:eastAsia="en-US" w:bidi="ar-SA"/>
        </w:rPr>
        <w:t>employer</w:t>
      </w:r>
      <w:r>
        <w:rPr>
          <w:rFonts w:ascii="arial" w:eastAsia="arial" w:hAnsi="arial" w:cs="arial"/>
          <w:color w:val="000000"/>
          <w:sz w:val="20"/>
          <w:lang w:val="en-US" w:eastAsia="en-US" w:bidi="ar-SA"/>
        </w:rPr>
        <w:t xml:space="preserve">, and to have the </w:t>
      </w:r>
      <w:r>
        <w:rPr>
          <w:rFonts w:ascii="arial" w:eastAsia="arial" w:hAnsi="arial" w:cs="arial"/>
          <w:color w:val="000000"/>
          <w:sz w:val="20"/>
          <w:u w:val="single"/>
          <w:lang w:val="en-US" w:eastAsia="en-US" w:bidi="ar-SA"/>
        </w:rPr>
        <w:t>employer</w:t>
      </w:r>
      <w:r>
        <w:rPr>
          <w:rFonts w:ascii="arial" w:eastAsia="arial" w:hAnsi="arial" w:cs="arial"/>
          <w:color w:val="000000"/>
          <w:sz w:val="20"/>
          <w:lang w:val="en-US" w:eastAsia="en-US" w:bidi="ar-SA"/>
        </w:rPr>
        <w:t xml:space="preserve"> consider them in good faith: see </w:t>
      </w:r>
      <w:r>
        <w:rPr>
          <w:rFonts w:ascii="arial" w:eastAsia="arial" w:hAnsi="arial" w:cs="arial"/>
          <w:i/>
          <w:color w:val="000000"/>
          <w:sz w:val="20"/>
          <w:lang w:val="en-US" w:eastAsia="en-US" w:bidi="ar-SA"/>
        </w:rPr>
        <w:t>Fraser</w:t>
      </w:r>
      <w:r>
        <w:rPr>
          <w:rFonts w:ascii="arial" w:eastAsia="arial" w:hAnsi="arial" w:cs="arial"/>
          <w:color w:val="000000"/>
          <w:sz w:val="20"/>
          <w:lang w:val="en-US" w:eastAsia="en-US" w:bidi="ar-SA"/>
        </w:rPr>
        <w:t xml:space="preserve">, paras. 38, 43, 50 [emphasis added]; see also </w:t>
      </w:r>
      <w:r>
        <w:rPr>
          <w:rFonts w:ascii="arial" w:eastAsia="arial" w:hAnsi="arial" w:cs="arial"/>
          <w:i/>
          <w:color w:val="000000"/>
          <w:sz w:val="20"/>
          <w:lang w:val="en-US" w:eastAsia="en-US" w:bidi="ar-SA"/>
        </w:rPr>
        <w:t>Association of Justice Counsel v. Canada (Attorney General)</w:t>
      </w:r>
      <w:r>
        <w:rPr>
          <w:rFonts w:ascii="arial" w:eastAsia="arial" w:hAnsi="arial" w:cs="arial"/>
          <w:color w:val="000000"/>
          <w:sz w:val="20"/>
          <w:lang w:val="en-US" w:eastAsia="en-US" w:bidi="ar-SA"/>
        </w:rPr>
        <w:t xml:space="preserve">, </w:t>
      </w:r>
      <w:hyperlink r:id="rId845" w:history="1">
        <w:r>
          <w:rPr>
            <w:rFonts w:ascii="arial" w:eastAsia="arial" w:hAnsi="arial" w:cs="arial"/>
            <w:i/>
            <w:color w:val="0077CC"/>
            <w:sz w:val="20"/>
            <w:u w:val="single"/>
            <w:shd w:val="clear" w:color="auto" w:fill="FFFFFF"/>
            <w:lang w:val="en-US" w:eastAsia="en-US" w:bidi="ar-SA"/>
          </w:rPr>
          <w:t>2012 ONCA 530</w:t>
        </w:r>
      </w:hyperlink>
      <w:r>
        <w:rPr>
          <w:rFonts w:ascii="arial" w:eastAsia="arial" w:hAnsi="arial" w:cs="arial"/>
          <w:color w:val="000000"/>
          <w:sz w:val="20"/>
          <w:lang w:val="en-US" w:eastAsia="en-US" w:bidi="ar-SA"/>
        </w:rPr>
        <w:t xml:space="preserve"> at para. 28.</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99</w:t>
      </w:r>
      <w:r>
        <w:rPr>
          <w:rFonts w:ascii="arial" w:eastAsia="arial" w:hAnsi="arial" w:cs="arial"/>
          <w:color w:val="000000"/>
          <w:sz w:val="20"/>
          <w:lang w:val="en-US" w:eastAsia="en-US" w:bidi="ar-SA"/>
        </w:rPr>
        <w:t>  There has been some judicial comment on the scope of the employer duty to negotiate in good faith.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100</w:t>
      </w:r>
      <w:r>
        <w:rPr>
          <w:rFonts w:ascii="arial" w:eastAsia="arial" w:hAnsi="arial" w:cs="arial"/>
          <w:color w:val="000000"/>
          <w:sz w:val="20"/>
          <w:lang w:val="en-US" w:eastAsia="en-US" w:bidi="ar-SA"/>
        </w:rPr>
        <w:t xml:space="preserve">  The standards of bargaining in good faith were reviewed in </w:t>
      </w:r>
      <w:r>
        <w:rPr>
          <w:rFonts w:ascii="arial" w:eastAsia="arial" w:hAnsi="arial" w:cs="arial"/>
          <w:i/>
          <w:color w:val="000000"/>
          <w:sz w:val="20"/>
          <w:lang w:val="en-US" w:eastAsia="en-US" w:bidi="ar-SA"/>
        </w:rPr>
        <w:t>Health Services</w:t>
      </w:r>
      <w:r>
        <w:rPr>
          <w:rFonts w:ascii="arial" w:eastAsia="arial" w:hAnsi="arial" w:cs="arial"/>
          <w:color w:val="000000"/>
          <w:sz w:val="20"/>
          <w:lang w:val="en-US" w:eastAsia="en-US" w:bidi="ar-SA"/>
        </w:rPr>
        <w:t xml:space="preserve"> at paras. 98-107, citing such cases as </w:t>
      </w:r>
      <w:r>
        <w:rPr>
          <w:rFonts w:ascii="arial" w:eastAsia="arial" w:hAnsi="arial" w:cs="arial"/>
          <w:i/>
          <w:color w:val="000000"/>
          <w:sz w:val="20"/>
          <w:lang w:val="en-US" w:eastAsia="en-US" w:bidi="ar-SA"/>
        </w:rPr>
        <w:t>Canadian Union of Public Employees v. Nova Scotia (Labour Relations Board)</w:t>
      </w:r>
      <w:r>
        <w:rPr>
          <w:rFonts w:ascii="arial" w:eastAsia="arial" w:hAnsi="arial" w:cs="arial"/>
          <w:color w:val="000000"/>
          <w:sz w:val="20"/>
          <w:lang w:val="en-US" w:eastAsia="en-US" w:bidi="ar-SA"/>
        </w:rPr>
        <w:t xml:space="preserve">, </w:t>
      </w:r>
      <w:hyperlink r:id="rId855" w:history="1">
        <w:r>
          <w:rPr>
            <w:rFonts w:ascii="arial" w:eastAsia="arial" w:hAnsi="arial" w:cs="arial"/>
            <w:i/>
            <w:color w:val="0077CC"/>
            <w:sz w:val="20"/>
            <w:u w:val="single"/>
            <w:shd w:val="clear" w:color="auto" w:fill="FFFFFF"/>
            <w:lang w:val="en-US" w:eastAsia="en-US" w:bidi="ar-SA"/>
          </w:rPr>
          <w:t>[1983] 2 S.C.R. 311</w:t>
        </w:r>
      </w:hyperlink>
      <w:r>
        <w:rPr>
          <w:rFonts w:ascii="arial" w:eastAsia="arial" w:hAnsi="arial" w:cs="arial"/>
          <w:color w:val="000000"/>
          <w:sz w:val="20"/>
          <w:lang w:val="en-US" w:eastAsia="en-US" w:bidi="ar-SA"/>
        </w:rPr>
        <w:t xml:space="preserve"> at 341 and </w:t>
      </w:r>
      <w:r>
        <w:rPr>
          <w:rFonts w:ascii="arial" w:eastAsia="arial" w:hAnsi="arial" w:cs="arial"/>
          <w:i/>
          <w:color w:val="000000"/>
          <w:sz w:val="20"/>
          <w:lang w:val="en-US" w:eastAsia="en-US" w:bidi="ar-SA"/>
        </w:rPr>
        <w:t>Royal Oak Mines Inc. v. Canada (Labour Relations Board)</w:t>
      </w:r>
      <w:r>
        <w:rPr>
          <w:rFonts w:ascii="arial" w:eastAsia="arial" w:hAnsi="arial" w:cs="arial"/>
          <w:color w:val="000000"/>
          <w:sz w:val="20"/>
          <w:lang w:val="en-US" w:eastAsia="en-US" w:bidi="ar-SA"/>
        </w:rPr>
        <w:t xml:space="preserve">, </w:t>
      </w:r>
      <w:hyperlink r:id="rId874" w:history="1">
        <w:r>
          <w:rPr>
            <w:rFonts w:ascii="arial" w:eastAsia="arial" w:hAnsi="arial" w:cs="arial"/>
            <w:i/>
            <w:color w:val="0077CC"/>
            <w:sz w:val="20"/>
            <w:u w:val="single"/>
            <w:shd w:val="clear" w:color="auto" w:fill="FFFFFF"/>
            <w:lang w:val="en-US" w:eastAsia="en-US" w:bidi="ar-SA"/>
          </w:rPr>
          <w:t>[1996] 1 S.C.R. 369</w:t>
        </w:r>
      </w:hyperlink>
      <w:r>
        <w:rPr>
          <w:rFonts w:ascii="arial" w:eastAsia="arial" w:hAnsi="arial" w:cs="arial"/>
          <w:color w:val="000000"/>
          <w:sz w:val="20"/>
          <w:lang w:val="en-US" w:eastAsia="en-US" w:bidi="ar-SA"/>
        </w:rPr>
        <w:t>. Hallmarks of good faith bargaining include:</w:t>
      </w:r>
      <w:r>
        <w:rPr>
          <w:rFonts w:ascii="arial" w:eastAsia="arial" w:hAnsi="arial" w:cs="arial"/>
          <w:sz w:val="20"/>
          <w:lang w:val="en-US" w:eastAsia="en-US" w:bidi="ar-SA"/>
        </w:rPr>
        <w:cr/>
      </w:r>
    </w:p>
    <w:p>
      <w:pPr>
        <w:numPr>
          <w:numId w:val="28"/>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a commitment of time and preparation;</w:t>
      </w:r>
    </w:p>
    <w:p>
      <w:pPr>
        <w:numPr>
          <w:numId w:val="32"/>
        </w:numPr>
        <w:tabs>
          <w:tab w:val="clear" w:pos="112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a willingness to exchange and explain positions;</w:t>
      </w:r>
    </w:p>
    <w:p>
      <w:pPr>
        <w:numPr>
          <w:numId w:val="33"/>
        </w:numPr>
        <w:tabs>
          <w:tab w:val="clear" w:pos="112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avoidance of unjustified delays in negotiations; and</w:t>
      </w:r>
    </w:p>
    <w:p>
      <w:pPr>
        <w:numPr>
          <w:numId w:val="34"/>
        </w:numPr>
        <w:tabs>
          <w:tab w:val="clear" w:pos="112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endeavouring to reach an agreement and to strive to find a middle ground.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101</w:t>
      </w:r>
      <w:r>
        <w:rPr>
          <w:rFonts w:ascii="arial" w:eastAsia="arial" w:hAnsi="arial" w:cs="arial"/>
          <w:color w:val="000000"/>
          <w:sz w:val="20"/>
          <w:lang w:val="en-US" w:eastAsia="en-US" w:bidi="ar-SA"/>
        </w:rPr>
        <w:t xml:space="preserve">  As explained in </w:t>
      </w:r>
      <w:r>
        <w:rPr>
          <w:rFonts w:ascii="arial" w:eastAsia="arial" w:hAnsi="arial" w:cs="arial"/>
          <w:i/>
          <w:color w:val="000000"/>
          <w:sz w:val="20"/>
          <w:lang w:val="en-US" w:eastAsia="en-US" w:bidi="ar-SA"/>
        </w:rPr>
        <w:t>Health Services</w:t>
      </w:r>
      <w:r>
        <w:rPr>
          <w:rFonts w:ascii="arial" w:eastAsia="arial" w:hAnsi="arial" w:cs="arial"/>
          <w:color w:val="000000"/>
          <w:sz w:val="20"/>
          <w:lang w:val="en-US" w:eastAsia="en-US" w:bidi="ar-SA"/>
        </w:rPr>
        <w:t>, a party who engages in inflexible "surface bargaining" does not meet the duty to bargain in good faith. This includes the situation where a party pretends to want to reach agreement, but in fact has no intention of doing so and wants to destroy the collective bargaining relationship (at para. 104).</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102</w:t>
      </w:r>
      <w:r>
        <w:rPr>
          <w:rFonts w:ascii="arial" w:eastAsia="arial" w:hAnsi="arial" w:cs="arial"/>
          <w:color w:val="000000"/>
          <w:sz w:val="20"/>
          <w:lang w:val="en-US" w:eastAsia="en-US" w:bidi="ar-SA"/>
        </w:rPr>
        <w:t>  If the nature of the proposals is "aimed at avoiding the conclusion of a collective agreement or destroying the collective bargaining relationship", then the duty to bargain in good faith is breached (</w:t>
      </w:r>
      <w:r>
        <w:rPr>
          <w:rFonts w:ascii="arial" w:eastAsia="arial" w:hAnsi="arial" w:cs="arial"/>
          <w:i/>
          <w:color w:val="000000"/>
          <w:sz w:val="20"/>
          <w:lang w:val="en-US" w:eastAsia="en-US" w:bidi="ar-SA"/>
        </w:rPr>
        <w:t>Health Services</w:t>
      </w:r>
      <w:r>
        <w:rPr>
          <w:rFonts w:ascii="arial" w:eastAsia="arial" w:hAnsi="arial" w:cs="arial"/>
          <w:color w:val="000000"/>
          <w:sz w:val="20"/>
          <w:lang w:val="en-US" w:eastAsia="en-US" w:bidi="ar-SA"/>
        </w:rPr>
        <w:t xml:space="preserve"> at para. 105).</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103</w:t>
      </w:r>
      <w:r>
        <w:rPr>
          <w:rFonts w:ascii="arial" w:eastAsia="arial" w:hAnsi="arial" w:cs="arial"/>
          <w:color w:val="000000"/>
          <w:sz w:val="20"/>
          <w:lang w:val="en-US" w:eastAsia="en-US" w:bidi="ar-SA"/>
        </w:rPr>
        <w:t xml:space="preserve">  But the Court in </w:t>
      </w:r>
      <w:r>
        <w:rPr>
          <w:rFonts w:ascii="arial" w:eastAsia="arial" w:hAnsi="arial" w:cs="arial"/>
          <w:i/>
          <w:color w:val="000000"/>
          <w:sz w:val="20"/>
          <w:lang w:val="en-US" w:eastAsia="en-US" w:bidi="ar-SA"/>
        </w:rPr>
        <w:t>Health Services</w:t>
      </w:r>
      <w:r>
        <w:rPr>
          <w:rFonts w:ascii="arial" w:eastAsia="arial" w:hAnsi="arial" w:cs="arial"/>
          <w:color w:val="000000"/>
          <w:sz w:val="20"/>
          <w:lang w:val="en-US" w:eastAsia="en-US" w:bidi="ar-SA"/>
        </w:rPr>
        <w:t xml:space="preserve"> emphasized that "failure to comply with the duty to consult and bargain in good faith should not be lightly found, and should be clearly supported on the record" (para. 107).</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104</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Fraser</w:t>
      </w:r>
      <w:r>
        <w:rPr>
          <w:rFonts w:ascii="arial" w:eastAsia="arial" w:hAnsi="arial" w:cs="arial"/>
          <w:color w:val="000000"/>
          <w:sz w:val="20"/>
          <w:lang w:val="en-US" w:eastAsia="en-US" w:bidi="ar-SA"/>
        </w:rPr>
        <w:t xml:space="preserve"> at paras. 40-41, the majority affirmed what the majority held in </w:t>
      </w:r>
      <w:r>
        <w:rPr>
          <w:rFonts w:ascii="arial" w:eastAsia="arial" w:hAnsi="arial" w:cs="arial"/>
          <w:i/>
          <w:color w:val="000000"/>
          <w:sz w:val="20"/>
          <w:lang w:val="en-US" w:eastAsia="en-US" w:bidi="ar-SA"/>
        </w:rPr>
        <w:t>Health Services</w:t>
      </w:r>
      <w:r>
        <w:rPr>
          <w:rFonts w:ascii="arial" w:eastAsia="arial" w:hAnsi="arial" w:cs="arial"/>
          <w:color w:val="000000"/>
          <w:sz w:val="20"/>
          <w:lang w:val="en-US" w:eastAsia="en-US" w:bidi="ar-SA"/>
        </w:rPr>
        <w:t xml:space="preserve">. The bargaining activities protected by s. 2(d) of the </w:t>
      </w:r>
      <w:r>
        <w:rPr>
          <w:rFonts w:ascii="arial" w:eastAsia="arial" w:hAnsi="arial" w:cs="arial"/>
          <w:i/>
          <w:color w:val="000000"/>
          <w:sz w:val="20"/>
          <w:lang w:val="en-US" w:eastAsia="en-US" w:bidi="ar-SA"/>
        </w:rPr>
        <w:t>Charter</w:t>
      </w:r>
      <w:r>
        <w:rPr>
          <w:rFonts w:ascii="arial" w:eastAsia="arial" w:hAnsi="arial" w:cs="arial"/>
          <w:color w:val="000000"/>
          <w:sz w:val="20"/>
          <w:lang w:val="en-US" w:eastAsia="en-US" w:bidi="ar-SA"/>
        </w:rPr>
        <w:t xml:space="preserve"> are more than a mere right to make representations to one's employer. Section 2(d):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requires the employer to engage in a process of consideration and discussion to have them considered by the employer. In this sense, collective bargaining is protected by s. 2(</w:t>
      </w:r>
      <w:r>
        <w:rPr>
          <w:rFonts w:ascii="arial" w:eastAsia="arial" w:hAnsi="arial" w:cs="arial"/>
          <w:i/>
          <w:color w:val="000000"/>
          <w:sz w:val="20"/>
          <w:lang w:val="en-US" w:eastAsia="en-US" w:bidi="ar-SA"/>
        </w:rPr>
        <w:t>d</w:t>
      </w:r>
      <w:r>
        <w:rPr>
          <w:rFonts w:ascii="arial" w:eastAsia="arial" w:hAnsi="arial" w:cs="arial"/>
          <w:color w:val="000000"/>
          <w:sz w:val="20"/>
          <w:lang w:val="en-US" w:eastAsia="en-US" w:bidi="ar-SA"/>
        </w:rPr>
        <w:t>). The majority stated:</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Thus the employees' right to collective bargaining imposes corresponding duties on the employer. It requires both employer and employees to meet and to bargain in good faith, in the pursuit of a common goal of peaceful and productive accommodation. [para. 90]</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By way of elaboration on what constitutes good faith negotiation, the majority of the Court stated:</w:t>
      </w:r>
    </w:p>
    <w:p>
      <w:pPr>
        <w:numPr>
          <w:numId w:val="35"/>
        </w:numPr>
        <w:tabs>
          <w:tab w:val="clear" w:pos="112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Section 2(</w:t>
      </w:r>
      <w:r>
        <w:rPr>
          <w:rFonts w:ascii="arial" w:eastAsia="arial" w:hAnsi="arial" w:cs="arial"/>
          <w:i/>
          <w:color w:val="000000"/>
          <w:sz w:val="20"/>
          <w:lang w:val="en-US" w:eastAsia="en-US" w:bidi="ar-SA"/>
        </w:rPr>
        <w:t>d</w:t>
      </w:r>
      <w:r>
        <w:rPr>
          <w:rFonts w:ascii="arial" w:eastAsia="arial" w:hAnsi="arial" w:cs="arial"/>
          <w:color w:val="000000"/>
          <w:sz w:val="20"/>
          <w:lang w:val="en-US" w:eastAsia="en-US" w:bidi="ar-SA"/>
        </w:rPr>
        <w:t>) requires the parties to meet and engage in meaningful dialogue. They must avoid unnecessary delays and make a reasonable effort to arrive at an acceptable contract (paras. 98, 100 and 101);</w:t>
      </w:r>
    </w:p>
    <w:p>
      <w:pPr>
        <w:numPr>
          <w:numId w:val="3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Section 2(</w:t>
      </w:r>
      <w:r>
        <w:rPr>
          <w:rFonts w:ascii="arial" w:eastAsia="arial" w:hAnsi="arial" w:cs="arial"/>
          <w:i/>
          <w:color w:val="000000"/>
          <w:sz w:val="20"/>
          <w:lang w:val="en-US" w:eastAsia="en-US" w:bidi="ar-SA"/>
        </w:rPr>
        <w:t>d</w:t>
      </w:r>
      <w:r>
        <w:rPr>
          <w:rFonts w:ascii="arial" w:eastAsia="arial" w:hAnsi="arial" w:cs="arial"/>
          <w:color w:val="000000"/>
          <w:sz w:val="20"/>
          <w:lang w:val="en-US" w:eastAsia="en-US" w:bidi="ar-SA"/>
        </w:rPr>
        <w:t>) does not impose a particular process. Different situations may demand different processes and timelines (para. 107);</w:t>
      </w:r>
    </w:p>
    <w:p>
      <w:pPr>
        <w:numPr>
          <w:numId w:val="37"/>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Section 2(</w:t>
      </w:r>
      <w:r>
        <w:rPr>
          <w:rFonts w:ascii="arial" w:eastAsia="arial" w:hAnsi="arial" w:cs="arial"/>
          <w:i/>
          <w:color w:val="000000"/>
          <w:sz w:val="20"/>
          <w:lang w:val="en-US" w:eastAsia="en-US" w:bidi="ar-SA"/>
        </w:rPr>
        <w:t>d</w:t>
      </w:r>
      <w:r>
        <w:rPr>
          <w:rFonts w:ascii="arial" w:eastAsia="arial" w:hAnsi="arial" w:cs="arial"/>
          <w:color w:val="000000"/>
          <w:sz w:val="20"/>
          <w:lang w:val="en-US" w:eastAsia="en-US" w:bidi="ar-SA"/>
        </w:rPr>
        <w:t>) does not require the parties to conclude an agreement or accept any particular terms and does not guarantee a legislated dispute resolution mechanism in the case of an impasse (paras. 102-103);</w:t>
      </w:r>
    </w:p>
    <w:p>
      <w:pPr>
        <w:numPr>
          <w:numId w:val="38"/>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Section 2(</w:t>
      </w:r>
      <w:r>
        <w:rPr>
          <w:rFonts w:ascii="arial" w:eastAsia="arial" w:hAnsi="arial" w:cs="arial"/>
          <w:i/>
          <w:color w:val="000000"/>
          <w:sz w:val="20"/>
          <w:lang w:val="en-US" w:eastAsia="en-US" w:bidi="ar-SA"/>
        </w:rPr>
        <w:t>d</w:t>
      </w:r>
      <w:r>
        <w:rPr>
          <w:rFonts w:ascii="arial" w:eastAsia="arial" w:hAnsi="arial" w:cs="arial"/>
          <w:color w:val="000000"/>
          <w:sz w:val="20"/>
          <w:lang w:val="en-US" w:eastAsia="en-US" w:bidi="ar-SA"/>
        </w:rPr>
        <w:t>) protects only "the right ... to a general process of collective bargaining, not to a particular model of labour relations, nor to a specific bargaining method" (para. 91).</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105</w:t>
      </w:r>
      <w:r>
        <w:rPr>
          <w:rFonts w:ascii="arial" w:eastAsia="arial" w:hAnsi="arial" w:cs="arial"/>
          <w:color w:val="000000"/>
          <w:sz w:val="20"/>
          <w:lang w:val="en-US" w:eastAsia="en-US" w:bidi="ar-SA"/>
        </w:rPr>
        <w:t>  Thus, in examining the content of any pre-legislative consultation here in relation to the s. 2(d) analysis, the first question was whether the government was the employer in the discussions or at least involved the employer in the discussions so as to ensure that the employer considered the employee representations in good faith.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106</w:t>
      </w:r>
      <w:r>
        <w:rPr>
          <w:rFonts w:ascii="arial" w:eastAsia="arial" w:hAnsi="arial" w:cs="arial"/>
          <w:color w:val="000000"/>
          <w:sz w:val="20"/>
          <w:lang w:val="en-US" w:eastAsia="en-US" w:bidi="ar-SA"/>
        </w:rPr>
        <w:t xml:space="preserve">  If the government position in the negotiations was </w:t>
      </w:r>
      <w:r>
        <w:rPr>
          <w:rFonts w:ascii="arial" w:eastAsia="arial" w:hAnsi="arial" w:cs="arial"/>
          <w:i/>
          <w:color w:val="000000"/>
          <w:sz w:val="20"/>
          <w:lang w:val="en-US" w:eastAsia="en-US" w:bidi="ar-SA"/>
        </w:rPr>
        <w:t>qua</w:t>
      </w:r>
      <w:r>
        <w:rPr>
          <w:rFonts w:ascii="arial" w:eastAsia="arial" w:hAnsi="arial" w:cs="arial"/>
          <w:color w:val="000000"/>
          <w:sz w:val="20"/>
          <w:lang w:val="en-US" w:eastAsia="en-US" w:bidi="ar-SA"/>
        </w:rPr>
        <w:t xml:space="preserve"> employer, then its representatives' conduct needed to be examined to determine whether they provided a meaningful process of consideration of the BCTF representations. Did the government representatives make a commitment of time and preparation; show a willingness to exchange and explain positions; avoid unjustified delays in negotiations; and endeavour to reach an agreement and to strive to find a middle ground? Or conversely, did they just pretend to want to reach agreement, or was their true goal one of undermining the collective bargaining influence of the BCTF?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107</w:t>
      </w:r>
      <w:r>
        <w:rPr>
          <w:rFonts w:ascii="arial" w:eastAsia="arial" w:hAnsi="arial" w:cs="arial"/>
          <w:color w:val="000000"/>
          <w:sz w:val="20"/>
          <w:lang w:val="en-US" w:eastAsia="en-US" w:bidi="ar-SA"/>
        </w:rPr>
        <w:t>  As in any constitutional challenge, the context and facts surrounding the challenged government conduct are essential.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108</w:t>
      </w:r>
      <w:r>
        <w:rPr>
          <w:rFonts w:ascii="arial" w:eastAsia="arial" w:hAnsi="arial" w:cs="arial"/>
          <w:color w:val="000000"/>
          <w:sz w:val="20"/>
          <w:lang w:val="en-US" w:eastAsia="en-US" w:bidi="ar-SA"/>
        </w:rPr>
        <w:t xml:space="preserve">  One part of the context is the conduct of the BCTF in the discussions. The government does not submit that its efforts to bargain in good faith were sabotaged because the BCTF failed to bargain in good faith. However, the government submissions were critical of the BCTF stance taken in the discussions and so I will review both sides' positions. Good faith negotiations are a two-way street, and if a party refuses to participate in the other party's good faith efforts to engage them, the obligation to consult might not run very deep: see for example </w:t>
      </w:r>
      <w:r>
        <w:rPr>
          <w:rFonts w:ascii="arial" w:eastAsia="arial" w:hAnsi="arial" w:cs="arial"/>
          <w:i/>
          <w:color w:val="000000"/>
          <w:sz w:val="20"/>
          <w:lang w:val="en-US" w:eastAsia="en-US" w:bidi="ar-SA"/>
        </w:rPr>
        <w:t>Louis v. British Columbia (Minister of Energy, Mines, and Petroleum Resources)</w:t>
      </w:r>
      <w:r>
        <w:rPr>
          <w:rFonts w:ascii="arial" w:eastAsia="arial" w:hAnsi="arial" w:cs="arial"/>
          <w:color w:val="000000"/>
          <w:sz w:val="20"/>
          <w:lang w:val="en-US" w:eastAsia="en-US" w:bidi="ar-SA"/>
        </w:rPr>
        <w:t xml:space="preserve">, </w:t>
      </w:r>
      <w:hyperlink r:id="rId865" w:history="1">
        <w:r>
          <w:rPr>
            <w:rFonts w:ascii="arial" w:eastAsia="arial" w:hAnsi="arial" w:cs="arial"/>
            <w:i/>
            <w:color w:val="0077CC"/>
            <w:sz w:val="20"/>
            <w:u w:val="single"/>
            <w:shd w:val="clear" w:color="auto" w:fill="FFFFFF"/>
            <w:lang w:val="en-US" w:eastAsia="en-US" w:bidi="ar-SA"/>
          </w:rPr>
          <w:t>2013 BCCA 412</w:t>
        </w:r>
      </w:hyperlink>
      <w:r>
        <w:rPr>
          <w:rFonts w:ascii="arial" w:eastAsia="arial" w:hAnsi="arial" w:cs="arial"/>
          <w:color w:val="000000"/>
          <w:sz w:val="20"/>
          <w:lang w:val="en-US" w:eastAsia="en-US" w:bidi="ar-SA"/>
        </w:rPr>
        <w:t xml:space="preserve"> at paras. 92, 117.</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109</w:t>
      </w:r>
      <w:r>
        <w:rPr>
          <w:rFonts w:ascii="arial" w:eastAsia="arial" w:hAnsi="arial" w:cs="arial"/>
          <w:color w:val="000000"/>
          <w:sz w:val="20"/>
          <w:lang w:val="en-US" w:eastAsia="en-US" w:bidi="ar-SA"/>
        </w:rPr>
        <w:t>  Another important aspect of the context is the result in the Bill 28 Decision and the collective bargaining context at the time the Bill 28 Decision was rendered and following, and so I will review these aspects of the facts as well.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110</w:t>
      </w:r>
      <w:r>
        <w:rPr>
          <w:rFonts w:ascii="arial" w:eastAsia="arial" w:hAnsi="arial" w:cs="arial"/>
          <w:color w:val="000000"/>
          <w:sz w:val="20"/>
          <w:lang w:val="en-US" w:eastAsia="en-US" w:bidi="ar-SA"/>
        </w:rPr>
        <w:t>  I turn now to the find the facts regarding the government's discussions with the BCTF prior to enacting Bill 22.</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Issue 2: What are the Facts Regarding the Nature of the Parties' Discussions Post-the Bill 28 Decision and Prior to the Enactment of Bill 22?</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Context of Bill 28 Decision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111</w:t>
      </w:r>
      <w:r>
        <w:rPr>
          <w:rFonts w:ascii="arial" w:eastAsia="arial" w:hAnsi="arial" w:cs="arial"/>
          <w:color w:val="000000"/>
          <w:sz w:val="20"/>
          <w:lang w:val="en-US" w:eastAsia="en-US" w:bidi="ar-SA"/>
        </w:rPr>
        <w:t>  The present case is unusual give that much of the background context was already determined by the findings of fact in the Bill 28 Decision. The parties are the same and they agree that they are bound by those findings.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112</w:t>
      </w:r>
      <w:r>
        <w:rPr>
          <w:rFonts w:ascii="arial" w:eastAsia="arial" w:hAnsi="arial" w:cs="arial"/>
          <w:color w:val="000000"/>
          <w:sz w:val="20"/>
          <w:lang w:val="en-US" w:eastAsia="en-US" w:bidi="ar-SA"/>
        </w:rPr>
        <w:t>  The history of teachers' collective bargaining leading up to Bill 28 is set out in the Bill 28 Decision at paras. 60-185.</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113</w:t>
      </w:r>
      <w:r>
        <w:rPr>
          <w:rFonts w:ascii="arial" w:eastAsia="arial" w:hAnsi="arial" w:cs="arial"/>
          <w:color w:val="000000"/>
          <w:sz w:val="20"/>
          <w:lang w:val="en-US" w:eastAsia="en-US" w:bidi="ar-SA"/>
        </w:rPr>
        <w:t xml:space="preserve">  The current model of collective bargaining which has applied to teachers since before Bill 28 is governed by the </w:t>
      </w:r>
      <w:r>
        <w:rPr>
          <w:rFonts w:ascii="arial" w:eastAsia="arial" w:hAnsi="arial" w:cs="arial"/>
          <w:i/>
          <w:color w:val="000000"/>
          <w:sz w:val="20"/>
          <w:lang w:val="en-US" w:eastAsia="en-US" w:bidi="ar-SA"/>
        </w:rPr>
        <w:t>Labour Relations Code</w:t>
      </w:r>
      <w:r>
        <w:rPr>
          <w:rFonts w:ascii="arial" w:eastAsia="arial" w:hAnsi="arial" w:cs="arial"/>
          <w:color w:val="000000"/>
          <w:sz w:val="20"/>
          <w:lang w:val="en-US" w:eastAsia="en-US" w:bidi="ar-SA"/>
        </w:rPr>
        <w:t xml:space="preserve">, as amended, the </w:t>
      </w:r>
      <w:r>
        <w:rPr>
          <w:rFonts w:ascii="arial" w:eastAsia="arial" w:hAnsi="arial" w:cs="arial"/>
          <w:i/>
          <w:color w:val="000000"/>
          <w:sz w:val="20"/>
          <w:lang w:val="en-US" w:eastAsia="en-US" w:bidi="ar-SA"/>
        </w:rPr>
        <w:t>School Act</w:t>
      </w:r>
      <w:r>
        <w:rPr>
          <w:rFonts w:ascii="arial" w:eastAsia="arial" w:hAnsi="arial" w:cs="arial"/>
          <w:color w:val="000000"/>
          <w:sz w:val="20"/>
          <w:lang w:val="en-US" w:eastAsia="en-US" w:bidi="ar-SA"/>
        </w:rPr>
        <w:t xml:space="preserve">, and the </w:t>
      </w:r>
      <w:r>
        <w:rPr>
          <w:rFonts w:ascii="arial" w:eastAsia="arial" w:hAnsi="arial" w:cs="arial"/>
          <w:i/>
          <w:color w:val="000000"/>
          <w:sz w:val="20"/>
          <w:lang w:val="en-US" w:eastAsia="en-US" w:bidi="ar-SA"/>
        </w:rPr>
        <w:t>Public Education Labour Relations Act</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114</w:t>
      </w:r>
      <w:r>
        <w:rPr>
          <w:rFonts w:ascii="arial" w:eastAsia="arial" w:hAnsi="arial" w:cs="arial"/>
          <w:color w:val="000000"/>
          <w:sz w:val="20"/>
          <w:lang w:val="en-US" w:eastAsia="en-US" w:bidi="ar-SA"/>
        </w:rPr>
        <w:t>  In short, BCTF is the exclusive bargaining agent for teachers; and the employers' association, BCPSEA, is the exclusive bargaining agent for school boards, the employers of teachers.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115</w:t>
      </w:r>
      <w:r>
        <w:rPr>
          <w:rFonts w:ascii="arial" w:eastAsia="arial" w:hAnsi="arial" w:cs="arial"/>
          <w:color w:val="000000"/>
          <w:sz w:val="20"/>
          <w:lang w:val="en-US" w:eastAsia="en-US" w:bidi="ar-SA"/>
        </w:rPr>
        <w:t>  This model came out of a report by Judi Korbin following a commission of inquiry into public sector human resource issues. The theory behind it was to provide a balance of bargaining power between management and labour (Bill 28 Decision, para. 85).</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116</w:t>
      </w:r>
      <w:r>
        <w:rPr>
          <w:rFonts w:ascii="arial" w:eastAsia="arial" w:hAnsi="arial" w:cs="arial"/>
          <w:color w:val="000000"/>
          <w:sz w:val="20"/>
          <w:lang w:val="en-US" w:eastAsia="en-US" w:bidi="ar-SA"/>
        </w:rPr>
        <w:t xml:space="preserve">  BCPSEA is one of six public employers' associations. All belong to the Public Sector Employers' Council ("PSEC"), which is a council established pursuant to the </w:t>
      </w:r>
      <w:r>
        <w:rPr>
          <w:rFonts w:ascii="arial" w:eastAsia="arial" w:hAnsi="arial" w:cs="arial"/>
          <w:i/>
          <w:color w:val="000000"/>
          <w:sz w:val="20"/>
          <w:lang w:val="en-US" w:eastAsia="en-US" w:bidi="ar-SA"/>
        </w:rPr>
        <w:t>Public Sector Employers' Act</w:t>
      </w:r>
      <w:r>
        <w:rPr>
          <w:rFonts w:ascii="arial" w:eastAsia="arial" w:hAnsi="arial" w:cs="arial"/>
          <w:color w:val="000000"/>
          <w:sz w:val="20"/>
          <w:lang w:val="en-US" w:eastAsia="en-US" w:bidi="ar-SA"/>
        </w:rPr>
        <w:t xml:space="preserve"> or </w:t>
      </w:r>
      <w:r>
        <w:rPr>
          <w:rFonts w:ascii="arial" w:eastAsia="arial" w:hAnsi="arial" w:cs="arial"/>
          <w:i/>
          <w:color w:val="000000"/>
          <w:sz w:val="20"/>
          <w:lang w:val="en-US" w:eastAsia="en-US" w:bidi="ar-SA"/>
        </w:rPr>
        <w:t>PSEA</w:t>
      </w:r>
      <w:r>
        <w:rPr>
          <w:rFonts w:ascii="arial" w:eastAsia="arial" w:hAnsi="arial" w:cs="arial"/>
          <w:color w:val="000000"/>
          <w:sz w:val="20"/>
          <w:lang w:val="en-US" w:eastAsia="en-US" w:bidi="ar-SA"/>
        </w:rPr>
        <w:t xml:space="preserve">. PSEC is comprised of one or more ministers of government, senior civil servants such as deputy ministers, and a member of each of the employers' associations. The functions of PSEC are set out in s. 4 of </w:t>
      </w:r>
      <w:r>
        <w:rPr>
          <w:rFonts w:ascii="arial" w:eastAsia="arial" w:hAnsi="arial" w:cs="arial"/>
          <w:i/>
          <w:color w:val="000000"/>
          <w:sz w:val="20"/>
          <w:lang w:val="en-US" w:eastAsia="en-US" w:bidi="ar-SA"/>
        </w:rPr>
        <w:t>PESA</w:t>
      </w:r>
      <w:r>
        <w:rPr>
          <w:rFonts w:ascii="arial" w:eastAsia="arial" w:hAnsi="arial" w:cs="arial"/>
          <w:color w:val="000000"/>
          <w:sz w:val="20"/>
          <w:lang w:val="en-US" w:eastAsia="en-US" w:bidi="ar-SA"/>
        </w:rPr>
        <w:t>:</w:t>
      </w:r>
      <w:r>
        <w:rPr>
          <w:rFonts w:ascii="arial" w:eastAsia="arial" w:hAnsi="arial" w:cs="arial"/>
          <w:sz w:val="20"/>
          <w:lang w:val="en-US" w:eastAsia="en-US" w:bidi="ar-SA"/>
        </w:rPr>
        <w:cr/>
      </w:r>
    </w:p>
    <w:p>
      <w:pPr>
        <w:numPr>
          <w:numId w:val="39"/>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The functions of the council are</w:t>
      </w:r>
    </w:p>
    <w:p>
      <w:pPr>
        <w:numPr>
          <w:numId w:val="4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to set and coordinate strategic directions in human resource management and labour relations,</w:t>
      </w:r>
    </w:p>
    <w:p>
      <w:pPr>
        <w:spacing w:line="260" w:lineRule="atLeast"/>
        <w:jc w:val="center"/>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(b) to advise the government on human resource</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issues with respect to the public sector, and</w:t>
      </w:r>
      <w:r>
        <w:rPr>
          <w:rFonts w:ascii="arial" w:eastAsia="arial" w:hAnsi="arial" w:cs="arial"/>
          <w:sz w:val="20"/>
          <w:lang w:val="en-US" w:eastAsia="en-US" w:bidi="ar-SA"/>
        </w:rPr>
        <w:cr/>
      </w:r>
    </w:p>
    <w:p>
      <w:pPr>
        <w:numPr>
          <w:numId w:val="41"/>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to provide a forum to enable public sector employers to plan solutions to human resource issues,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consistent with cost efficient and effective delivery of services in the public sector.</w:t>
      </w:r>
    </w:p>
    <w:p>
      <w:pPr>
        <w:numPr>
          <w:numId w:val="4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In addition, it is a function of the council to enable representatives of public sector employees to consult with public sector employers on policy issues that directly affect the employees.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117</w:t>
      </w:r>
      <w:r>
        <w:rPr>
          <w:rFonts w:ascii="arial" w:eastAsia="arial" w:hAnsi="arial" w:cs="arial"/>
          <w:color w:val="000000"/>
          <w:sz w:val="20"/>
          <w:lang w:val="en-US" w:eastAsia="en-US" w:bidi="ar-SA"/>
        </w:rPr>
        <w:t>  Korbin believed that the PSEC structure would provide a framework for public sector employer associations to consult and collaborate with government over where public resources would be best spent (Bill 28 Decision, at para. 75).</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118</w:t>
      </w:r>
      <w:r>
        <w:rPr>
          <w:rFonts w:ascii="arial" w:eastAsia="arial" w:hAnsi="arial" w:cs="arial"/>
          <w:color w:val="000000"/>
          <w:sz w:val="20"/>
          <w:lang w:val="en-US" w:eastAsia="en-US" w:bidi="ar-SA"/>
        </w:rPr>
        <w:t>  Government representatives are also members of the boards of directors of each of the employers' associations, including BCPSEA. One of the purposes of employer associations, in addition to carrying out collective bargaining objectives, and fostering consultation with representatives of employees, is to assist in carrying out the objectives and to comply with strategic directions of PSEC.</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119</w:t>
      </w:r>
      <w:r>
        <w:rPr>
          <w:rFonts w:ascii="arial" w:eastAsia="arial" w:hAnsi="arial" w:cs="arial"/>
          <w:color w:val="000000"/>
          <w:sz w:val="20"/>
          <w:lang w:val="en-US" w:eastAsia="en-US" w:bidi="ar-SA"/>
        </w:rPr>
        <w:t xml:space="preserve">  Bill 28 was introduced in 2002, as the </w:t>
      </w:r>
      <w:r>
        <w:rPr>
          <w:rFonts w:ascii="arial" w:eastAsia="arial" w:hAnsi="arial" w:cs="arial"/>
          <w:i/>
          <w:color w:val="000000"/>
          <w:sz w:val="20"/>
          <w:lang w:val="en-US" w:eastAsia="en-US" w:bidi="ar-SA"/>
        </w:rPr>
        <w:t>Public Education Flexibility and Choice Act</w:t>
      </w:r>
      <w:r>
        <w:rPr>
          <w:rFonts w:ascii="arial" w:eastAsia="arial" w:hAnsi="arial" w:cs="arial"/>
          <w:color w:val="000000"/>
          <w:sz w:val="20"/>
          <w:lang w:val="en-US" w:eastAsia="en-US" w:bidi="ar-SA"/>
        </w:rPr>
        <w:t xml:space="preserve"> or </w:t>
      </w:r>
      <w:r>
        <w:rPr>
          <w:rFonts w:ascii="arial" w:eastAsia="arial" w:hAnsi="arial" w:cs="arial"/>
          <w:i/>
          <w:color w:val="000000"/>
          <w:sz w:val="20"/>
          <w:lang w:val="en-US" w:eastAsia="en-US" w:bidi="ar-SA"/>
        </w:rPr>
        <w:t>PEFCA</w:t>
      </w:r>
      <w:r>
        <w:rPr>
          <w:rFonts w:ascii="arial" w:eastAsia="arial" w:hAnsi="arial" w:cs="arial"/>
          <w:color w:val="000000"/>
          <w:sz w:val="20"/>
          <w:lang w:val="en-US" w:eastAsia="en-US" w:bidi="ar-SA"/>
        </w:rPr>
        <w:t>. Section 8 of Bill 28 removed teachers' right to collectively bargain over certain working conditions, which for ease of reference I will refer to as the "Working Conditions", such as restrictions on class sizes, class composition (the number of students with special needs integrated per class), ratios of non-enrolling teachers to students (teachers not assigned to classrooms, such as librarians, counsellors and special education teachers), and workload.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120</w:t>
      </w:r>
      <w:r>
        <w:rPr>
          <w:rFonts w:ascii="arial" w:eastAsia="arial" w:hAnsi="arial" w:cs="arial"/>
          <w:color w:val="000000"/>
          <w:sz w:val="20"/>
          <w:lang w:val="en-US" w:eastAsia="en-US" w:bidi="ar-SA"/>
        </w:rPr>
        <w:t xml:space="preserve">  These prohibitions on collective bargaining were introduced through amendments to s. 27 of the </w:t>
      </w:r>
      <w:r>
        <w:rPr>
          <w:rFonts w:ascii="arial" w:eastAsia="arial" w:hAnsi="arial" w:cs="arial"/>
          <w:i/>
          <w:color w:val="000000"/>
          <w:sz w:val="20"/>
          <w:lang w:val="en-US" w:eastAsia="en-US" w:bidi="ar-SA"/>
        </w:rPr>
        <w:t>School Act</w:t>
      </w:r>
      <w:r>
        <w:rPr>
          <w:rFonts w:ascii="arial" w:eastAsia="arial" w:hAnsi="arial" w:cs="arial"/>
          <w:color w:val="000000"/>
          <w:sz w:val="20"/>
          <w:lang w:val="en-US" w:eastAsia="en-US" w:bidi="ar-SA"/>
        </w:rPr>
        <w:t xml:space="preserve">: see Bill 28 Decision, paras. 28-29. In particular, s. 27 of the </w:t>
      </w:r>
      <w:r>
        <w:rPr>
          <w:rFonts w:ascii="arial" w:eastAsia="arial" w:hAnsi="arial" w:cs="arial"/>
          <w:i/>
          <w:color w:val="000000"/>
          <w:sz w:val="20"/>
          <w:lang w:val="en-US" w:eastAsia="en-US" w:bidi="ar-SA"/>
        </w:rPr>
        <w:t>School Act</w:t>
      </w:r>
      <w:r>
        <w:rPr>
          <w:rFonts w:ascii="arial" w:eastAsia="arial" w:hAnsi="arial" w:cs="arial"/>
          <w:color w:val="000000"/>
          <w:sz w:val="20"/>
          <w:lang w:val="en-US" w:eastAsia="en-US" w:bidi="ar-SA"/>
        </w:rPr>
        <w:t xml:space="preserve"> was amended by s. 8 of Bill 28 as underlined as follows: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27(1) Despite any agreement to the contrary, the terms and conditions of a contract of employment between a board and a teacher are</w:t>
      </w:r>
    </w:p>
    <w:p>
      <w:pPr>
        <w:numPr>
          <w:numId w:val="43"/>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the provisions of this Act and the regulations,</w:t>
      </w:r>
    </w:p>
    <w:p>
      <w:pPr>
        <w:numPr>
          <w:numId w:val="43"/>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u w:val="single"/>
          <w:lang w:val="en-US" w:eastAsia="en-US" w:bidi="ar-SA"/>
        </w:rPr>
        <w:t>the terms and conditions, not inconsistent with this Act and the regulations, of a teachers' collective agreement, and</w:t>
      </w:r>
    </w:p>
    <w:p>
      <w:pPr>
        <w:numPr>
          <w:numId w:val="43"/>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the terms and conditions, not inconsistent with paragraphs (a) and (b), agreed between the board and the teacher.</w:t>
      </w:r>
    </w:p>
    <w:p>
      <w:pPr>
        <w:numPr>
          <w:numId w:val="4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 provision of an agreement referred to in subsection (1) (b) excluding or purporting to exclude the provisions of this Act or the regulations is void.</w:t>
      </w:r>
    </w:p>
    <w:p>
      <w:pPr>
        <w:numPr>
          <w:numId w:val="4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There must not be included in </w:t>
      </w:r>
      <w:r>
        <w:rPr>
          <w:rFonts w:ascii="arial" w:eastAsia="arial" w:hAnsi="arial" w:cs="arial"/>
          <w:color w:val="000000"/>
          <w:sz w:val="20"/>
          <w:u w:val="single"/>
          <w:lang w:val="en-US" w:eastAsia="en-US" w:bidi="ar-SA"/>
        </w:rPr>
        <w:t>a teachers' collective agreement</w:t>
      </w:r>
      <w:r>
        <w:rPr>
          <w:rFonts w:ascii="arial" w:eastAsia="arial" w:hAnsi="arial" w:cs="arial"/>
          <w:color w:val="000000"/>
          <w:sz w:val="20"/>
          <w:lang w:val="en-US" w:eastAsia="en-US" w:bidi="ar-SA"/>
        </w:rPr>
        <w:t xml:space="preserve"> any provision</w:t>
      </w:r>
    </w:p>
    <w:p>
      <w:pPr>
        <w:numPr>
          <w:numId w:val="45"/>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regulating the selection and appointment of teachers under this Act, the courses of study, the program of studies or the professional methods and techniques employed by a teacher,</w:t>
      </w:r>
    </w:p>
    <w:p>
      <w:pPr>
        <w:numPr>
          <w:numId w:val="45"/>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restricting or regulating the assignment by a board of teaching duties to administrative officers,</w:t>
      </w:r>
    </w:p>
    <w:p>
      <w:pPr>
        <w:numPr>
          <w:numId w:val="45"/>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limiting a board's power to employ persons other than teachers to assist teachers in the carrying out of their responsibilities under this Act and the regulations,</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u w:val="single"/>
          <w:lang w:val="en-US" w:eastAsia="en-US" w:bidi="ar-SA"/>
        </w:rPr>
        <w:t>(d) restricting or regulating a board's power to establish class size and class composition,</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u w:val="single"/>
          <w:lang w:val="en-US" w:eastAsia="en-US" w:bidi="ar-SA"/>
        </w:rPr>
        <w:t>(e) establishing or imposing class size limits, requirements respecting average class sizes, or methods for determining class size limits or average class sizes,</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u w:val="single"/>
          <w:lang w:val="en-US" w:eastAsia="en-US" w:bidi="ar-SA"/>
        </w:rPr>
        <w:t>(f) restricting or regulating a board's power to assign a student to a class, course or program,</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u w:val="single"/>
          <w:lang w:val="en-US" w:eastAsia="en-US" w:bidi="ar-SA"/>
        </w:rPr>
        <w:t>(g) restricting or regulating a board's power to determine staffing levels or ratios or the number of teachers or other staff employed by the board,</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u w:val="single"/>
          <w:lang w:val="en-US" w:eastAsia="en-US" w:bidi="ar-SA"/>
        </w:rPr>
        <w:t>(h) establishing minimum numbers of teachers or other staff,</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u w:val="single"/>
          <w:lang w:val="en-US" w:eastAsia="en-US" w:bidi="ar-SA"/>
        </w:rPr>
        <w:t>(i) restricting or regulating a board's power to determine the number of students assigned to a teacher, or</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u w:val="single"/>
          <w:lang w:val="en-US" w:eastAsia="en-US" w:bidi="ar-SA"/>
        </w:rPr>
        <w:t>(j) establishing maximum or minimum case loads, staffing loads or teaching loads.</w:t>
      </w:r>
    </w:p>
    <w:p>
      <w:pPr>
        <w:numPr>
          <w:numId w:val="4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Subsection (3) does not prevent a teachers' collective agreement from containing a provision respecting hiring preferences for teachers who have previously been employed by the board.</w:t>
      </w:r>
    </w:p>
    <w:p>
      <w:pPr>
        <w:spacing w:line="260" w:lineRule="atLeast"/>
        <w:jc w:val="center"/>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(5) </w:t>
      </w:r>
      <w:r>
        <w:rPr>
          <w:rFonts w:ascii="arial" w:eastAsia="arial" w:hAnsi="arial" w:cs="arial"/>
          <w:color w:val="000000"/>
          <w:sz w:val="20"/>
          <w:u w:val="single"/>
          <w:lang w:val="en-US" w:eastAsia="en-US" w:bidi="ar-SA"/>
        </w:rPr>
        <w:t>A provision of a teachers' collective agreement</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u w:val="single"/>
          <w:lang w:val="en-US" w:eastAsia="en-US" w:bidi="ar-SA"/>
        </w:rPr>
        <w:t xml:space="preserve"> that conflicts or is inconsistent with subsection (3) is</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u w:val="single"/>
          <w:lang w:val="en-US" w:eastAsia="en-US" w:bidi="ar-SA"/>
        </w:rPr>
        <w:t xml:space="preserve"> void to the extent of the conflict or inconsistency.</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u w:val="single"/>
          <w:lang w:val="en-US" w:eastAsia="en-US" w:bidi="ar-SA"/>
        </w:rPr>
        <w:t>(6) A provision of a teachers' collective agreement that</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u w:val="single"/>
          <w:lang w:val="en-US" w:eastAsia="en-US" w:bidi="ar-SA"/>
        </w:rPr>
        <w:t>(a) requires the employers' association to negotiate with the Provincial union, as defined in the Public Education Labour Relations Act, to replace provisions of the agreement that are void as a result of subsection (5), or</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u w:val="single"/>
          <w:lang w:val="en-US" w:eastAsia="en-US" w:bidi="ar-SA"/>
        </w:rPr>
        <w:t>(b) authorizes or requires the Labour Relations Board, an arbitrator or any person to replace, amend or modify provisions of the agreement that are void as a result of subsection (5),</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u w:val="single"/>
          <w:lang w:val="en-US" w:eastAsia="en-US" w:bidi="ar-SA"/>
        </w:rPr>
        <w:t>is void to the extent that the provision relates to a matter described in subsection (3) (a) to (j).</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121</w:t>
      </w:r>
      <w:r>
        <w:rPr>
          <w:rFonts w:ascii="arial" w:eastAsia="arial" w:hAnsi="arial" w:cs="arial"/>
          <w:color w:val="000000"/>
          <w:sz w:val="20"/>
          <w:lang w:val="en-US" w:eastAsia="en-US" w:bidi="ar-SA"/>
        </w:rPr>
        <w:t>  Bill 28 also rendered void any existing provisions in a teachers' collective agreement relating to the above matters. Section 9 of the legislation tasked an arbitrator with determining which provisions were rendered void in the collective agreement that then existed between BCTF and BCPSEA.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122</w:t>
      </w:r>
      <w:r>
        <w:rPr>
          <w:rFonts w:ascii="arial" w:eastAsia="arial" w:hAnsi="arial" w:cs="arial"/>
          <w:color w:val="000000"/>
          <w:sz w:val="20"/>
          <w:lang w:val="en-US" w:eastAsia="en-US" w:bidi="ar-SA"/>
        </w:rPr>
        <w:t>  The arbitrator determined that the legislation had the effect of rendering invalid hundreds of provisions in the collective agreement relating to these Working Conditions.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123</w:t>
      </w:r>
      <w:r>
        <w:rPr>
          <w:rFonts w:ascii="arial" w:eastAsia="arial" w:hAnsi="arial" w:cs="arial"/>
          <w:color w:val="000000"/>
          <w:sz w:val="20"/>
          <w:lang w:val="en-US" w:eastAsia="en-US" w:bidi="ar-SA"/>
        </w:rPr>
        <w:t xml:space="preserve">  The arbitrator's decision deleting terms of the collective agreement was subsequently quashed as too broad in a decision of Shaw J. of this Court in </w:t>
      </w:r>
      <w:r>
        <w:rPr>
          <w:rFonts w:ascii="arial" w:eastAsia="arial" w:hAnsi="arial" w:cs="arial"/>
          <w:i/>
          <w:color w:val="000000"/>
          <w:sz w:val="20"/>
          <w:lang w:val="en-US" w:eastAsia="en-US" w:bidi="ar-SA"/>
        </w:rPr>
        <w:t>British Columbia Teachers' Federation v. British Columbia Public School Employers' Association</w:t>
      </w:r>
      <w:r>
        <w:rPr>
          <w:rFonts w:ascii="arial" w:eastAsia="arial" w:hAnsi="arial" w:cs="arial"/>
          <w:color w:val="000000"/>
          <w:sz w:val="20"/>
          <w:lang w:val="en-US" w:eastAsia="en-US" w:bidi="ar-SA"/>
        </w:rPr>
        <w:t xml:space="preserve">, </w:t>
      </w:r>
      <w:hyperlink r:id="rId853" w:history="1">
        <w:r>
          <w:rPr>
            <w:rFonts w:ascii="arial" w:eastAsia="arial" w:hAnsi="arial" w:cs="arial"/>
            <w:i/>
            <w:color w:val="0077CC"/>
            <w:sz w:val="20"/>
            <w:u w:val="single"/>
            <w:shd w:val="clear" w:color="auto" w:fill="FFFFFF"/>
            <w:lang w:val="en-US" w:eastAsia="en-US" w:bidi="ar-SA"/>
          </w:rPr>
          <w:t>2004 BCSC 86</w:t>
        </w:r>
      </w:hyperlink>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124</w:t>
      </w:r>
      <w:r>
        <w:rPr>
          <w:rFonts w:ascii="arial" w:eastAsia="arial" w:hAnsi="arial" w:cs="arial"/>
          <w:color w:val="000000"/>
          <w:sz w:val="20"/>
          <w:lang w:val="en-US" w:eastAsia="en-US" w:bidi="ar-SA"/>
        </w:rPr>
        <w:t xml:space="preserve">  The government then legislatively overrode the Shaw J. decision in 2004, restoring the arbitrator's decision to delete hundreds of terms of the collective agreement retroactively to July 1, 2002, pursuant to s. 5 of the </w:t>
      </w:r>
      <w:r>
        <w:rPr>
          <w:rFonts w:ascii="arial" w:eastAsia="arial" w:hAnsi="arial" w:cs="arial"/>
          <w:i/>
          <w:color w:val="000000"/>
          <w:sz w:val="20"/>
          <w:lang w:val="en-US" w:eastAsia="en-US" w:bidi="ar-SA"/>
        </w:rPr>
        <w:t>Amendment Act</w:t>
      </w:r>
      <w:r>
        <w:rPr>
          <w:rFonts w:ascii="arial" w:eastAsia="arial" w:hAnsi="arial" w:cs="arial"/>
          <w:color w:val="000000"/>
          <w:sz w:val="20"/>
          <w:lang w:val="en-US" w:eastAsia="en-US" w:bidi="ar-SA"/>
        </w:rPr>
        <w:t>: Bill 28 Decision, at paras. 30-33.</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125</w:t>
      </w:r>
      <w:r>
        <w:rPr>
          <w:rFonts w:ascii="arial" w:eastAsia="arial" w:hAnsi="arial" w:cs="arial"/>
          <w:color w:val="000000"/>
          <w:sz w:val="20"/>
          <w:lang w:val="en-US" w:eastAsia="en-US" w:bidi="ar-SA"/>
        </w:rPr>
        <w:t xml:space="preserve">  Section 5 of the </w:t>
      </w:r>
      <w:r>
        <w:rPr>
          <w:rFonts w:ascii="arial" w:eastAsia="arial" w:hAnsi="arial" w:cs="arial"/>
          <w:i/>
          <w:color w:val="000000"/>
          <w:sz w:val="20"/>
          <w:lang w:val="en-US" w:eastAsia="en-US" w:bidi="ar-SA"/>
        </w:rPr>
        <w:t>Amendment Act</w:t>
      </w:r>
      <w:r>
        <w:rPr>
          <w:rFonts w:ascii="arial" w:eastAsia="arial" w:hAnsi="arial" w:cs="arial"/>
          <w:color w:val="000000"/>
          <w:sz w:val="20"/>
          <w:lang w:val="en-US" w:eastAsia="en-US" w:bidi="ar-SA"/>
        </w:rPr>
        <w:t xml:space="preserve"> was both retroactive to July 1, 2002, and applied after that date as well. It provided: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5(1) Despite any decision of a court to the contrary made before or after the coming into force of this section,</w:t>
      </w:r>
    </w:p>
    <w:p>
      <w:pPr>
        <w:numPr>
          <w:numId w:val="4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deletion under section 1 of words, phrases, provisions and parts of provisions from a collective agreement between the British Columbia Teachers' Federation and the British Columbia Public School Employers' Association is deemed to have taken effect on July 1, 2002, and</w:t>
      </w:r>
    </w:p>
    <w:p>
      <w:pPr>
        <w:numPr>
          <w:numId w:val="4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u w:val="single"/>
          <w:lang w:val="en-US" w:eastAsia="en-US" w:bidi="ar-SA"/>
        </w:rPr>
        <w:t>those deleted words, phrases, provisions and parts of provisions must not</w:t>
      </w:r>
      <w:r>
        <w:rPr>
          <w:rFonts w:ascii="arial" w:eastAsia="arial" w:hAnsi="arial" w:cs="arial"/>
          <w:color w:val="000000"/>
          <w:sz w:val="20"/>
          <w:lang w:val="en-US" w:eastAsia="en-US" w:bidi="ar-SA"/>
        </w:rPr>
        <w:t xml:space="preserve"> for any purpose, including any suit or arbitration commenced or continued before or after the coming into force of this section, </w:t>
      </w:r>
      <w:r>
        <w:rPr>
          <w:rFonts w:ascii="arial" w:eastAsia="arial" w:hAnsi="arial" w:cs="arial"/>
          <w:color w:val="000000"/>
          <w:sz w:val="20"/>
          <w:u w:val="single"/>
          <w:lang w:val="en-US" w:eastAsia="en-US" w:bidi="ar-SA"/>
        </w:rPr>
        <w:t>be considered part of that collective agreement on or after July 1, 2002.</w:t>
      </w:r>
    </w:p>
    <w:p>
      <w:pPr>
        <w:numPr>
          <w:numId w:val="4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This section is retroactive to the extent necessary to give full force and effect to its provisions and must not be construed as lacking retroactive effect in relation to any matter merely because it makes no specific reference to that matter.</w:t>
      </w:r>
    </w:p>
    <w:p>
      <w:pPr>
        <w:spacing w:before="120" w:line="260" w:lineRule="atLeast"/>
        <w:ind w:left="3240"/>
        <w:rPr>
          <w:rFonts w:ascii="arial" w:eastAsia="arial" w:hAnsi="arial" w:cs="arial"/>
          <w:sz w:val="20"/>
          <w:lang w:val="en-US" w:eastAsia="en-US" w:bidi="ar-SA"/>
        </w:rPr>
      </w:pPr>
      <w:r>
        <w:rPr>
          <w:rFonts w:ascii="arial" w:eastAsia="arial" w:hAnsi="arial" w:cs="arial"/>
          <w:color w:val="000000"/>
          <w:sz w:val="20"/>
          <w:lang w:val="en-US" w:eastAsia="en-US" w:bidi="ar-SA"/>
        </w:rPr>
        <w:t>[Emphasis added.]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126</w:t>
      </w:r>
      <w:r>
        <w:rPr>
          <w:rFonts w:ascii="arial" w:eastAsia="arial" w:hAnsi="arial" w:cs="arial"/>
          <w:color w:val="000000"/>
          <w:sz w:val="20"/>
          <w:lang w:val="en-US" w:eastAsia="en-US" w:bidi="ar-SA"/>
        </w:rPr>
        <w:t xml:space="preserve">  Section 15 of </w:t>
      </w:r>
      <w:r>
        <w:rPr>
          <w:rFonts w:ascii="arial" w:eastAsia="arial" w:hAnsi="arial" w:cs="arial"/>
          <w:i/>
          <w:color w:val="000000"/>
          <w:sz w:val="20"/>
          <w:lang w:val="en-US" w:eastAsia="en-US" w:bidi="ar-SA"/>
        </w:rPr>
        <w:t>PEFCA</w:t>
      </w:r>
      <w:r>
        <w:rPr>
          <w:rFonts w:ascii="arial" w:eastAsia="arial" w:hAnsi="arial" w:cs="arial"/>
          <w:color w:val="000000"/>
          <w:sz w:val="20"/>
          <w:lang w:val="en-US" w:eastAsia="en-US" w:bidi="ar-SA"/>
        </w:rPr>
        <w:t>, or Bill 28, also restricted the right to collectively bargain over school calendaring and hours of days of work although there was a limited "consultation" right: Bill 28 Decision, at paras. 36-39.</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127</w:t>
      </w:r>
      <w:r>
        <w:rPr>
          <w:rFonts w:ascii="arial" w:eastAsia="arial" w:hAnsi="arial" w:cs="arial"/>
          <w:color w:val="000000"/>
          <w:sz w:val="20"/>
          <w:lang w:val="en-US" w:eastAsia="en-US" w:bidi="ar-SA"/>
        </w:rPr>
        <w:t xml:space="preserve">  In the Bill 28 Decision this Court concluded that ss. 8 and 15 of </w:t>
      </w:r>
      <w:r>
        <w:rPr>
          <w:rFonts w:ascii="arial" w:eastAsia="arial" w:hAnsi="arial" w:cs="arial"/>
          <w:i/>
          <w:color w:val="000000"/>
          <w:sz w:val="20"/>
          <w:lang w:val="en-US" w:eastAsia="en-US" w:bidi="ar-SA"/>
        </w:rPr>
        <w:t>PEFCA</w:t>
      </w:r>
      <w:r>
        <w:rPr>
          <w:rFonts w:ascii="arial" w:eastAsia="arial" w:hAnsi="arial" w:cs="arial"/>
          <w:color w:val="000000"/>
          <w:sz w:val="20"/>
          <w:lang w:val="en-US" w:eastAsia="en-US" w:bidi="ar-SA"/>
        </w:rPr>
        <w:t xml:space="preserve">, and s. 5 of the </w:t>
      </w:r>
      <w:r>
        <w:rPr>
          <w:rFonts w:ascii="arial" w:eastAsia="arial" w:hAnsi="arial" w:cs="arial"/>
          <w:i/>
          <w:color w:val="000000"/>
          <w:sz w:val="20"/>
          <w:lang w:val="en-US" w:eastAsia="en-US" w:bidi="ar-SA"/>
        </w:rPr>
        <w:t>Amendment Act</w:t>
      </w:r>
      <w:r>
        <w:rPr>
          <w:rFonts w:ascii="arial" w:eastAsia="arial" w:hAnsi="arial" w:cs="arial"/>
          <w:color w:val="000000"/>
          <w:sz w:val="20"/>
          <w:lang w:val="en-US" w:eastAsia="en-US" w:bidi="ar-SA"/>
        </w:rPr>
        <w:t xml:space="preserve">, infringed teachers' freedom of association guaranteed by s. 2(d) of the </w:t>
      </w:r>
      <w:r>
        <w:rPr>
          <w:rFonts w:ascii="arial" w:eastAsia="arial" w:hAnsi="arial" w:cs="arial"/>
          <w:i/>
          <w:color w:val="000000"/>
          <w:sz w:val="20"/>
          <w:lang w:val="en-US" w:eastAsia="en-US" w:bidi="ar-SA"/>
        </w:rPr>
        <w:t>Charter</w:t>
      </w:r>
      <w:r>
        <w:rPr>
          <w:rFonts w:ascii="arial" w:eastAsia="arial" w:hAnsi="arial" w:cs="arial"/>
          <w:color w:val="000000"/>
          <w:sz w:val="20"/>
          <w:lang w:val="en-US" w:eastAsia="en-US" w:bidi="ar-SA"/>
        </w:rPr>
        <w:t xml:space="preserve">. This infringement was not saved by s. 1 of the </w:t>
      </w:r>
      <w:r>
        <w:rPr>
          <w:rFonts w:ascii="arial" w:eastAsia="arial" w:hAnsi="arial" w:cs="arial"/>
          <w:i/>
          <w:color w:val="000000"/>
          <w:sz w:val="20"/>
          <w:lang w:val="en-US" w:eastAsia="en-US" w:bidi="ar-SA"/>
        </w:rPr>
        <w:t>Charter</w:t>
      </w:r>
      <w:r>
        <w:rPr>
          <w:rFonts w:ascii="arial" w:eastAsia="arial" w:hAnsi="arial" w:cs="arial"/>
          <w:color w:val="000000"/>
          <w:sz w:val="20"/>
          <w:lang w:val="en-US" w:eastAsia="en-US" w:bidi="ar-SA"/>
        </w:rPr>
        <w:t>: Bill 28 Decision, at para. 381.</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128</w:t>
      </w:r>
      <w:r>
        <w:rPr>
          <w:rFonts w:ascii="arial" w:eastAsia="arial" w:hAnsi="arial" w:cs="arial"/>
          <w:color w:val="000000"/>
          <w:sz w:val="20"/>
          <w:lang w:val="en-US" w:eastAsia="en-US" w:bidi="ar-SA"/>
        </w:rPr>
        <w:t xml:space="preserve">  Parenthetically other challenges to legislation are addressed in the Bill 28 Decision but are mostly irrelevant for present purposes. In summary, s. 9 of </w:t>
      </w:r>
      <w:r>
        <w:rPr>
          <w:rFonts w:ascii="arial" w:eastAsia="arial" w:hAnsi="arial" w:cs="arial"/>
          <w:i/>
          <w:color w:val="000000"/>
          <w:sz w:val="20"/>
          <w:lang w:val="en-US" w:eastAsia="en-US" w:bidi="ar-SA"/>
        </w:rPr>
        <w:t>PEFCA</w:t>
      </w:r>
      <w:r>
        <w:rPr>
          <w:rFonts w:ascii="arial" w:eastAsia="arial" w:hAnsi="arial" w:cs="arial"/>
          <w:color w:val="000000"/>
          <w:sz w:val="20"/>
          <w:lang w:val="en-US" w:eastAsia="en-US" w:bidi="ar-SA"/>
        </w:rPr>
        <w:t xml:space="preserve"> was also unconstitutional but its effect was already spent and was duplicated by s. 5 of the </w:t>
      </w:r>
      <w:r>
        <w:rPr>
          <w:rFonts w:ascii="arial" w:eastAsia="arial" w:hAnsi="arial" w:cs="arial"/>
          <w:i/>
          <w:color w:val="000000"/>
          <w:sz w:val="20"/>
          <w:lang w:val="en-US" w:eastAsia="en-US" w:bidi="ar-SA"/>
        </w:rPr>
        <w:t>Amendment Act</w:t>
      </w:r>
      <w:r>
        <w:rPr>
          <w:rFonts w:ascii="arial" w:eastAsia="arial" w:hAnsi="arial" w:cs="arial"/>
          <w:color w:val="000000"/>
          <w:sz w:val="20"/>
          <w:lang w:val="en-US" w:eastAsia="en-US" w:bidi="ar-SA"/>
        </w:rPr>
        <w:t xml:space="preserve">. Section 4 of </w:t>
      </w:r>
      <w:r>
        <w:rPr>
          <w:rFonts w:ascii="arial" w:eastAsia="arial" w:hAnsi="arial" w:cs="arial"/>
          <w:i/>
          <w:color w:val="000000"/>
          <w:sz w:val="20"/>
          <w:lang w:val="en-US" w:eastAsia="en-US" w:bidi="ar-SA"/>
        </w:rPr>
        <w:t>ESCAA</w:t>
      </w:r>
      <w:r>
        <w:rPr>
          <w:rFonts w:ascii="arial" w:eastAsia="arial" w:hAnsi="arial" w:cs="arial"/>
          <w:color w:val="000000"/>
          <w:sz w:val="20"/>
          <w:lang w:val="en-US" w:eastAsia="en-US" w:bidi="ar-SA"/>
        </w:rPr>
        <w:t xml:space="preserve"> which merged local collective agreements was found not to infringe teachers' freedom of association.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129</w:t>
      </w:r>
      <w:r>
        <w:rPr>
          <w:rFonts w:ascii="arial" w:eastAsia="arial" w:hAnsi="arial" w:cs="arial"/>
          <w:color w:val="000000"/>
          <w:sz w:val="20"/>
          <w:lang w:val="en-US" w:eastAsia="en-US" w:bidi="ar-SA"/>
        </w:rPr>
        <w:t>  As well, this Court rejected the claim that the government had engaged in unconstitutional conduct by way of acting in concert with BCPSEA to engage in bad faith bargaining (Bill 28 Decision, at paras. 180-185). In reaching this conclusion, this Court noted that the government was not the bargaining agent negotiating directly with the BCTF (para. 181).</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Remedy in Bill 28 Decision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130</w:t>
      </w:r>
      <w:r>
        <w:rPr>
          <w:rFonts w:ascii="arial" w:eastAsia="arial" w:hAnsi="arial" w:cs="arial"/>
          <w:color w:val="000000"/>
          <w:sz w:val="20"/>
          <w:lang w:val="en-US" w:eastAsia="en-US" w:bidi="ar-SA"/>
        </w:rPr>
        <w:t xml:space="preserve">  As noted, the result in the Bill 28 Decision was a ruling that certain provisions of the legislation were unconstitutional and invalid. Normally this result means that legislation is null and void, pursuant to s. 52(1) of the </w:t>
      </w:r>
      <w:r>
        <w:rPr>
          <w:rFonts w:ascii="arial" w:eastAsia="arial" w:hAnsi="arial" w:cs="arial"/>
          <w:i/>
          <w:color w:val="000000"/>
          <w:sz w:val="20"/>
          <w:lang w:val="en-US" w:eastAsia="en-US" w:bidi="ar-SA"/>
        </w:rPr>
        <w:t>Constitution Act</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131</w:t>
      </w:r>
      <w:r>
        <w:rPr>
          <w:rFonts w:ascii="arial" w:eastAsia="arial" w:hAnsi="arial" w:cs="arial"/>
          <w:color w:val="000000"/>
          <w:sz w:val="20"/>
          <w:lang w:val="en-US" w:eastAsia="en-US" w:bidi="ar-SA"/>
        </w:rPr>
        <w:t>  The result of declaring the legislation invalid is that the broad range of Working Conditions issues could once again be the subject of collective bargaining and terms dealing with these issues would no longer be prohibited from being included in a collective agreement between the teachers and BCPSEA. As well, the hundreds of terms of the collective agreement which had been deleted by the legislation would be restored now that the legislation was invalid.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132</w:t>
      </w:r>
      <w:r>
        <w:rPr>
          <w:rFonts w:ascii="arial" w:eastAsia="arial" w:hAnsi="arial" w:cs="arial"/>
          <w:color w:val="000000"/>
          <w:sz w:val="20"/>
          <w:lang w:val="en-US" w:eastAsia="en-US" w:bidi="ar-SA"/>
        </w:rPr>
        <w:t>  Because this would impact the scope of the collective bargaining process and the collective agreement between BCPSEA and the BCTF the declaration of invalidity was suspended for a period of twelve months "to allow the government time to address the repercussions of the decision".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133</w:t>
      </w:r>
      <w:r>
        <w:rPr>
          <w:rFonts w:ascii="arial" w:eastAsia="arial" w:hAnsi="arial" w:cs="arial"/>
          <w:color w:val="000000"/>
          <w:sz w:val="20"/>
          <w:lang w:val="en-US" w:eastAsia="en-US" w:bidi="ar-SA"/>
        </w:rPr>
        <w:t>  The one year suspension of declaration is often used when unconstitutional legislation is struck down which may impact ongoing government operations. This suspension recognizes that courts do not have the expertise to understand all of the policy and fiscal issues facing governments, and so it allows governments time to adjust their policies and financial priorities to meet the repercussions of the legislation being struck down. Also, where a legitimate purpose of the legislation might be saved by amendment to the legislation, it allows the government time to consider and pass amendments which do not violate the constitution.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134</w:t>
      </w:r>
      <w:r>
        <w:rPr>
          <w:rFonts w:ascii="arial" w:eastAsia="arial" w:hAnsi="arial" w:cs="arial"/>
          <w:color w:val="000000"/>
          <w:sz w:val="20"/>
          <w:lang w:val="en-US" w:eastAsia="en-US" w:bidi="ar-SA"/>
        </w:rPr>
        <w:t>  Here the parties knew that the BCTF had an outstanding claim for damages that it wanted to pursue as part of the Bill 28 Action. The government and BCTF saw the one year suspension period as an opportunity to negotiate a settlement of that claim.</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Collective Agreement Carry-Forward Clause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135</w:t>
      </w:r>
      <w:r>
        <w:rPr>
          <w:rFonts w:ascii="arial" w:eastAsia="arial" w:hAnsi="arial" w:cs="arial"/>
          <w:color w:val="000000"/>
          <w:sz w:val="20"/>
          <w:lang w:val="en-US" w:eastAsia="en-US" w:bidi="ar-SA"/>
        </w:rPr>
        <w:t>  Bill 28 affected the collective agreement that then existed between BCTF and BCPSEA for the time period July 1, 2001, to June 30, 2006.</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136</w:t>
      </w:r>
      <w:r>
        <w:rPr>
          <w:rFonts w:ascii="arial" w:eastAsia="arial" w:hAnsi="arial" w:cs="arial"/>
          <w:color w:val="000000"/>
          <w:sz w:val="20"/>
          <w:lang w:val="en-US" w:eastAsia="en-US" w:bidi="ar-SA"/>
        </w:rPr>
        <w:t>  The next collective agreement entered into between BCTF and the BCPSEA was entered into for the time period July 1, 2006, to June 30, 2011 (the "2006 Collective Agreement").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137</w:t>
      </w:r>
      <w:r>
        <w:rPr>
          <w:rFonts w:ascii="arial" w:eastAsia="arial" w:hAnsi="arial" w:cs="arial"/>
          <w:color w:val="000000"/>
          <w:sz w:val="20"/>
          <w:lang w:val="en-US" w:eastAsia="en-US" w:bidi="ar-SA"/>
        </w:rPr>
        <w:t>  Just prior to the Bill 28 Decision coming down in April 2011, BCTF and BCPSEA commenced the next round of collective bargaining in March 2011. Their collective bargaining was limited by Bill 28. However, both parties to the bargaining had inserted "placeholders" at the bargaining table to address the potential that the Working Conditions issues might be returned to bargaining.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138</w:t>
      </w:r>
      <w:r>
        <w:rPr>
          <w:rFonts w:ascii="arial" w:eastAsia="arial" w:hAnsi="arial" w:cs="arial"/>
          <w:color w:val="000000"/>
          <w:sz w:val="20"/>
          <w:lang w:val="en-US" w:eastAsia="en-US" w:bidi="ar-SA"/>
        </w:rPr>
        <w:t>  As I have noted, there were two key aspects to the Bill 28 Decision:</w:t>
      </w:r>
      <w:r>
        <w:rPr>
          <w:rFonts w:ascii="arial" w:eastAsia="arial" w:hAnsi="arial" w:cs="arial"/>
          <w:sz w:val="20"/>
          <w:lang w:val="en-US" w:eastAsia="en-US" w:bidi="ar-SA"/>
        </w:rPr>
        <w:cr/>
      </w:r>
    </w:p>
    <w:p>
      <w:pPr>
        <w:numPr>
          <w:numId w:val="4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first, the Court found that it was unconstitutional for the government to have legislatively deleted the Working Conditions clauses from the parties' existing collective agreement in 2002 and by prohibiting a return to those clauses; and,</w:t>
      </w:r>
    </w:p>
    <w:p>
      <w:pPr>
        <w:numPr>
          <w:numId w:val="5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second, the Court found that it was unconstitutional for the government to have legislatively prohibited the teachers' union from addressing the Working Conditions in future collective bargaining.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139</w:t>
      </w:r>
      <w:r>
        <w:rPr>
          <w:rFonts w:ascii="arial" w:eastAsia="arial" w:hAnsi="arial" w:cs="arial"/>
          <w:color w:val="000000"/>
          <w:sz w:val="20"/>
          <w:lang w:val="en-US" w:eastAsia="en-US" w:bidi="ar-SA"/>
        </w:rPr>
        <w:t>  Both issues needed to be addressed by the government post-the Bill 28 Decision and both had very different implications.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140</w:t>
      </w:r>
      <w:r>
        <w:rPr>
          <w:rFonts w:ascii="arial" w:eastAsia="arial" w:hAnsi="arial" w:cs="arial"/>
          <w:color w:val="000000"/>
          <w:sz w:val="20"/>
          <w:lang w:val="en-US" w:eastAsia="en-US" w:bidi="ar-SA"/>
        </w:rPr>
        <w:t>  After the Bill 28 Decision, the BCTF sought to have the Working Conditions issues returned to the collective bargaining table. It was told by the BCPSEA representatives at the collective bargaining table that they still could not collectively bargain the Working Conditions issues, because the Bill 28 Decision had granted the government a one year suspension on the declaration of invalidity in respect of the unconstitutional legislation.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141</w:t>
      </w:r>
      <w:r>
        <w:rPr>
          <w:rFonts w:ascii="arial" w:eastAsia="arial" w:hAnsi="arial" w:cs="arial"/>
          <w:color w:val="000000"/>
          <w:sz w:val="20"/>
          <w:lang w:val="en-US" w:eastAsia="en-US" w:bidi="ar-SA"/>
        </w:rPr>
        <w:t>  The government maintained this position in its discussions with the BCTF as well. Indeed, its position throughout the discussions with the BCTF was that returning these subjects to collective bargaining was contrary to government policy objectives.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142</w:t>
      </w:r>
      <w:r>
        <w:rPr>
          <w:rFonts w:ascii="arial" w:eastAsia="arial" w:hAnsi="arial" w:cs="arial"/>
          <w:color w:val="000000"/>
          <w:sz w:val="20"/>
          <w:lang w:val="en-US" w:eastAsia="en-US" w:bidi="ar-SA"/>
        </w:rPr>
        <w:t>  Returning the right to collectively bargain these issues immediately would have simply meant that the BCTF and BCPSEA could commence talks between employer and union on the same subject matters without dictating the end result of those talks. Like any collective bargaining, there could be trade-offs or an impasse reached on all sorts of terms. If an impasse was reached, a plethora of tools were available to resolve the impasse, including mediation or arbitration, as noted in the Bill 28 Decision at para. 368.</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143</w:t>
      </w:r>
      <w:r>
        <w:rPr>
          <w:rFonts w:ascii="arial" w:eastAsia="arial" w:hAnsi="arial" w:cs="arial"/>
          <w:color w:val="000000"/>
          <w:sz w:val="20"/>
          <w:lang w:val="en-US" w:eastAsia="en-US" w:bidi="ar-SA"/>
        </w:rPr>
        <w:t>  As for the unconstitutional legislation deleting the previously negotiated Working Conditions terms of the collective agreement, if the declaration that the legislation was invalid was not suspended for one year, the parties understood that the Working Conditions terms would have been returned to the parties' collective agreement effectively immediately.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144</w:t>
      </w:r>
      <w:r>
        <w:rPr>
          <w:rFonts w:ascii="arial" w:eastAsia="arial" w:hAnsi="arial" w:cs="arial"/>
          <w:color w:val="000000"/>
          <w:sz w:val="20"/>
          <w:lang w:val="en-US" w:eastAsia="en-US" w:bidi="ar-SA"/>
        </w:rPr>
        <w:t>  This is because the collective agreements between the BCTF and BCPSEA contained standard terms which carried forward all prior terms of the previous collective agreement, unless otherwise amended or modified.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145</w:t>
      </w:r>
      <w:r>
        <w:rPr>
          <w:rFonts w:ascii="arial" w:eastAsia="arial" w:hAnsi="arial" w:cs="arial"/>
          <w:color w:val="000000"/>
          <w:sz w:val="20"/>
          <w:lang w:val="en-US" w:eastAsia="en-US" w:bidi="ar-SA"/>
        </w:rPr>
        <w:t>  For example, the 2006 Collective Agreement contained this language: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ARTICLE A.1 TERM, CONTINUATION AND RENEGOTIATION</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Except as otherwise specifically provided, this Collective Agreement is effective [July 1, 2011 to June 30, 2004.] </w:t>
      </w:r>
      <w:r>
        <w:rPr>
          <w:rFonts w:ascii="arial" w:eastAsia="arial" w:hAnsi="arial" w:cs="arial"/>
          <w:color w:val="000000"/>
          <w:sz w:val="18"/>
          <w:lang w:val="en-US" w:eastAsia="en-US" w:bidi="ar-SA"/>
        </w:rPr>
        <w:t>[Editor's note: Text in brackets is struck out in the original.]</w:t>
      </w:r>
      <w:r>
        <w:rPr>
          <w:rFonts w:ascii="arial" w:eastAsia="arial" w:hAnsi="arial" w:cs="arial"/>
          <w:color w:val="000000"/>
          <w:sz w:val="20"/>
          <w:lang w:val="en-US" w:eastAsia="en-US" w:bidi="ar-SA"/>
        </w:rPr>
        <w:t xml:space="preserve"> </w:t>
      </w:r>
      <w:r>
        <w:rPr>
          <w:rFonts w:ascii="arial" w:eastAsia="arial" w:hAnsi="arial" w:cs="arial"/>
          <w:b/>
          <w:color w:val="000000"/>
          <w:sz w:val="20"/>
          <w:lang w:val="en-US" w:eastAsia="en-US" w:bidi="ar-SA"/>
        </w:rPr>
        <w:t>July 1, 2006 to June 30, 2011.</w:t>
      </w:r>
      <w:r>
        <w:rPr>
          <w:rFonts w:ascii="arial" w:eastAsia="arial" w:hAnsi="arial" w:cs="arial"/>
          <w:color w:val="000000"/>
          <w:sz w:val="20"/>
          <w:lang w:val="en-US" w:eastAsia="en-US" w:bidi="ar-SA"/>
        </w:rPr>
        <w:t xml:space="preserve"> The parties agree that not less than four (4) months preceding the expiry of this Collective Agreement, they will commence collective bargaining in good faith with the object of renewal or revision of this Collective Agreement and the concluding of a Collective Agreement for the subsequent period.</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 xml:space="preserve">In the event that a new Collective Agreement is not in place by [June 30, 2004] </w:t>
      </w:r>
      <w:r>
        <w:rPr>
          <w:rFonts w:ascii="arial" w:eastAsia="arial" w:hAnsi="arial" w:cs="arial"/>
          <w:color w:val="000000"/>
          <w:sz w:val="18"/>
          <w:lang w:val="en-US" w:eastAsia="en-US" w:bidi="ar-SA"/>
        </w:rPr>
        <w:t>[Editor's note: Text in brackets is struck out in the original.]</w:t>
      </w:r>
      <w:r>
        <w:rPr>
          <w:rFonts w:ascii="arial" w:eastAsia="arial" w:hAnsi="arial" w:cs="arial"/>
          <w:color w:val="000000"/>
          <w:sz w:val="20"/>
          <w:lang w:val="en-US" w:eastAsia="en-US" w:bidi="ar-SA"/>
        </w:rPr>
        <w:t xml:space="preserve"> </w:t>
      </w:r>
      <w:r>
        <w:rPr>
          <w:rFonts w:ascii="arial" w:eastAsia="arial" w:hAnsi="arial" w:cs="arial"/>
          <w:b/>
          <w:color w:val="000000"/>
          <w:sz w:val="20"/>
          <w:lang w:val="en-US" w:eastAsia="en-US" w:bidi="ar-SA"/>
        </w:rPr>
        <w:t>June 30, 2011</w:t>
      </w:r>
      <w:r>
        <w:rPr>
          <w:rFonts w:ascii="arial" w:eastAsia="arial" w:hAnsi="arial" w:cs="arial"/>
          <w:color w:val="000000"/>
          <w:sz w:val="20"/>
          <w:lang w:val="en-US" w:eastAsia="en-US" w:bidi="ar-SA"/>
        </w:rPr>
        <w:t xml:space="preserve"> the terms of this Collective Agreement are deemed to remain in effect until the date on which a new Collective Agreement is concluded.</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All terms and conditions of the Previous Collective Agreement are included in the Collective Agreement, except where a term or condition has been amended or modified. [by or under the </w:t>
      </w:r>
      <w:r>
        <w:rPr>
          <w:rFonts w:ascii="arial" w:eastAsia="arial" w:hAnsi="arial" w:cs="arial"/>
          <w:i/>
          <w:color w:val="000000"/>
          <w:sz w:val="20"/>
          <w:lang w:val="en-US" w:eastAsia="en-US" w:bidi="ar-SA"/>
        </w:rPr>
        <w:t>Education Services Collective Agreement Act or in</w:t>
      </w:r>
      <w:r>
        <w:rPr>
          <w:rFonts w:ascii="arial" w:eastAsia="arial" w:hAnsi="arial" w:cs="arial"/>
          <w:color w:val="000000"/>
          <w:sz w:val="20"/>
          <w:lang w:val="en-US" w:eastAsia="en-US" w:bidi="ar-SA"/>
        </w:rPr>
        <w:t xml:space="preserve">] </w:t>
      </w:r>
      <w:r>
        <w:rPr>
          <w:rFonts w:ascii="arial" w:eastAsia="arial" w:hAnsi="arial" w:cs="arial"/>
          <w:color w:val="000000"/>
          <w:sz w:val="18"/>
          <w:lang w:val="en-US" w:eastAsia="en-US" w:bidi="ar-SA"/>
        </w:rPr>
        <w:t>[Editor's note: Text in brackets is struck out in the original.]</w:t>
      </w:r>
      <w:r>
        <w:rPr>
          <w:rFonts w:ascii="arial" w:eastAsia="arial" w:hAnsi="arial" w:cs="arial"/>
          <w:color w:val="000000"/>
          <w:sz w:val="20"/>
          <w:lang w:val="en-US" w:eastAsia="en-US" w:bidi="ar-SA"/>
        </w:rPr>
        <w:t xml:space="preserve"> accordance with this Collective Agreement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146</w:t>
      </w:r>
      <w:r>
        <w:rPr>
          <w:rFonts w:ascii="arial" w:eastAsia="arial" w:hAnsi="arial" w:cs="arial"/>
          <w:color w:val="000000"/>
          <w:sz w:val="20"/>
          <w:lang w:val="en-US" w:eastAsia="en-US" w:bidi="ar-SA"/>
        </w:rPr>
        <w:t>  The parties to the collective agreement had not amended or modified the Working Conditions terms.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147</w:t>
      </w:r>
      <w:r>
        <w:rPr>
          <w:rFonts w:ascii="arial" w:eastAsia="arial" w:hAnsi="arial" w:cs="arial"/>
          <w:color w:val="000000"/>
          <w:sz w:val="20"/>
          <w:lang w:val="en-US" w:eastAsia="en-US" w:bidi="ar-SA"/>
        </w:rPr>
        <w:t>  Because of the carry-forward clause, the parties expected that the legal result of the Bill 28 Decision invalidating the legislation which had deleted Working Conditions clauses from the collective agreement was that these clauses would be automatically restored to the collective agreement unless some other agreement was reached.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148</w:t>
      </w:r>
      <w:r>
        <w:rPr>
          <w:rFonts w:ascii="arial" w:eastAsia="arial" w:hAnsi="arial" w:cs="arial"/>
          <w:color w:val="000000"/>
          <w:sz w:val="20"/>
          <w:lang w:val="en-US" w:eastAsia="en-US" w:bidi="ar-SA"/>
        </w:rPr>
        <w:t>  The government's concern was that if the Working Conditions clauses were returned to the collective agreement retroactively, teachers would have the ability to make grievances where the clauses had been breached in the past. The government was concerned that this could be very costly for employers and ultimately the government. Mr. Straszak estimated for the government that these arbitrated labour claims could give rise to an estimated $500 million retroactive liability and could cost the government approximately $200 million to $275 million going forward.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149</w:t>
      </w:r>
      <w:r>
        <w:rPr>
          <w:rFonts w:ascii="arial" w:eastAsia="arial" w:hAnsi="arial" w:cs="arial"/>
          <w:color w:val="000000"/>
          <w:sz w:val="20"/>
          <w:lang w:val="en-US" w:eastAsia="en-US" w:bidi="ar-SA"/>
        </w:rPr>
        <w:t>  It is very important to note that the government did not assert before this Court at any time that the costs implications of restoring the collective agreement clauses amounted to exigent circumstances justifying the government's re-interference with collective bargaining rights in Bill 22. To so argue would be to reargue the facts before the Court at the time of the original Bill 28 Decision.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150</w:t>
      </w:r>
      <w:r>
        <w:rPr>
          <w:rFonts w:ascii="arial" w:eastAsia="arial" w:hAnsi="arial" w:cs="arial"/>
          <w:color w:val="000000"/>
          <w:sz w:val="20"/>
          <w:lang w:val="en-US" w:eastAsia="en-US" w:bidi="ar-SA"/>
        </w:rPr>
        <w:t>  There is nothing new about the potential cost implications of the Court's Bill 28 Decision declaring the legislation invalid.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151</w:t>
      </w:r>
      <w:r>
        <w:rPr>
          <w:rFonts w:ascii="arial" w:eastAsia="arial" w:hAnsi="arial" w:cs="arial"/>
          <w:color w:val="000000"/>
          <w:sz w:val="20"/>
          <w:lang w:val="en-US" w:eastAsia="en-US" w:bidi="ar-SA"/>
        </w:rPr>
        <w:t xml:space="preserve">  Nevertheless, after the Bill 28 Decision the teachers had an interest in avoiding ongoing labour claims. These claims would be extremely time-consuming and complicated and involve potentially difficult proof issues given the passage of time. Other arbitrated labour claims involving alleged large scale violations of the government legislated class size maximums had proven to be complex although not impossible to assess: see for example, </w:t>
      </w:r>
      <w:r>
        <w:rPr>
          <w:rFonts w:ascii="arial" w:eastAsia="arial" w:hAnsi="arial" w:cs="arial"/>
          <w:i/>
          <w:color w:val="000000"/>
          <w:sz w:val="20"/>
          <w:lang w:val="en-US" w:eastAsia="en-US" w:bidi="ar-SA"/>
        </w:rPr>
        <w:t>British Columbia Teachers' Federation v. British Columbia Public School Employers' Assn. (Class Size and Composition Grievance)</w:t>
      </w:r>
      <w:r>
        <w:rPr>
          <w:rFonts w:ascii="arial" w:eastAsia="arial" w:hAnsi="arial" w:cs="arial"/>
          <w:color w:val="000000"/>
          <w:sz w:val="20"/>
          <w:lang w:val="en-US" w:eastAsia="en-US" w:bidi="ar-SA"/>
        </w:rPr>
        <w:t xml:space="preserve">, </w:t>
      </w:r>
      <w:hyperlink r:id="rId852" w:history="1">
        <w:r>
          <w:rPr>
            <w:rFonts w:ascii="arial" w:eastAsia="arial" w:hAnsi="arial" w:cs="arial"/>
            <w:i/>
            <w:color w:val="0077CC"/>
            <w:sz w:val="20"/>
            <w:u w:val="single"/>
            <w:shd w:val="clear" w:color="auto" w:fill="FFFFFF"/>
            <w:lang w:val="en-US" w:eastAsia="en-US" w:bidi="ar-SA"/>
          </w:rPr>
          <w:t>[2010] B.C.C.A.A.A. No. 1</w:t>
        </w:r>
      </w:hyperlink>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152</w:t>
      </w:r>
      <w:r>
        <w:rPr>
          <w:rFonts w:ascii="arial" w:eastAsia="arial" w:hAnsi="arial" w:cs="arial"/>
          <w:color w:val="000000"/>
          <w:sz w:val="20"/>
          <w:lang w:val="en-US" w:eastAsia="en-US" w:bidi="ar-SA"/>
        </w:rPr>
        <w:t xml:space="preserve">  Furthermore, both </w:t>
      </w:r>
      <w:r>
        <w:rPr>
          <w:rFonts w:ascii="arial" w:eastAsia="arial" w:hAnsi="arial" w:cs="arial"/>
          <w:i/>
          <w:color w:val="000000"/>
          <w:sz w:val="20"/>
          <w:lang w:val="en-US" w:eastAsia="en-US" w:bidi="ar-SA"/>
        </w:rPr>
        <w:t>Health Services</w:t>
      </w:r>
      <w:r>
        <w:rPr>
          <w:rFonts w:ascii="arial" w:eastAsia="arial" w:hAnsi="arial" w:cs="arial"/>
          <w:color w:val="000000"/>
          <w:sz w:val="20"/>
          <w:lang w:val="en-US" w:eastAsia="en-US" w:bidi="ar-SA"/>
        </w:rPr>
        <w:t xml:space="preserve"> and </w:t>
      </w:r>
      <w:r>
        <w:rPr>
          <w:rFonts w:ascii="arial" w:eastAsia="arial" w:hAnsi="arial" w:cs="arial"/>
          <w:i/>
          <w:color w:val="000000"/>
          <w:sz w:val="20"/>
          <w:lang w:val="en-US" w:eastAsia="en-US" w:bidi="ar-SA"/>
        </w:rPr>
        <w:t>Fraser</w:t>
      </w:r>
      <w:r>
        <w:rPr>
          <w:rFonts w:ascii="arial" w:eastAsia="arial" w:hAnsi="arial" w:cs="arial"/>
          <w:color w:val="000000"/>
          <w:sz w:val="20"/>
          <w:lang w:val="en-US" w:eastAsia="en-US" w:bidi="ar-SA"/>
        </w:rPr>
        <w:t xml:space="preserve"> make it clear that the government has the right to pass legislation which interferes with collective bargaining rights, so long as it is not substantial interference and thus a violation of s. 2(d) of the </w:t>
      </w:r>
      <w:r>
        <w:rPr>
          <w:rFonts w:ascii="arial" w:eastAsia="arial" w:hAnsi="arial" w:cs="arial"/>
          <w:i/>
          <w:color w:val="000000"/>
          <w:sz w:val="20"/>
          <w:lang w:val="en-US" w:eastAsia="en-US" w:bidi="ar-SA"/>
        </w:rPr>
        <w:t>Charter</w:t>
      </w:r>
      <w:r>
        <w:rPr>
          <w:rFonts w:ascii="arial" w:eastAsia="arial" w:hAnsi="arial" w:cs="arial"/>
          <w:color w:val="000000"/>
          <w:sz w:val="20"/>
          <w:lang w:val="en-US" w:eastAsia="en-US" w:bidi="ar-SA"/>
        </w:rPr>
        <w:t xml:space="preserve"> (unless justified under s. 1 of the </w:t>
      </w:r>
      <w:r>
        <w:rPr>
          <w:rFonts w:ascii="arial" w:eastAsia="arial" w:hAnsi="arial" w:cs="arial"/>
          <w:i/>
          <w:color w:val="000000"/>
          <w:sz w:val="20"/>
          <w:lang w:val="en-US" w:eastAsia="en-US" w:bidi="ar-SA"/>
        </w:rPr>
        <w:t>Charter</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153</w:t>
      </w:r>
      <w:r>
        <w:rPr>
          <w:rFonts w:ascii="arial" w:eastAsia="arial" w:hAnsi="arial" w:cs="arial"/>
          <w:color w:val="000000"/>
          <w:sz w:val="20"/>
          <w:lang w:val="en-US" w:eastAsia="en-US" w:bidi="ar-SA"/>
        </w:rPr>
        <w:t>  The BCTF presumably knew that if it was unable to collectively bargain some kind of resolution with BCPSEA regarding the implications of the old Working Conditions clauses being returned to their collective agreement, then the government might decide to pass legislation which was presumably something less restrictive than the former legislation, but which might still impose limiting parameters on the collective agreement that might not be to the union's liking.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154</w:t>
      </w:r>
      <w:r>
        <w:rPr>
          <w:rFonts w:ascii="arial" w:eastAsia="arial" w:hAnsi="arial" w:cs="arial"/>
          <w:color w:val="000000"/>
          <w:sz w:val="20"/>
          <w:lang w:val="en-US" w:eastAsia="en-US" w:bidi="ar-SA"/>
        </w:rPr>
        <w:t>  In short, after the Bill 28 Decision, if the parties were acting in good faith, there ought to have been an interest on all sides -- the BCTF, BCPSEA and the government -- in negotiating a resolution to the implications of the invalidated legislation which would have the effect of returning the past negotiated clauses to the collective agreement.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 xml:space="preserve">Government Acting </w:t>
      </w:r>
      <w:r>
        <w:rPr>
          <w:rFonts w:ascii="arial" w:eastAsia="arial" w:hAnsi="arial" w:cs="arial"/>
          <w:b/>
          <w:i/>
          <w:color w:val="000000"/>
          <w:sz w:val="20"/>
          <w:lang w:val="en-US" w:eastAsia="en-US" w:bidi="ar-SA"/>
        </w:rPr>
        <w:t>Qua</w:t>
      </w:r>
      <w:r>
        <w:rPr>
          <w:rFonts w:ascii="arial" w:eastAsia="arial" w:hAnsi="arial" w:cs="arial"/>
          <w:b/>
          <w:color w:val="000000"/>
          <w:sz w:val="20"/>
          <w:lang w:val="en-US" w:eastAsia="en-US" w:bidi="ar-SA"/>
        </w:rPr>
        <w:t xml:space="preserve"> Employer or Not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155</w:t>
      </w:r>
      <w:r>
        <w:rPr>
          <w:rFonts w:ascii="arial" w:eastAsia="arial" w:hAnsi="arial" w:cs="arial"/>
          <w:color w:val="000000"/>
          <w:sz w:val="20"/>
          <w:lang w:val="en-US" w:eastAsia="en-US" w:bidi="ar-SA"/>
        </w:rPr>
        <w:t xml:space="preserve">  The facts of the present case are like the facts in </w:t>
      </w:r>
      <w:r>
        <w:rPr>
          <w:rFonts w:ascii="arial" w:eastAsia="arial" w:hAnsi="arial" w:cs="arial"/>
          <w:i/>
          <w:color w:val="000000"/>
          <w:sz w:val="20"/>
          <w:lang w:val="en-US" w:eastAsia="en-US" w:bidi="ar-SA"/>
        </w:rPr>
        <w:t>Health Services</w:t>
      </w:r>
      <w:r>
        <w:rPr>
          <w:rFonts w:ascii="arial" w:eastAsia="arial" w:hAnsi="arial" w:cs="arial"/>
          <w:color w:val="000000"/>
          <w:sz w:val="20"/>
          <w:lang w:val="en-US" w:eastAsia="en-US" w:bidi="ar-SA"/>
        </w:rPr>
        <w:t xml:space="preserve"> involving public sector workers who are not directly employees of the government.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156</w:t>
      </w:r>
      <w:r>
        <w:rPr>
          <w:rFonts w:ascii="arial" w:eastAsia="arial" w:hAnsi="arial" w:cs="arial"/>
          <w:color w:val="000000"/>
          <w:sz w:val="20"/>
          <w:lang w:val="en-US" w:eastAsia="en-US" w:bidi="ar-SA"/>
        </w:rPr>
        <w:t>  As noted above, while the government is not the employer, it funds the employment relationship. The government also issues fiscal and policy directions to the employer association, BCPSEA, which is the exclusive bargaining agent for employers of teachers. The government also has representatives from the Ministry of Education and the Ministry of Finance on the board of directors of BCPSEA.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157</w:t>
      </w:r>
      <w:r>
        <w:rPr>
          <w:rFonts w:ascii="arial" w:eastAsia="arial" w:hAnsi="arial" w:cs="arial"/>
          <w:color w:val="000000"/>
          <w:sz w:val="20"/>
          <w:lang w:val="en-US" w:eastAsia="en-US" w:bidi="ar-SA"/>
        </w:rPr>
        <w:t>  The government has over and over again emphasized in its submissions and through its representatives in negotiations with the BCTF that it is not the employer of teachers and that the discussions between it and the BCTF are not collective bargaining.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158</w:t>
      </w:r>
      <w:r>
        <w:rPr>
          <w:rFonts w:ascii="arial" w:eastAsia="arial" w:hAnsi="arial" w:cs="arial"/>
          <w:color w:val="000000"/>
          <w:sz w:val="20"/>
          <w:lang w:val="en-US" w:eastAsia="en-US" w:bidi="ar-SA"/>
        </w:rPr>
        <w:t>  It is to be remembered that the BCTF claimed, as part of its original case in the Bill 28 Action, that the government had acted in concert with BCPSEA to collectively bargain in bad faith. The government vigorously defended this claim, emphasizing that it was not the employer and it did not engage in collective bargaining with the BCTF.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159</w:t>
      </w:r>
      <w:r>
        <w:rPr>
          <w:rFonts w:ascii="arial" w:eastAsia="arial" w:hAnsi="arial" w:cs="arial"/>
          <w:color w:val="000000"/>
          <w:sz w:val="20"/>
          <w:lang w:val="en-US" w:eastAsia="en-US" w:bidi="ar-SA"/>
        </w:rPr>
        <w:t>  The Court accepted the government's argument that it could not be found to have acted in concert with BCPSEA to bargain in bad faith. As concluded in the Bill 28 Decision at paras. 178-180, there was no evidence that the government had directed BCPSEA in the collective bargaining; the government was not the bargaining agent for employers (para. 181); and there was no evidence the government had directed BCPSEA to render meaningless the collective bargaining process.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160</w:t>
      </w:r>
      <w:r>
        <w:rPr>
          <w:rFonts w:ascii="arial" w:eastAsia="arial" w:hAnsi="arial" w:cs="arial"/>
          <w:color w:val="000000"/>
          <w:sz w:val="20"/>
          <w:lang w:val="en-US" w:eastAsia="en-US" w:bidi="ar-SA"/>
        </w:rPr>
        <w:t>  Likewise, in the Bill 28 Action, the government argued that one aspect of the impugned legislation did not interfere with collective bargaining, because it interfered with an Agreement in Committee (AIC), including a K-3 Memorandum, which had been imposed by government by legislation (see paras. 99-105, 198). In that situation the government had negotiated directly with the BCTF, and then imposed an agreement on the parties by legislation, without the involvement or approval of BCPSEA. In the Bill 28 Action, the government argued that this legislation, the product of negotiations between the government and BCTF, was not the product of collective bargaining and so subsequent legislative interference with it was not interference with collective bargaining.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161</w:t>
      </w:r>
      <w:r>
        <w:rPr>
          <w:rFonts w:ascii="arial" w:eastAsia="arial" w:hAnsi="arial" w:cs="arial"/>
          <w:color w:val="000000"/>
          <w:sz w:val="20"/>
          <w:lang w:val="en-US" w:eastAsia="en-US" w:bidi="ar-SA"/>
        </w:rPr>
        <w:t>  However, as found in the Bill 28 Decision, BCPSEA subsequently agreed to carry forward the terms of the AIC, and signed on to both it and the K-3 Memorandum making both part of the parties' collective agreement (at paras. 107, 114). The government argued that this still did not make the collective agreement "freely negotiated", because the reason that BCPSEA signed on was because the government was threatening that school districts would lose funding if they did not sign. This argument was rejected in the Bill 28 Decision, noting that government funding is always a significant influence in any collective agreement in the public sector, but nevertheless BCPSEA could still have refused to agree to the government's terms (paras. 205-206).</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162</w:t>
      </w:r>
      <w:r>
        <w:rPr>
          <w:rFonts w:ascii="arial" w:eastAsia="arial" w:hAnsi="arial" w:cs="arial"/>
          <w:color w:val="000000"/>
          <w:sz w:val="20"/>
          <w:lang w:val="en-US" w:eastAsia="en-US" w:bidi="ar-SA"/>
        </w:rPr>
        <w:t>  It was the fact that BCPSEA and BCTF ultimately made the legislated terms part of their collective agreement, that made these terms the product of collective bargaining. This defeated this aspect of the government's argument in the Bill 28 Action that because the results of its own negotiations with BCTF were not collective bargaining, hence interference with the results could not be interference with collective bargaining.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163</w:t>
      </w:r>
      <w:r>
        <w:rPr>
          <w:rFonts w:ascii="arial" w:eastAsia="arial" w:hAnsi="arial" w:cs="arial"/>
          <w:color w:val="000000"/>
          <w:sz w:val="20"/>
          <w:lang w:val="en-US" w:eastAsia="en-US" w:bidi="ar-SA"/>
        </w:rPr>
        <w:t>  The point of this review is to emphasise that the government in the Bill 28 Action steadfastly maintained that it is not the employer of teachers; that its direct discussions with the BCTF are not the equivalent of collective bargaining; and that its relationship with BCPSEA does not make it part of the collective bargaining between BCPSEA and BCTF. These arguments were accepted by the Court in the Bill 28 Decision.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164</w:t>
      </w:r>
      <w:r>
        <w:rPr>
          <w:rFonts w:ascii="arial" w:eastAsia="arial" w:hAnsi="arial" w:cs="arial"/>
          <w:color w:val="000000"/>
          <w:sz w:val="20"/>
          <w:lang w:val="en-US" w:eastAsia="en-US" w:bidi="ar-SA"/>
        </w:rPr>
        <w:t>  In the present Bill 22 Action, challenges to the government's conduct in issuing bargaining mandates to BCPSEA are likewise met by the government defence that the government is not the employer and cannot direct BCPSEA to formulate proposals in collective bargaining, the government can only make suggestions and let its policy preferences be known.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165</w:t>
      </w:r>
      <w:r>
        <w:rPr>
          <w:rFonts w:ascii="arial" w:eastAsia="arial" w:hAnsi="arial" w:cs="arial"/>
          <w:color w:val="000000"/>
          <w:sz w:val="20"/>
          <w:lang w:val="en-US" w:eastAsia="en-US" w:bidi="ar-SA"/>
        </w:rPr>
        <w:t>  Further, following the Bill 28 Decision, the government representatives consistently maintained in their discussions with the BCTF that they did not represent the employer, and that their discussions were separate from collective bargaining between BCTF and BCPSEA.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166</w:t>
      </w:r>
      <w:r>
        <w:rPr>
          <w:rFonts w:ascii="arial" w:eastAsia="arial" w:hAnsi="arial" w:cs="arial"/>
          <w:color w:val="000000"/>
          <w:sz w:val="20"/>
          <w:lang w:val="en-US" w:eastAsia="en-US" w:bidi="ar-SA"/>
        </w:rPr>
        <w:t>  The government relies on this distinction to its advantage, as it avoids being dragged into labour relations disputes between the union and the employer association. Because the government is not the employer it maintains that it cannot be accused of bargaining in bad faith with the BCTF over Working Conditions.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167</w:t>
      </w:r>
      <w:r>
        <w:rPr>
          <w:rFonts w:ascii="arial" w:eastAsia="arial" w:hAnsi="arial" w:cs="arial"/>
          <w:color w:val="000000"/>
          <w:sz w:val="20"/>
          <w:lang w:val="en-US" w:eastAsia="en-US" w:bidi="ar-SA"/>
        </w:rPr>
        <w:t>  If the government cannot bargain in bad faith with the teachers' union because it is not the employer, surely it cannot bargain in good faith either. It simply cannot bargain as it is not the employer. This means that even if the government does listen to the representations of the teachers' employee association (a premise very much challenged by the BCTF here), it is not the employer listening.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168</w:t>
      </w:r>
      <w:r>
        <w:rPr>
          <w:rFonts w:ascii="arial" w:eastAsia="arial" w:hAnsi="arial" w:cs="arial"/>
          <w:color w:val="000000"/>
          <w:sz w:val="20"/>
          <w:lang w:val="en-US" w:eastAsia="en-US" w:bidi="ar-SA"/>
        </w:rPr>
        <w:t>  There is a very strong argument therefore that the government's pre-legislative consultation with the BCTF following the Bill 28 Decision is not relevant to assessing the constitutionality of Bill 22, as these discussions could not amount to a process of employer-employee negotiations.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169</w:t>
      </w:r>
      <w:r>
        <w:rPr>
          <w:rFonts w:ascii="arial" w:eastAsia="arial" w:hAnsi="arial" w:cs="arial"/>
          <w:color w:val="000000"/>
          <w:sz w:val="20"/>
          <w:lang w:val="en-US" w:eastAsia="en-US" w:bidi="ar-SA"/>
        </w:rPr>
        <w:t>  The government submits that this interpretation would mean that while there is a constitutional obligation to consult on government, government would have no practical ability to fulfill it. This is not so.</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170</w:t>
      </w:r>
      <w:r>
        <w:rPr>
          <w:rFonts w:ascii="arial" w:eastAsia="arial" w:hAnsi="arial" w:cs="arial"/>
          <w:color w:val="000000"/>
          <w:sz w:val="20"/>
          <w:lang w:val="en-US" w:eastAsia="en-US" w:bidi="ar-SA"/>
        </w:rPr>
        <w:t xml:space="preserve">  The government as legislator has different obligations than the government as employer. The government as employer does have a duty to consult with its employees in a process that allow the employees a meaningful opportunity to influence their Working Conditions. As legislator it has an obligation to safeguard and to not interfere with s. 2(d) </w:t>
      </w:r>
      <w:r>
        <w:rPr>
          <w:rFonts w:ascii="arial" w:eastAsia="arial" w:hAnsi="arial" w:cs="arial"/>
          <w:i/>
          <w:color w:val="000000"/>
          <w:sz w:val="20"/>
          <w:lang w:val="en-US" w:eastAsia="en-US" w:bidi="ar-SA"/>
        </w:rPr>
        <w:t>Charter</w:t>
      </w:r>
      <w:r>
        <w:rPr>
          <w:rFonts w:ascii="arial" w:eastAsia="arial" w:hAnsi="arial" w:cs="arial"/>
          <w:color w:val="000000"/>
          <w:sz w:val="20"/>
          <w:lang w:val="en-US" w:eastAsia="en-US" w:bidi="ar-SA"/>
        </w:rPr>
        <w:t xml:space="preserve"> rights. It can fulfill this obligation by the content of its legislation.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171</w:t>
      </w:r>
      <w:r>
        <w:rPr>
          <w:rFonts w:ascii="arial" w:eastAsia="arial" w:hAnsi="arial" w:cs="arial"/>
          <w:color w:val="000000"/>
          <w:sz w:val="20"/>
          <w:lang w:val="en-US" w:eastAsia="en-US" w:bidi="ar-SA"/>
        </w:rPr>
        <w:t>  The facts show that the employer bargaining agent, BCPSEA, is a separate entity from government. The government does have tools to influence it, including the tools of withholding or granting public funding, issuing policy mandates, or imposing legislation. It may be that in using these tools it can either facilitate or interfere with collective bargaining between BCPSEA and the BCTF. But this does not mean that it can negotiate as though it is the employer.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172</w:t>
      </w:r>
      <w:r>
        <w:rPr>
          <w:rFonts w:ascii="arial" w:eastAsia="arial" w:hAnsi="arial" w:cs="arial"/>
          <w:color w:val="000000"/>
          <w:sz w:val="20"/>
          <w:lang w:val="en-US" w:eastAsia="en-US" w:bidi="ar-SA"/>
        </w:rPr>
        <w:t>  The government submits that BCTF stood in the way of meaningful negotiations, because early in the discussions it turned down an offer by Mr. Straszak to combine the negotiations: the Bill 28 discussion table and the collective bargaining table. However, I do not consider this a fair conclusion.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173</w:t>
      </w:r>
      <w:r>
        <w:rPr>
          <w:rFonts w:ascii="arial" w:eastAsia="arial" w:hAnsi="arial" w:cs="arial"/>
          <w:color w:val="000000"/>
          <w:sz w:val="20"/>
          <w:lang w:val="en-US" w:eastAsia="en-US" w:bidi="ar-SA"/>
        </w:rPr>
        <w:t>  Mr. Straszak framed the issue on the basis that it would still be illegal to engage in collective bargaining on the Working Conditions issues, because the legislation prohibiting collective bargaining was still in force for a year after the Bill 28 Decision. He did not explain how combining the two tables would get around the problem of the continuing legislative prohibition on collective bargaining over the Working Conditions. He also never responded meaningfully to the requests by the BCTF that the government return the right to collectively bargain over Working Conditions so that it could make it part of its ongoing collective bargaining with BCPSEA.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174</w:t>
      </w:r>
      <w:r>
        <w:rPr>
          <w:rFonts w:ascii="arial" w:eastAsia="arial" w:hAnsi="arial" w:cs="arial"/>
          <w:color w:val="000000"/>
          <w:sz w:val="20"/>
          <w:lang w:val="en-US" w:eastAsia="en-US" w:bidi="ar-SA"/>
        </w:rPr>
        <w:t>  BCTF considered correctly that the effect of the Bill 28 Decision would be to restore its right to collectively bargain on Working Conditions issues. It was never given a good reason why the government did not simply act right away to repeal the legislation so that these issues could be added to the ongoing collective bargaining. The BCTF did not see the point of having a combined table -- the Bill 28 repercussion negotiations and collective bargaining -- as on its position if collective bargaining was restored then collective bargaining could deal with the issues regarding Working Conditions.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175</w:t>
      </w:r>
      <w:r>
        <w:rPr>
          <w:rFonts w:ascii="arial" w:eastAsia="arial" w:hAnsi="arial" w:cs="arial"/>
          <w:color w:val="000000"/>
          <w:sz w:val="20"/>
          <w:lang w:val="en-US" w:eastAsia="en-US" w:bidi="ar-SA"/>
        </w:rPr>
        <w:t>  However, the position maintained by Mr. Straszak in his discussions with the BCTF was that the government was planning not to return these subjects to collective bargaining at all and that all the government needed to do to fix the unconstitutional legislation was for the government to engage in consultation.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176</w:t>
      </w:r>
      <w:r>
        <w:rPr>
          <w:rFonts w:ascii="arial" w:eastAsia="arial" w:hAnsi="arial" w:cs="arial"/>
          <w:color w:val="000000"/>
          <w:sz w:val="20"/>
          <w:lang w:val="en-US" w:eastAsia="en-US" w:bidi="ar-SA"/>
        </w:rPr>
        <w:t>  In any event, I find that the process followed in the post-Bill 28 discussions between the government and the BCTF did not involve collective bargaining or any similar employer-employee negotiations.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177</w:t>
      </w:r>
      <w:r>
        <w:rPr>
          <w:rFonts w:ascii="arial" w:eastAsia="arial" w:hAnsi="arial" w:cs="arial"/>
          <w:color w:val="000000"/>
          <w:sz w:val="20"/>
          <w:lang w:val="en-US" w:eastAsia="en-US" w:bidi="ar-SA"/>
        </w:rPr>
        <w:t>  BCPSEA was not an active participant at the table in the post-Bill 28 discussions between the government and BCTF. While some people on the government side of the table wore two hats and may have reported to BCPSEA, the discussions did not involve BCPSEA as a party.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178</w:t>
      </w:r>
      <w:r>
        <w:rPr>
          <w:rFonts w:ascii="arial" w:eastAsia="arial" w:hAnsi="arial" w:cs="arial"/>
          <w:color w:val="000000"/>
          <w:sz w:val="20"/>
          <w:lang w:val="en-US" w:eastAsia="en-US" w:bidi="ar-SA"/>
        </w:rPr>
        <w:t>  In all the circumstances I am not persuaded that the government's discussions with the BCTF following the Bill 28 Decision constitute a "process of engagement" permitting the employee association "to make representations to employers, which employers must consider and discuss in good faith" (</w:t>
      </w:r>
      <w:r>
        <w:rPr>
          <w:rFonts w:ascii="arial" w:eastAsia="arial" w:hAnsi="arial" w:cs="arial"/>
          <w:i/>
          <w:color w:val="000000"/>
          <w:sz w:val="20"/>
          <w:lang w:val="en-US" w:eastAsia="en-US" w:bidi="ar-SA"/>
        </w:rPr>
        <w:t>Fraser</w:t>
      </w:r>
      <w:r>
        <w:rPr>
          <w:rFonts w:ascii="arial" w:eastAsia="arial" w:hAnsi="arial" w:cs="arial"/>
          <w:color w:val="000000"/>
          <w:sz w:val="20"/>
          <w:lang w:val="en-US" w:eastAsia="en-US" w:bidi="ar-SA"/>
        </w:rPr>
        <w:t xml:space="preserve"> at para. 2).</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179</w:t>
      </w:r>
      <w:r>
        <w:rPr>
          <w:rFonts w:ascii="arial" w:eastAsia="arial" w:hAnsi="arial" w:cs="arial"/>
          <w:color w:val="000000"/>
          <w:sz w:val="20"/>
          <w:lang w:val="en-US" w:eastAsia="en-US" w:bidi="ar-SA"/>
        </w:rPr>
        <w:t>  I find that the discussions between BCTF and the government in the year following the Bill 28 Decision are best characterized as settlement discussions: an attempt to settle the outstanding issues arising from the consequence of the Bill 28 Decision and particularly to deal with the union's claim for 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180</w:t>
      </w:r>
      <w:r>
        <w:rPr>
          <w:rFonts w:ascii="arial" w:eastAsia="arial" w:hAnsi="arial" w:cs="arial"/>
          <w:color w:val="000000"/>
          <w:sz w:val="20"/>
          <w:lang w:val="en-US" w:eastAsia="en-US" w:bidi="ar-SA"/>
        </w:rPr>
        <w:t>  The government records regarding its decision not to appeal the Bill 28 Decision were consistent with this characterization: the government concluded that the government should pursue a negotiated consultation mechanism to address the issue of damages, rather than a further Court hearing.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181</w:t>
      </w:r>
      <w:r>
        <w:rPr>
          <w:rFonts w:ascii="arial" w:eastAsia="arial" w:hAnsi="arial" w:cs="arial"/>
          <w:color w:val="000000"/>
          <w:sz w:val="20"/>
          <w:lang w:val="en-US" w:eastAsia="en-US" w:bidi="ar-SA"/>
        </w:rPr>
        <w:t xml:space="preserve">  On this basis alone, the fact that the government was not the employer and BCPSEA was not at the negotiations table, I find that the fact and content of the government's negotiations with the BCTF following the Bill 28 Decision are simply not relevant to the issues I must decide regarding whether or not Bill 22 was a substantial interference with s. 2(d) </w:t>
      </w:r>
      <w:r>
        <w:rPr>
          <w:rFonts w:ascii="arial" w:eastAsia="arial" w:hAnsi="arial" w:cs="arial"/>
          <w:i/>
          <w:color w:val="000000"/>
          <w:sz w:val="20"/>
          <w:lang w:val="en-US" w:eastAsia="en-US" w:bidi="ar-SA"/>
        </w:rPr>
        <w:t>Charter</w:t>
      </w:r>
      <w:r>
        <w:rPr>
          <w:rFonts w:ascii="arial" w:eastAsia="arial" w:hAnsi="arial" w:cs="arial"/>
          <w:color w:val="000000"/>
          <w:sz w:val="20"/>
          <w:lang w:val="en-US" w:eastAsia="en-US" w:bidi="ar-SA"/>
        </w:rPr>
        <w:t xml:space="preserve"> rights. These were post-Bill 28 settlement negotiations that ultimately failed to reach agreement, leaving the BCTF with its remedies flowing from the Bill 28 Decision.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182</w:t>
      </w:r>
      <w:r>
        <w:rPr>
          <w:rFonts w:ascii="arial" w:eastAsia="arial" w:hAnsi="arial" w:cs="arial"/>
          <w:color w:val="000000"/>
          <w:sz w:val="20"/>
          <w:lang w:val="en-US" w:eastAsia="en-US" w:bidi="ar-SA"/>
        </w:rPr>
        <w:t xml:space="preserve">  Nevertheless, if I am wrong on my conclusions that it was necessary for the government to be acting </w:t>
      </w:r>
      <w:r>
        <w:rPr>
          <w:rFonts w:ascii="arial" w:eastAsia="arial" w:hAnsi="arial" w:cs="arial"/>
          <w:i/>
          <w:color w:val="000000"/>
          <w:sz w:val="20"/>
          <w:lang w:val="en-US" w:eastAsia="en-US" w:bidi="ar-SA"/>
        </w:rPr>
        <w:t>qua</w:t>
      </w:r>
      <w:r>
        <w:rPr>
          <w:rFonts w:ascii="arial" w:eastAsia="arial" w:hAnsi="arial" w:cs="arial"/>
          <w:color w:val="000000"/>
          <w:sz w:val="20"/>
          <w:lang w:val="en-US" w:eastAsia="en-US" w:bidi="ar-SA"/>
        </w:rPr>
        <w:t xml:space="preserve"> employer if it seeks to rely on its discussions with the BCTF as affecting the analysis of the substance of the s. 2(d) right, I will go on to also make findings of facts regarding those discussions, analyzing whether the content might approximate an employer-employee good faith consultation process, ameliorating the extent to which the Bill 22 legislation interferes with collective bargaining.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183</w:t>
      </w:r>
      <w:r>
        <w:rPr>
          <w:rFonts w:ascii="arial" w:eastAsia="arial" w:hAnsi="arial" w:cs="arial"/>
          <w:color w:val="000000"/>
          <w:sz w:val="20"/>
          <w:lang w:val="en-US" w:eastAsia="en-US" w:bidi="ar-SA"/>
        </w:rPr>
        <w:t xml:space="preserve">  The facts regarding the nature of the discussions between the government and BCTF following the Bill 28 Decision and prior to the government enacting Bill 22 must also be considered from the perspective of s. 1 of the </w:t>
      </w:r>
      <w:r>
        <w:rPr>
          <w:rFonts w:ascii="arial" w:eastAsia="arial" w:hAnsi="arial" w:cs="arial"/>
          <w:i/>
          <w:color w:val="000000"/>
          <w:sz w:val="20"/>
          <w:lang w:val="en-US" w:eastAsia="en-US" w:bidi="ar-SA"/>
        </w:rPr>
        <w:t>Charter</w:t>
      </w:r>
      <w:r>
        <w:rPr>
          <w:rFonts w:ascii="arial" w:eastAsia="arial" w:hAnsi="arial" w:cs="arial"/>
          <w:color w:val="000000"/>
          <w:sz w:val="20"/>
          <w:lang w:val="en-US" w:eastAsia="en-US" w:bidi="ar-SA"/>
        </w:rPr>
        <w:t>, namely, do the facts reveal that the government searched for solutions that would minimally impair the teachers' collective bargaining rights?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Content of Negotiations Post-Bill 28 Decision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184</w:t>
      </w:r>
      <w:r>
        <w:rPr>
          <w:rFonts w:ascii="arial" w:eastAsia="arial" w:hAnsi="arial" w:cs="arial"/>
          <w:color w:val="000000"/>
          <w:sz w:val="20"/>
          <w:lang w:val="en-US" w:eastAsia="en-US" w:bidi="ar-SA"/>
        </w:rPr>
        <w:t>  Both parties here were mindful that there was a good likelihood of subsequent litigation if they did not reach agreement, and this litigation would likely require production of internal records. As such, manifest expressions of good faith in the parties' documents and stated positions to each other have to be treated with caution as they are easily self-serving and insincere. If the government is entitled to rely on pre-legislative consultation as entitling it to then legislatively interfere with collective bargaining, it follows that it must be a meaningful process. In assessing the process, the court is required to consider the whole of the evidence, the parties' conduct as well as words.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185</w:t>
      </w:r>
      <w:r>
        <w:rPr>
          <w:rFonts w:ascii="arial" w:eastAsia="arial" w:hAnsi="arial" w:cs="arial"/>
          <w:color w:val="000000"/>
          <w:sz w:val="20"/>
          <w:lang w:val="en-US" w:eastAsia="en-US" w:bidi="ar-SA"/>
        </w:rPr>
        <w:t>  At the same time, it is not the Court's role to undertake a forensic critique of each detail of the meetings between the BCTF and the government. A negotiation may still be meaningful even if some meetings or positions taken were less so.</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Government Position Post-Bill 28 Decision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186</w:t>
      </w:r>
      <w:r>
        <w:rPr>
          <w:rFonts w:ascii="arial" w:eastAsia="arial" w:hAnsi="arial" w:cs="arial"/>
          <w:color w:val="000000"/>
          <w:sz w:val="20"/>
          <w:lang w:val="en-US" w:eastAsia="en-US" w:bidi="ar-SA"/>
        </w:rPr>
        <w:t>  The province's team in addressing the Bill 28 Decision repercussions with the BCTF was led by Paul Straszak, then President and CEO of PSEC.</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187</w:t>
      </w:r>
      <w:r>
        <w:rPr>
          <w:rFonts w:ascii="arial" w:eastAsia="arial" w:hAnsi="arial" w:cs="arial"/>
          <w:color w:val="000000"/>
          <w:sz w:val="20"/>
          <w:lang w:val="en-US" w:eastAsia="en-US" w:bidi="ar-SA"/>
        </w:rPr>
        <w:t>  Mr. Straszak explained that he was not representing PSEC but was representing the government in the post-Bill 28 Decision discussions. Assisting him and at the government side of the table from time to time were Christina Zacharuk, James Gorman, Claire Avison, Peter Drescher and Jacquie Griffiths. In the background providing information and views at times was Rick Davis.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188</w:t>
      </w:r>
      <w:r>
        <w:rPr>
          <w:rFonts w:ascii="arial" w:eastAsia="arial" w:hAnsi="arial" w:cs="arial"/>
          <w:color w:val="000000"/>
          <w:sz w:val="20"/>
          <w:lang w:val="en-US" w:eastAsia="en-US" w:bidi="ar-SA"/>
        </w:rPr>
        <w:t>  Key to Mr. Straszak's strategy was his stated position to the BCTF that the Bill 28 Decision did not require the government to restore to the collective bargaining process the Working Conditions, either as a subject for collective bargaining or by way of restoring the deleted clauses to the collective agreement. Rather, his position was that the Bill 28 Decision affirmed that the government had legitimate public policy objectives, but where it had gone wrong was in its failure to consult with the union prior to introducing legislation which removed Working Conditions from collective bargaining and from the collective agreement.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189</w:t>
      </w:r>
      <w:r>
        <w:rPr>
          <w:rFonts w:ascii="arial" w:eastAsia="arial" w:hAnsi="arial" w:cs="arial"/>
          <w:color w:val="000000"/>
          <w:sz w:val="20"/>
          <w:lang w:val="en-US" w:eastAsia="en-US" w:bidi="ar-SA"/>
        </w:rPr>
        <w:t>  Mr. Straszak's stated view, which he communicated to the union, was that the Bill 28 Decision simply required the government to rectify its error in not having undertaken a good faith negotiations process before the legislation was introduced.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190</w:t>
      </w:r>
      <w:r>
        <w:rPr>
          <w:rFonts w:ascii="arial" w:eastAsia="arial" w:hAnsi="arial" w:cs="arial"/>
          <w:color w:val="000000"/>
          <w:sz w:val="20"/>
          <w:lang w:val="en-US" w:eastAsia="en-US" w:bidi="ar-SA"/>
        </w:rPr>
        <w:t>  Mr. Straszak described the situation as: "[t]he legal problem stemmed not from the law itself, or from the legitimacy of government's objectives behind the law, but from government's failure to consult 'in good faith' prior to making changes to the collective agreement".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191</w:t>
      </w:r>
      <w:r>
        <w:rPr>
          <w:rFonts w:ascii="arial" w:eastAsia="arial" w:hAnsi="arial" w:cs="arial"/>
          <w:color w:val="000000"/>
          <w:sz w:val="20"/>
          <w:lang w:val="en-US" w:eastAsia="en-US" w:bidi="ar-SA"/>
        </w:rPr>
        <w:t>  I find that what Mr. Straszak communicated to the BCTF was that the government considered the post-Bill 28 Decision discussions as its opportunity to document that it consulted with the BCTF "in good faith" concerning its legitimate policy objectives, without the necessity of changing the end result. The message he communicated was that the government was not planning to restore the BCTF's members' ability to collectively bargain the Working Conditions nor would it restore any Working Conditions language to the collective agreement.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192</w:t>
      </w:r>
      <w:r>
        <w:rPr>
          <w:rFonts w:ascii="arial" w:eastAsia="arial" w:hAnsi="arial" w:cs="arial"/>
          <w:color w:val="000000"/>
          <w:sz w:val="20"/>
          <w:lang w:val="en-US" w:eastAsia="en-US" w:bidi="ar-SA"/>
        </w:rPr>
        <w:t>  A party cannot say it is consulting if it starts from the position that its mind is made up no matter what the other side presents by way of evidence or concerns.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193</w:t>
      </w:r>
      <w:r>
        <w:rPr>
          <w:rFonts w:ascii="arial" w:eastAsia="arial" w:hAnsi="arial" w:cs="arial"/>
          <w:color w:val="000000"/>
          <w:sz w:val="20"/>
          <w:lang w:val="en-US" w:eastAsia="en-US" w:bidi="ar-SA"/>
        </w:rPr>
        <w:t xml:space="preserve">  The Bill 28 Decision, like the </w:t>
      </w:r>
      <w:r>
        <w:rPr>
          <w:rFonts w:ascii="arial" w:eastAsia="arial" w:hAnsi="arial" w:cs="arial"/>
          <w:i/>
          <w:color w:val="000000"/>
          <w:sz w:val="20"/>
          <w:lang w:val="en-US" w:eastAsia="en-US" w:bidi="ar-SA"/>
        </w:rPr>
        <w:t>Health Services</w:t>
      </w:r>
      <w:r>
        <w:rPr>
          <w:rFonts w:ascii="arial" w:eastAsia="arial" w:hAnsi="arial" w:cs="arial"/>
          <w:color w:val="000000"/>
          <w:sz w:val="20"/>
          <w:lang w:val="en-US" w:eastAsia="en-US" w:bidi="ar-SA"/>
        </w:rPr>
        <w:t xml:space="preserve"> decision preceding it, concluded that the legislation was unconstitutional because of a variety of factors: by vitiating negotiated collective agreement language; by prohibiting collective bargaining on like subject matter in the future; and, by a lack of prior consultation before the introduction of the legislation.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194</w:t>
      </w:r>
      <w:r>
        <w:rPr>
          <w:rFonts w:ascii="arial" w:eastAsia="arial" w:hAnsi="arial" w:cs="arial"/>
          <w:color w:val="000000"/>
          <w:sz w:val="20"/>
          <w:lang w:val="en-US" w:eastAsia="en-US" w:bidi="ar-SA"/>
        </w:rPr>
        <w:t>  To the extent Mr. Straszak focused on the lack of prior consultation as the single factor making the Bill 28 legislation unconstitutional, and all that was needed to make it constitutional was consultation, he was incorrect. I find that the fact that this shaped his position in discussions with the union representatives was a significant impediment to the progress of the discussions.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BCTF Position Post-Bill 28 Decision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195</w:t>
      </w:r>
      <w:r>
        <w:rPr>
          <w:rFonts w:ascii="arial" w:eastAsia="arial" w:hAnsi="arial" w:cs="arial"/>
          <w:color w:val="000000"/>
          <w:sz w:val="20"/>
          <w:lang w:val="en-US" w:eastAsia="en-US" w:bidi="ar-SA"/>
        </w:rPr>
        <w:t>  The BCTF's then President, Susan Lambert, was involved in most of the post- Bill 28 Decision discussions with the government representatives. Assisting her was Jim Iker, then First Vice President of BCTF, as well as others from time to time.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196</w:t>
      </w:r>
      <w:r>
        <w:rPr>
          <w:rFonts w:ascii="arial" w:eastAsia="arial" w:hAnsi="arial" w:cs="arial"/>
          <w:color w:val="000000"/>
          <w:sz w:val="20"/>
          <w:lang w:val="en-US" w:eastAsia="en-US" w:bidi="ar-SA"/>
        </w:rPr>
        <w:t>  The BCTF position was that collective bargaining should take place based on the premise that the Working Conditions could be bargained and that the Working Conditions language had been restored. The BCTF did not see any need to delay this, given that the collective bargaining had just commenced. It wanted the unconstitutional legislation repealed immediately.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197</w:t>
      </w:r>
      <w:r>
        <w:rPr>
          <w:rFonts w:ascii="arial" w:eastAsia="arial" w:hAnsi="arial" w:cs="arial"/>
          <w:color w:val="000000"/>
          <w:sz w:val="20"/>
          <w:lang w:val="en-US" w:eastAsia="en-US" w:bidi="ar-SA"/>
        </w:rPr>
        <w:t>  Once the Working Conditions and Working Conditions clauses were returned to bargaining and the collective agreement, BCTF felt that the employer association, BCPSEA, and it could bargain any changes to this language as part of the collective bargaining process.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198</w:t>
      </w:r>
      <w:r>
        <w:rPr>
          <w:rFonts w:ascii="arial" w:eastAsia="arial" w:hAnsi="arial" w:cs="arial"/>
          <w:color w:val="000000"/>
          <w:sz w:val="20"/>
          <w:lang w:val="en-US" w:eastAsia="en-US" w:bidi="ar-SA"/>
        </w:rPr>
        <w:t>  Since the BCTF was not given this opportunity, I cannot conclude that it was unrealistic in expecting that if it could collectively bargain these issues BCTF and BCPSEA could have successfully negotiated an outcome.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199</w:t>
      </w:r>
      <w:r>
        <w:rPr>
          <w:rFonts w:ascii="arial" w:eastAsia="arial" w:hAnsi="arial" w:cs="arial"/>
          <w:color w:val="000000"/>
          <w:sz w:val="20"/>
          <w:lang w:val="en-US" w:eastAsia="en-US" w:bidi="ar-SA"/>
        </w:rPr>
        <w:t>  The BCTF did see a role for negotiating at a separate table with the government the additional remedies that should flow from the Bill 28 Decision such as damages.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Course of Negotiations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200</w:t>
      </w:r>
      <w:r>
        <w:rPr>
          <w:rFonts w:ascii="arial" w:eastAsia="arial" w:hAnsi="arial" w:cs="arial"/>
          <w:color w:val="000000"/>
          <w:sz w:val="20"/>
          <w:lang w:val="en-US" w:eastAsia="en-US" w:bidi="ar-SA"/>
        </w:rPr>
        <w:t>  Mr. Straszak's strategy for the Bill 28 Decision discussions, from the government side, was that the negotiations needed to conclude by November 30, 2011, and if there was no deal reached, the negotiations would have set the stage for the government to impose legislation prior to the expiry of the deadline of twelve months from the Bill 28 Decision.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201</w:t>
      </w:r>
      <w:r>
        <w:rPr>
          <w:rFonts w:ascii="arial" w:eastAsia="arial" w:hAnsi="arial" w:cs="arial"/>
          <w:color w:val="000000"/>
          <w:sz w:val="20"/>
          <w:lang w:val="en-US" w:eastAsia="en-US" w:bidi="ar-SA"/>
        </w:rPr>
        <w:t>  At the May 20, 2011 meeting, which was the first meeting between the government and union representatives after the Bill 28 Decision, Mr. Straszak framed the government's intention as being to engage the BCTF in discussions about how the government might make informed amendments to Bill 28 prior to the expiry of the twelve-month period of suspension.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202</w:t>
      </w:r>
      <w:r>
        <w:rPr>
          <w:rFonts w:ascii="arial" w:eastAsia="arial" w:hAnsi="arial" w:cs="arial"/>
          <w:color w:val="000000"/>
          <w:sz w:val="20"/>
          <w:lang w:val="en-US" w:eastAsia="en-US" w:bidi="ar-SA"/>
        </w:rPr>
        <w:t>  The union response was to disagree that the negotiations should be about new restrictive legislation. It felt that collective bargaining on the Working Conditions should be restored immediately, as well as the collective agreement terms which Susan Lambert described as the "floor" from which collective bargaining would start.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203</w:t>
      </w:r>
      <w:r>
        <w:rPr>
          <w:rFonts w:ascii="arial" w:eastAsia="arial" w:hAnsi="arial" w:cs="arial"/>
          <w:color w:val="000000"/>
          <w:sz w:val="20"/>
          <w:lang w:val="en-US" w:eastAsia="en-US" w:bidi="ar-SA"/>
        </w:rPr>
        <w:t>  The BCTF saw the purpose of discussions with the government as dealing with what it saw as the only outstanding issue: the additional remedies it was claiming as a result of its success in the Bill 28 Decision. The BCTF communicated that it saw these remedies as including a restoration of approximately $275 million in funding that it saw as being cut as a result of the unconstitutional legislation.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204</w:t>
      </w:r>
      <w:r>
        <w:rPr>
          <w:rFonts w:ascii="arial" w:eastAsia="arial" w:hAnsi="arial" w:cs="arial"/>
          <w:color w:val="000000"/>
          <w:sz w:val="20"/>
          <w:lang w:val="en-US" w:eastAsia="en-US" w:bidi="ar-SA"/>
        </w:rPr>
        <w:t>  The two sides next met on June 3, 2011. Both sides essentially repeated earlier stated views and continued to disagree on the starting position for the discussions.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205</w:t>
      </w:r>
      <w:r>
        <w:rPr>
          <w:rFonts w:ascii="arial" w:eastAsia="arial" w:hAnsi="arial" w:cs="arial"/>
          <w:color w:val="000000"/>
          <w:sz w:val="20"/>
          <w:lang w:val="en-US" w:eastAsia="en-US" w:bidi="ar-SA"/>
        </w:rPr>
        <w:t>  The government's position was that it did not need to restore collective bargaining to the same scope as before, that it had same objectives as pre-Bill 28 and saw the collective agreement terms as an impediment to those objectives, and it could draft new legislation after consulting with the union.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206</w:t>
      </w:r>
      <w:r>
        <w:rPr>
          <w:rFonts w:ascii="arial" w:eastAsia="arial" w:hAnsi="arial" w:cs="arial"/>
          <w:color w:val="000000"/>
          <w:sz w:val="20"/>
          <w:lang w:val="en-US" w:eastAsia="en-US" w:bidi="ar-SA"/>
        </w:rPr>
        <w:t>  The BCTF sensed that if it accepted the government position it would be starting from a position that accepted watering down of its collective bargaining rights and stripping of collective agreement language. Its position was that the result of the Bill 28 Decision was that teachers' collective bargaining rights should be restored in full, the deleted collective agreement language restored, and the parties should discuss compensation.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207</w:t>
      </w:r>
      <w:r>
        <w:rPr>
          <w:rFonts w:ascii="arial" w:eastAsia="arial" w:hAnsi="arial" w:cs="arial"/>
          <w:color w:val="000000"/>
          <w:sz w:val="20"/>
          <w:lang w:val="en-US" w:eastAsia="en-US" w:bidi="ar-SA"/>
        </w:rPr>
        <w:t>  The BCTF also explained its view that government funding should be in place for the start of the September 2011 school year. The BCTF also communicated its position that the additional remedy flowing from the Bill 28 Decision should be in the form of money to address conditions in schools, not remedies for individual teachers.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208</w:t>
      </w:r>
      <w:r>
        <w:rPr>
          <w:rFonts w:ascii="arial" w:eastAsia="arial" w:hAnsi="arial" w:cs="arial"/>
          <w:color w:val="000000"/>
          <w:sz w:val="20"/>
          <w:lang w:val="en-US" w:eastAsia="en-US" w:bidi="ar-SA"/>
        </w:rPr>
        <w:t>  The two sides then exchanged correspondence, and next met on July 7, 2011.</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209</w:t>
      </w:r>
      <w:r>
        <w:rPr>
          <w:rFonts w:ascii="arial" w:eastAsia="arial" w:hAnsi="arial" w:cs="arial"/>
          <w:color w:val="000000"/>
          <w:sz w:val="20"/>
          <w:lang w:val="en-US" w:eastAsia="en-US" w:bidi="ar-SA"/>
        </w:rPr>
        <w:t>  At that meeting Claire Avison gave a presentation on behalf of the Ministry of Education. She outlined that the government team was planning to outline the government's policy objectives, and then at a later date to provide a detailed review of how the 2001 Collective Agreement language "affects school districts' ability to enhance educational outcomes".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210</w:t>
      </w:r>
      <w:r>
        <w:rPr>
          <w:rFonts w:ascii="arial" w:eastAsia="arial" w:hAnsi="arial" w:cs="arial"/>
          <w:color w:val="000000"/>
          <w:sz w:val="20"/>
          <w:lang w:val="en-US" w:eastAsia="en-US" w:bidi="ar-SA"/>
        </w:rPr>
        <w:t>  In her presentation, Ms. Avison identified that the government was seeking to achieve three policy objectives: flexible class sizes; optimal class composition for education program delivery, with decisions made at the school level; and the appropriate allocation of non-enrolling teachers. She stated that the government felt that in order to achieve these objectives, changes to the teachers' collective agreement were seen as necessary and that was the basis for the 2002 legislation. However, she explained that while there were flaws in the process, the government's policy interests behind Bill 28 remained the same.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211</w:t>
      </w:r>
      <w:r>
        <w:rPr>
          <w:rFonts w:ascii="arial" w:eastAsia="arial" w:hAnsi="arial" w:cs="arial"/>
          <w:color w:val="000000"/>
          <w:sz w:val="20"/>
          <w:lang w:val="en-US" w:eastAsia="en-US" w:bidi="ar-SA"/>
        </w:rPr>
        <w:t>  Ms. Avison gave a number of examples in her presentation which implied that the collective agreement language had impeded flexibility and choice by "arbitrary" class size maximums and staffing levels and by a "formula driven approach".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212</w:t>
      </w:r>
      <w:r>
        <w:rPr>
          <w:rFonts w:ascii="arial" w:eastAsia="arial" w:hAnsi="arial" w:cs="arial"/>
          <w:color w:val="000000"/>
          <w:sz w:val="20"/>
          <w:lang w:val="en-US" w:eastAsia="en-US" w:bidi="ar-SA"/>
        </w:rPr>
        <w:t>  When Susan Lambert asked questions during the presentation, and questioned the factual basis for Ms. Avison's assertions that the collective agreement language impeded these policy objectives, and as to how this presentation addressed the repercussions of the Bill 28 Decision, Mr. Straszak saw these questions as disruptive.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213</w:t>
      </w:r>
      <w:r>
        <w:rPr>
          <w:rFonts w:ascii="arial" w:eastAsia="arial" w:hAnsi="arial" w:cs="arial"/>
          <w:color w:val="000000"/>
          <w:sz w:val="20"/>
          <w:lang w:val="en-US" w:eastAsia="en-US" w:bidi="ar-SA"/>
        </w:rPr>
        <w:t>  As was pointed out by the BCTF in the meeting, Ms. Avison was repeating the same government policy objectives and arguments that the collective agreement clauses on Working Conditions impeded these objectives, as had been canvassed extensively in evidence at the trial of the Bill 28 Action.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214</w:t>
      </w:r>
      <w:r>
        <w:rPr>
          <w:rFonts w:ascii="arial" w:eastAsia="arial" w:hAnsi="arial" w:cs="arial"/>
          <w:color w:val="000000"/>
          <w:sz w:val="20"/>
          <w:lang w:val="en-US" w:eastAsia="en-US" w:bidi="ar-SA"/>
        </w:rPr>
        <w:t>  The government's policy objectives and rationale for those objectives were the same as had been in place when Bill 28 was enacted and had been the subject of extensive evidence in the Bill 28 Action following which the Bill 28 Decision was not uncritical of the government's assertions: see paras. 141-147. The BCTF representatives were well familiar with all of this background.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215</w:t>
      </w:r>
      <w:r>
        <w:rPr>
          <w:rFonts w:ascii="arial" w:eastAsia="arial" w:hAnsi="arial" w:cs="arial"/>
          <w:color w:val="000000"/>
          <w:sz w:val="20"/>
          <w:lang w:val="en-US" w:eastAsia="en-US" w:bidi="ar-SA"/>
        </w:rPr>
        <w:t xml:space="preserve">  In the Bill 28 Decision, under the </w:t>
      </w:r>
      <w:r>
        <w:rPr>
          <w:rFonts w:ascii="arial" w:eastAsia="arial" w:hAnsi="arial" w:cs="arial"/>
          <w:i/>
          <w:color w:val="000000"/>
          <w:sz w:val="20"/>
          <w:lang w:val="en-US" w:eastAsia="en-US" w:bidi="ar-SA"/>
        </w:rPr>
        <w:t>Charter</w:t>
      </w:r>
      <w:r>
        <w:rPr>
          <w:rFonts w:ascii="arial" w:eastAsia="arial" w:hAnsi="arial" w:cs="arial"/>
          <w:color w:val="000000"/>
          <w:sz w:val="20"/>
          <w:lang w:val="en-US" w:eastAsia="en-US" w:bidi="ar-SA"/>
        </w:rPr>
        <w:t xml:space="preserve"> s. 1 analysis, I accepted that the government had a legitimate "pressing and substantial objective" related to the legislation, namely, its goal of providing greater flexibility to school boards to manage class size and composition issues, and to respond to choices of parents and students (at para. 39). However, it is important to note that this finding was in the context of the low threshold of the first stage of the s. 1 analysis. Because of judicial deference to the development of government policy, this analysis does not require proof that the objective is based on solid and persuasive evidence: as a policy objective it is enough that it be a theoretical objective asserted by the government (at para. 325).</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216</w:t>
      </w:r>
      <w:r>
        <w:rPr>
          <w:rFonts w:ascii="arial" w:eastAsia="arial" w:hAnsi="arial" w:cs="arial"/>
          <w:color w:val="000000"/>
          <w:sz w:val="20"/>
          <w:lang w:val="en-US" w:eastAsia="en-US" w:bidi="ar-SA"/>
        </w:rPr>
        <w:t>  Importantly, this Court did not find in the Bill 28 Decision that the existing Working Conditions language in the 2001 Collective Agreement in fact impeded flexibility and choice. Rather, this Court found the government evidence of this to be unpersuasive: see paras. 129-130, 141-147.</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217</w:t>
      </w:r>
      <w:r>
        <w:rPr>
          <w:rFonts w:ascii="arial" w:eastAsia="arial" w:hAnsi="arial" w:cs="arial"/>
          <w:color w:val="000000"/>
          <w:sz w:val="20"/>
          <w:lang w:val="en-US" w:eastAsia="en-US" w:bidi="ar-SA"/>
        </w:rPr>
        <w:t>  Collective bargaining normally provides a great forum to deal with controversies such as the degree to which certain working condition language interferes with management flexibility: each party has the opportunity in that forum to challenge the factual basis underlying the opposite party's position that the collective agreement terms advance or impede a stated objective and to respond to the other side's concerns by proposing changes to their agreement.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218</w:t>
      </w:r>
      <w:r>
        <w:rPr>
          <w:rFonts w:ascii="arial" w:eastAsia="arial" w:hAnsi="arial" w:cs="arial"/>
          <w:color w:val="000000"/>
          <w:sz w:val="20"/>
          <w:lang w:val="en-US" w:eastAsia="en-US" w:bidi="ar-SA"/>
        </w:rPr>
        <w:t>  By their negative reaction to questions, it appears that the government representatives were not willing to engage in real dialogue at the meeting. It is important to note that in making her presentation, Ms. Avison had not even yet read the collective agreement terms at issue, nor apparently had any other member of the government team.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219</w:t>
      </w:r>
      <w:r>
        <w:rPr>
          <w:rFonts w:ascii="arial" w:eastAsia="arial" w:hAnsi="arial" w:cs="arial"/>
          <w:color w:val="000000"/>
          <w:sz w:val="20"/>
          <w:lang w:val="en-US" w:eastAsia="en-US" w:bidi="ar-SA"/>
        </w:rPr>
        <w:t>  The July 7, 2011 meeting was largely a waste of time. The government had yet to make any proposal on how to address the repercussions of the Bill 28 Decision.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220</w:t>
      </w:r>
      <w:r>
        <w:rPr>
          <w:rFonts w:ascii="arial" w:eastAsia="arial" w:hAnsi="arial" w:cs="arial"/>
          <w:color w:val="000000"/>
          <w:sz w:val="20"/>
          <w:lang w:val="en-US" w:eastAsia="en-US" w:bidi="ar-SA"/>
        </w:rPr>
        <w:t>  Frustrated at the government's approach and emphasis on consultation being all that the government was required to do, the BCTF suggested that both parties return to the Court to seek clarification of the Bill 28 Decision. The government representatives said they would consider this, but later communicated that it was not the government's choice to do so.</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221</w:t>
      </w:r>
      <w:r>
        <w:rPr>
          <w:rFonts w:ascii="arial" w:eastAsia="arial" w:hAnsi="arial" w:cs="arial"/>
          <w:color w:val="000000"/>
          <w:sz w:val="20"/>
          <w:lang w:val="en-US" w:eastAsia="en-US" w:bidi="ar-SA"/>
        </w:rPr>
        <w:t>  The July 7 meeting ended with the government representatives explaining that at their next meeting, Peter Drescher would provide a presentation as to what would happen if the deleted collective agreement terms were to be restored. The government representatives proposed another meeting in July, but the BCTF representatives were not available until August.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222</w:t>
      </w:r>
      <w:r>
        <w:rPr>
          <w:rFonts w:ascii="arial" w:eastAsia="arial" w:hAnsi="arial" w:cs="arial"/>
          <w:color w:val="000000"/>
          <w:sz w:val="20"/>
          <w:lang w:val="en-US" w:eastAsia="en-US" w:bidi="ar-SA"/>
        </w:rPr>
        <w:t>  The parties exchanged correspondence in July concerning their respective interpretations of the Bill 28 Decision. Mr. Straszak again emphasized his view that the flaw in the legislation was the lack of consultation. He wrote on July 14, 2011:</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Fundamentally, that is the Court's holding: a finding of constitutional invalidity because of a lack of prior consultation, coupled with a 12-month suspension of any declaration of invalidity ...</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223</w:t>
      </w:r>
      <w:r>
        <w:rPr>
          <w:rFonts w:ascii="arial" w:eastAsia="arial" w:hAnsi="arial" w:cs="arial"/>
          <w:color w:val="000000"/>
          <w:sz w:val="20"/>
          <w:lang w:val="en-US" w:eastAsia="en-US" w:bidi="ar-SA"/>
        </w:rPr>
        <w:t>  The BCTF replied by letter of August 3, 2011, taking issue with "the government's position ... that the only fault in the legislation was the lack of prior consultation". The BCTF said that it saw the finding of constitutional invalidity as: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 based on the fact that the government used its legislative power to effectively nullify the collective agreement to its benefit, and to the detriment of British Columbia teachers. Further, the legislation not only conflicted with existing collective agreements, but also precluded collective bargaining in the future on a number of significant issues and conditions of employment. This was found by Justice Griffin not to be minimally impairing and was therefore a breach of s. 2(d) of the </w:t>
      </w:r>
      <w:r>
        <w:rPr>
          <w:rFonts w:ascii="arial" w:eastAsia="arial" w:hAnsi="arial" w:cs="arial"/>
          <w:i/>
          <w:color w:val="000000"/>
          <w:sz w:val="20"/>
          <w:lang w:val="en-US" w:eastAsia="en-US" w:bidi="ar-SA"/>
        </w:rPr>
        <w:t>Charter</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224</w:t>
      </w:r>
      <w:r>
        <w:rPr>
          <w:rFonts w:ascii="arial" w:eastAsia="arial" w:hAnsi="arial" w:cs="arial"/>
          <w:color w:val="000000"/>
          <w:sz w:val="20"/>
          <w:lang w:val="en-US" w:eastAsia="en-US" w:bidi="ar-SA"/>
        </w:rPr>
        <w:t>  In the BCTF letter, the BCTF asked the government to repeal the legislation so that BCPSEA could bring proposals to the table and the BCTF and BCPSEA could immediately collectively bargain on the Working Conditions issues. The government did not respond to this request.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225</w:t>
      </w:r>
      <w:r>
        <w:rPr>
          <w:rFonts w:ascii="arial" w:eastAsia="arial" w:hAnsi="arial" w:cs="arial"/>
          <w:color w:val="000000"/>
          <w:sz w:val="20"/>
          <w:lang w:val="en-US" w:eastAsia="en-US" w:bidi="ar-SA"/>
        </w:rPr>
        <w:t>  Because of the position taken by the government representatives that the Bill 28 Decision did not require the government to restore collective bargaining rights and only required it to consult, the BCTF applied for a court ruling seeking some guidance on the parties' respective interpretations of the Bill 28 Decision.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226</w:t>
      </w:r>
      <w:r>
        <w:rPr>
          <w:rFonts w:ascii="arial" w:eastAsia="arial" w:hAnsi="arial" w:cs="arial"/>
          <w:color w:val="000000"/>
          <w:sz w:val="20"/>
          <w:lang w:val="en-US" w:eastAsia="en-US" w:bidi="ar-SA"/>
        </w:rPr>
        <w:t xml:space="preserve">  The application was not heard until October 11, 2011, with oral reasons for judgment delivered the next day. This Court declined to weigh in on these issues, considering it not the proper function of the court "to supervise whether or not the BCTF and the province are presently accurately describing the state of the law in their communications with each other": </w:t>
      </w:r>
      <w:r>
        <w:rPr>
          <w:rFonts w:ascii="arial" w:eastAsia="arial" w:hAnsi="arial" w:cs="arial"/>
          <w:i/>
          <w:color w:val="000000"/>
          <w:sz w:val="20"/>
          <w:lang w:val="en-US" w:eastAsia="en-US" w:bidi="ar-SA"/>
        </w:rPr>
        <w:t>British Columbia Teachers' Federation v. British Columbia</w:t>
      </w:r>
      <w:r>
        <w:rPr>
          <w:rFonts w:ascii="arial" w:eastAsia="arial" w:hAnsi="arial" w:cs="arial"/>
          <w:color w:val="000000"/>
          <w:sz w:val="20"/>
          <w:lang w:val="en-US" w:eastAsia="en-US" w:bidi="ar-SA"/>
        </w:rPr>
        <w:t xml:space="preserve">, </w:t>
      </w:r>
      <w:hyperlink r:id="rId849" w:history="1">
        <w:r>
          <w:rPr>
            <w:rFonts w:ascii="arial" w:eastAsia="arial" w:hAnsi="arial" w:cs="arial"/>
            <w:i/>
            <w:color w:val="0077CC"/>
            <w:sz w:val="20"/>
            <w:u w:val="single"/>
            <w:shd w:val="clear" w:color="auto" w:fill="FFFFFF"/>
            <w:lang w:val="en-US" w:eastAsia="en-US" w:bidi="ar-SA"/>
          </w:rPr>
          <w:t>2011 BCSC 1372</w:t>
        </w:r>
      </w:hyperlink>
      <w:r>
        <w:rPr>
          <w:rFonts w:ascii="arial" w:eastAsia="arial" w:hAnsi="arial" w:cs="arial"/>
          <w:color w:val="000000"/>
          <w:sz w:val="20"/>
          <w:lang w:val="en-US" w:eastAsia="en-US" w:bidi="ar-SA"/>
        </w:rPr>
        <w:t xml:space="preserve"> at para. 21.</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227</w:t>
      </w:r>
      <w:r>
        <w:rPr>
          <w:rFonts w:ascii="arial" w:eastAsia="arial" w:hAnsi="arial" w:cs="arial"/>
          <w:color w:val="000000"/>
          <w:sz w:val="20"/>
          <w:lang w:val="en-US" w:eastAsia="en-US" w:bidi="ar-SA"/>
        </w:rPr>
        <w:t>  In the meantime, the parties' fourth meeting occurred on August 11, 2011.</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228</w:t>
      </w:r>
      <w:r>
        <w:rPr>
          <w:rFonts w:ascii="arial" w:eastAsia="arial" w:hAnsi="arial" w:cs="arial"/>
          <w:color w:val="000000"/>
          <w:sz w:val="20"/>
          <w:lang w:val="en-US" w:eastAsia="en-US" w:bidi="ar-SA"/>
        </w:rPr>
        <w:t xml:space="preserve">  At that meeting, the government announced its intention to repeal the provisions of the </w:t>
      </w:r>
      <w:r>
        <w:rPr>
          <w:rFonts w:ascii="arial" w:eastAsia="arial" w:hAnsi="arial" w:cs="arial"/>
          <w:i/>
          <w:color w:val="000000"/>
          <w:sz w:val="20"/>
          <w:lang w:val="en-US" w:eastAsia="en-US" w:bidi="ar-SA"/>
        </w:rPr>
        <w:t>School Act</w:t>
      </w:r>
      <w:r>
        <w:rPr>
          <w:rFonts w:ascii="arial" w:eastAsia="arial" w:hAnsi="arial" w:cs="arial"/>
          <w:color w:val="000000"/>
          <w:sz w:val="20"/>
          <w:lang w:val="en-US" w:eastAsia="en-US" w:bidi="ar-SA"/>
        </w:rPr>
        <w:t xml:space="preserve"> dealing with school calendaring, specifically s. 78.1. This was the provision which had been enacted by s. 15 of </w:t>
      </w:r>
      <w:r>
        <w:rPr>
          <w:rFonts w:ascii="arial" w:eastAsia="arial" w:hAnsi="arial" w:cs="arial"/>
          <w:i/>
          <w:color w:val="000000"/>
          <w:sz w:val="20"/>
          <w:lang w:val="en-US" w:eastAsia="en-US" w:bidi="ar-SA"/>
        </w:rPr>
        <w:t>PEFCA</w:t>
      </w:r>
      <w:r>
        <w:rPr>
          <w:rFonts w:ascii="arial" w:eastAsia="arial" w:hAnsi="arial" w:cs="arial"/>
          <w:color w:val="000000"/>
          <w:sz w:val="20"/>
          <w:lang w:val="en-US" w:eastAsia="en-US" w:bidi="ar-SA"/>
        </w:rPr>
        <w:t>, declared unconstitutional in the Bill 28 Decision. The government ultimately did repeal s. 78.1 in Bill 22. While this was progress, the government was still maintaining the position that so long as it "consulted" with the union, it need not repeal the other unconstitutional legislation, prohibiting bargaining over Working Conditions and deleting the Working Conditions clauses from the collective agreement.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229</w:t>
      </w:r>
      <w:r>
        <w:rPr>
          <w:rFonts w:ascii="arial" w:eastAsia="arial" w:hAnsi="arial" w:cs="arial"/>
          <w:color w:val="000000"/>
          <w:sz w:val="20"/>
          <w:lang w:val="en-US" w:eastAsia="en-US" w:bidi="ar-SA"/>
        </w:rPr>
        <w:t>  Mr. Drescher, a retired deputy superintendent of the Surrey School District, made a presentation on behalf of the government at the August 11, 2011 meeting.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230</w:t>
      </w:r>
      <w:r>
        <w:rPr>
          <w:rFonts w:ascii="arial" w:eastAsia="arial" w:hAnsi="arial" w:cs="arial"/>
          <w:color w:val="000000"/>
          <w:sz w:val="20"/>
          <w:lang w:val="en-US" w:eastAsia="en-US" w:bidi="ar-SA"/>
        </w:rPr>
        <w:t>  In Mr. Drescher's presentation he attempted to illustrate the implications for the Surrey School District if the collective agreement terms on Working Conditions were restored. There were two overall themes to his presentation.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231</w:t>
      </w:r>
      <w:r>
        <w:rPr>
          <w:rFonts w:ascii="arial" w:eastAsia="arial" w:hAnsi="arial" w:cs="arial"/>
          <w:color w:val="000000"/>
          <w:sz w:val="20"/>
          <w:lang w:val="en-US" w:eastAsia="en-US" w:bidi="ar-SA"/>
        </w:rPr>
        <w:t>  First, it was Mr. Drescher's submission that returning to the deleted collective agreement provisions on Working Conditions would have a drastic effect on the other services the school district could provide, based on the assumption current funding levels did not change. This was because the Working Conditions language would require more staff to be hired and the funding for this would have to come out of other education programs.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232</w:t>
      </w:r>
      <w:r>
        <w:rPr>
          <w:rFonts w:ascii="arial" w:eastAsia="arial" w:hAnsi="arial" w:cs="arial"/>
          <w:color w:val="000000"/>
          <w:sz w:val="20"/>
          <w:lang w:val="en-US" w:eastAsia="en-US" w:bidi="ar-SA"/>
        </w:rPr>
        <w:t>  Mr. Drescher estimated that if the collective agreement provisions were returned to the Surrey School District, it would cost that District approximately $33 million annually. That school district is the largest in the province, representing approximately 10% of the total.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233</w:t>
      </w:r>
      <w:r>
        <w:rPr>
          <w:rFonts w:ascii="arial" w:eastAsia="arial" w:hAnsi="arial" w:cs="arial"/>
          <w:color w:val="000000"/>
          <w:sz w:val="20"/>
          <w:lang w:val="en-US" w:eastAsia="en-US" w:bidi="ar-SA"/>
        </w:rPr>
        <w:t>  Second, Mr. Drescher voiced the theme that collective agreement terms on Working Conditions were unduly rigid, not sufficiently flexible to meet the needs of districts and parents, and that this rigidity would be even more of a problem if the 2001 Collective Agreement was restored in a 2010 or 2011 context given changes in demographics.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234</w:t>
      </w:r>
      <w:r>
        <w:rPr>
          <w:rFonts w:ascii="arial" w:eastAsia="arial" w:hAnsi="arial" w:cs="arial"/>
          <w:color w:val="000000"/>
          <w:sz w:val="20"/>
          <w:lang w:val="en-US" w:eastAsia="en-US" w:bidi="ar-SA"/>
        </w:rPr>
        <w:t>  Mr. Drescher testified at trial. I found him to be well-meaning, but the evidence on which he based the second theme in his presentation to the BCTF was a repetition of an earlier myth: that Working Conditions terms in the prior collective agreement caused extraordinary complications for families and school districts. For example, his written presentation stated: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Waitlists/Inability to Access Neighbourhood Programs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Previous contract language often challenged neighbourhood schools to accommodate families that moved into the community during the year. It resulted in waitlists, assignment into other schools for at least the balance of the school year and separation of siblings.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235</w:t>
      </w:r>
      <w:r>
        <w:rPr>
          <w:rFonts w:ascii="arial" w:eastAsia="arial" w:hAnsi="arial" w:cs="arial"/>
          <w:color w:val="000000"/>
          <w:sz w:val="20"/>
          <w:lang w:val="en-US" w:eastAsia="en-US" w:bidi="ar-SA"/>
        </w:rPr>
        <w:t>  Mr. Drescher acknowledged in cross-examination that he could not identify specific examples of the problems he described for 2001 (when the Working Conditions language was in the collective agreement) and that he had only really addressed his mind to what might happen in 2010 or 2011 if contract language was restored. He said that he was relying on what Rick Davis told him regarding past problems.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236</w:t>
      </w:r>
      <w:r>
        <w:rPr>
          <w:rFonts w:ascii="arial" w:eastAsia="arial" w:hAnsi="arial" w:cs="arial"/>
          <w:color w:val="000000"/>
          <w:sz w:val="20"/>
          <w:lang w:val="en-US" w:eastAsia="en-US" w:bidi="ar-SA"/>
        </w:rPr>
        <w:t>  The Bill 28 Decision found that Rick Davis's understanding of problems was based on unsubstantiated hearsay, and that his many examples of problems could have been resolved under existing collective agreement language: Bill 28 Decision, at paras. 141-145. While Mr. Davis was called by the government as a witness during the present hearing before me, he again did not substantiate these alleged past problems with the past collective agreement language.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237</w:t>
      </w:r>
      <w:r>
        <w:rPr>
          <w:rFonts w:ascii="arial" w:eastAsia="arial" w:hAnsi="arial" w:cs="arial"/>
          <w:color w:val="000000"/>
          <w:sz w:val="20"/>
          <w:lang w:val="en-US" w:eastAsia="en-US" w:bidi="ar-SA"/>
        </w:rPr>
        <w:t>  Furthermore, Mr. Drescher's presentation was unduly alarmist from an administrative standpoint about the potential impact of the restoration of Working Conditions terms in the collective agreement.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238</w:t>
      </w:r>
      <w:r>
        <w:rPr>
          <w:rFonts w:ascii="arial" w:eastAsia="arial" w:hAnsi="arial" w:cs="arial"/>
          <w:color w:val="000000"/>
          <w:sz w:val="20"/>
          <w:lang w:val="en-US" w:eastAsia="en-US" w:bidi="ar-SA"/>
        </w:rPr>
        <w:t>  For example, in his presentation Mr. Drescher identified that one significant problem that would be caused by the Working Conditions language in the collective agreement, was the problem of a possible increase in combined and multi-age classes, also known as split classes. This potential problem was purely speculative.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239</w:t>
      </w:r>
      <w:r>
        <w:rPr>
          <w:rFonts w:ascii="arial" w:eastAsia="arial" w:hAnsi="arial" w:cs="arial"/>
          <w:color w:val="000000"/>
          <w:sz w:val="20"/>
          <w:lang w:val="en-US" w:eastAsia="en-US" w:bidi="ar-SA"/>
        </w:rPr>
        <w:t>  As was pointed out in cross-examination of Mr. Drescher, the Surrey School District has long had many multi-grade classes. For example, of approximately 99 elementary schools, 96 or 97 have multi-grade classes. Multi-grade classes are a natural result of fixed enrollment numbers and fixed teacher numbers per school. It is part of every school year that school administrators must juggle the composition of classes depending on enrollment.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240</w:t>
      </w:r>
      <w:r>
        <w:rPr>
          <w:rFonts w:ascii="arial" w:eastAsia="arial" w:hAnsi="arial" w:cs="arial"/>
          <w:color w:val="000000"/>
          <w:sz w:val="20"/>
          <w:lang w:val="en-US" w:eastAsia="en-US" w:bidi="ar-SA"/>
        </w:rPr>
        <w:t>  As mentioned, in the Bill 28 Decision this Court found that in fact the collective agreement terms on Working Conditions did provide significant flexibility. The government did not appeal these findings. In the Bill 28 Decision, this Court held at paras. 128-130:</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individual local agreements that had been negotiated across the school districts in the province in the 1987-1993 timeframe showed a variety of terms and conditions regarding class size and composition. Of 75 school districts, some 58 negotiated provisions related to class size and composition. Sometimes the process of collective bargaining had involved job action.</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Many local teachers' associations agreed to class size and composition provisions which were not rigid but which allowed for exceptions or alterations, thereby providing flexibility to school boards with respect to class size and class composition. The following are some examples of the variety of provisions that existed in the local teachers' agreements, which permitted school districts to exceed class size limits or class composition restrictions:</w:t>
      </w:r>
    </w:p>
    <w:p>
      <w:pPr>
        <w:numPr>
          <w:numId w:val="51"/>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if a student joined the school late in the year;</w:t>
      </w:r>
    </w:p>
    <w:p>
      <w:pPr>
        <w:numPr>
          <w:numId w:val="51"/>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with the consent or request of a teacher;</w:t>
      </w:r>
    </w:p>
    <w:p>
      <w:pPr>
        <w:numPr>
          <w:numId w:val="51"/>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with the consent of the teacher for educationally sound reasons;</w:t>
      </w:r>
    </w:p>
    <w:p>
      <w:pPr>
        <w:numPr>
          <w:numId w:val="51"/>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if external financial constraints were imposed on the Board;</w:t>
      </w:r>
    </w:p>
    <w:p>
      <w:pPr>
        <w:numPr>
          <w:numId w:val="51"/>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for band, choir, or physical education classes, at the request of the teacher;</w:t>
      </w:r>
    </w:p>
    <w:p>
      <w:pPr>
        <w:numPr>
          <w:numId w:val="51"/>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where it was not "possible" to stay within limits;</w:t>
      </w:r>
    </w:p>
    <w:p>
      <w:pPr>
        <w:numPr>
          <w:numId w:val="51"/>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if the student could not be reassigned to a different class at the same school with fewer students;</w:t>
      </w:r>
    </w:p>
    <w:p>
      <w:pPr>
        <w:numPr>
          <w:numId w:val="51"/>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if the student could not be reassigned to an adjacent school;</w:t>
      </w:r>
    </w:p>
    <w:p>
      <w:pPr>
        <w:numPr>
          <w:numId w:val="51"/>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by up to two students after September, providing that the teacher could request additional support; or</w:t>
      </w:r>
    </w:p>
    <w:p>
      <w:pPr>
        <w:numPr>
          <w:numId w:val="51"/>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if the teacher was assigned less than the maximum in another class so that the teacher's total workload was not increased.</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Even where provisions in the local agreements or the later provincial collective agreements led to disagreements with respect to class size or class composition limits, local associations and the BCTF regularly settled grievances or requested remedies at arbitration that ensured that students were not moved from schools or out of classes during the school year. For example, if class size or composition limits were exceeded, the teacher might not request that students be removed from the class, but might seek extra support, or a day of paid leave to compensate for the increased workload.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241</w:t>
      </w:r>
      <w:r>
        <w:rPr>
          <w:rFonts w:ascii="arial" w:eastAsia="arial" w:hAnsi="arial" w:cs="arial"/>
          <w:color w:val="000000"/>
          <w:sz w:val="20"/>
          <w:lang w:val="en-US" w:eastAsia="en-US" w:bidi="ar-SA"/>
        </w:rPr>
        <w:t>  The above reference was inclusive, not exclusive, and there were other terms in the collective agreement which provided flexibility in class size and composition.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242</w:t>
      </w:r>
      <w:r>
        <w:rPr>
          <w:rFonts w:ascii="arial" w:eastAsia="arial" w:hAnsi="arial" w:cs="arial"/>
          <w:color w:val="000000"/>
          <w:sz w:val="20"/>
          <w:lang w:val="en-US" w:eastAsia="en-US" w:bidi="ar-SA"/>
        </w:rPr>
        <w:t>  Mr. Drescher's evidence revealed that the employer side of running schools would prefer to make decisions unencumbered by the employee's union.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243</w:t>
      </w:r>
      <w:r>
        <w:rPr>
          <w:rFonts w:ascii="arial" w:eastAsia="arial" w:hAnsi="arial" w:cs="arial"/>
          <w:color w:val="000000"/>
          <w:sz w:val="20"/>
          <w:lang w:val="en-US" w:eastAsia="en-US" w:bidi="ar-SA"/>
        </w:rPr>
        <w:t>  Most employers would naturally find that they would have more flexibility and choice if they were not encumbered by a union. That as an end in and of itself does not justify legislative interference with freedom of association.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244</w:t>
      </w:r>
      <w:r>
        <w:rPr>
          <w:rFonts w:ascii="arial" w:eastAsia="arial" w:hAnsi="arial" w:cs="arial"/>
          <w:color w:val="000000"/>
          <w:sz w:val="20"/>
          <w:lang w:val="en-US" w:eastAsia="en-US" w:bidi="ar-SA"/>
        </w:rPr>
        <w:t>  The fallacy in the government position to the effect that collective agreements were not flexible is that the government legislation imposed class size limits that were absolutes and not open to negotiation, whereas the collective agreement terms were open to negotiation and to exceptions.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245</w:t>
      </w:r>
      <w:r>
        <w:rPr>
          <w:rFonts w:ascii="arial" w:eastAsia="arial" w:hAnsi="arial" w:cs="arial"/>
          <w:color w:val="000000"/>
          <w:sz w:val="20"/>
          <w:lang w:val="en-US" w:eastAsia="en-US" w:bidi="ar-SA"/>
        </w:rPr>
        <w:t>  For example, Mr. Drescher's cross-examination revealed that since the Class Size Compensation Regulation accompanying Bill 22 was enacted effective July 1, 2012, the Surrey School District has not wanted to exceed class sizes of 30 so as to avoid having to pay additional compensation to teachers (leaving aside the legislated exceptions, such as music band). It has therefore quite successfully managed not to exceed those class sizes, including by creating multi-grade classes where the numbers warrant it.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246</w:t>
      </w:r>
      <w:r>
        <w:rPr>
          <w:rFonts w:ascii="arial" w:eastAsia="arial" w:hAnsi="arial" w:cs="arial"/>
          <w:color w:val="000000"/>
          <w:sz w:val="20"/>
          <w:lang w:val="en-US" w:eastAsia="en-US" w:bidi="ar-SA"/>
        </w:rPr>
        <w:t>  This contradicts the notion that class size maximums cannot be accommodated by administrators, even in situations where arguably the legislated maximums are more rigid than what might be collectively bargained.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247</w:t>
      </w:r>
      <w:r>
        <w:rPr>
          <w:rFonts w:ascii="arial" w:eastAsia="arial" w:hAnsi="arial" w:cs="arial"/>
          <w:color w:val="000000"/>
          <w:sz w:val="20"/>
          <w:lang w:val="en-US" w:eastAsia="en-US" w:bidi="ar-SA"/>
        </w:rPr>
        <w:t>  The evidence did not reveal any difference between legislated class size maximums, and those that are negotiated at the collective bargaining table, from an administrative standpoint. The only difference appears to be that the teacher's union has a chance to influence these maximums, if it is a matter open to collective bargaining.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248</w:t>
      </w:r>
      <w:r>
        <w:rPr>
          <w:rFonts w:ascii="arial" w:eastAsia="arial" w:hAnsi="arial" w:cs="arial"/>
          <w:color w:val="000000"/>
          <w:sz w:val="20"/>
          <w:lang w:val="en-US" w:eastAsia="en-US" w:bidi="ar-SA"/>
        </w:rPr>
        <w:t>  As of the August 11, 2011 meeting, it was now one-third into the year the government had been given to address the repercussions of the Bill 28 Decision, and it had yet to present any proposal that was a change in its position on which it had based its defence of the constitutionality of Bill 28.</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249</w:t>
      </w:r>
      <w:r>
        <w:rPr>
          <w:rFonts w:ascii="arial" w:eastAsia="arial" w:hAnsi="arial" w:cs="arial"/>
          <w:color w:val="000000"/>
          <w:sz w:val="20"/>
          <w:lang w:val="en-US" w:eastAsia="en-US" w:bidi="ar-SA"/>
        </w:rPr>
        <w:t>  Unfortunately by linking the two themes together in his presentation, that restoring the deleted clauses would have associated costs to school districts and that the Working Conditions clauses were not suitably "flexible", Mr. Drescher's presentation appeared based on false logic. It implied that the issue was the flexibility of the clauses, rather than the overall limitations in government funding available for education. It also did not address the teachers' desire to collectively bargain these Working Conditions.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250</w:t>
      </w:r>
      <w:r>
        <w:rPr>
          <w:rFonts w:ascii="arial" w:eastAsia="arial" w:hAnsi="arial" w:cs="arial"/>
          <w:color w:val="000000"/>
          <w:sz w:val="20"/>
          <w:lang w:val="en-US" w:eastAsia="en-US" w:bidi="ar-SA"/>
        </w:rPr>
        <w:t>  Nevertheless, the approximate cost to government of restoring the collective agreement language, if nothing else changed, was relevant information. The costs implications would have to be dealt with eventually at the collective bargaining table if the clauses were restored. Since government was the source of funding for schools, the Bill 28 discussions presented government and BCTF with an opportunity to discuss the funding issues: what additional funding might government be willing to provide, and would there be strings attached, and what other trade-offs might be made given that public funding is not unlimited.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251</w:t>
      </w:r>
      <w:r>
        <w:rPr>
          <w:rFonts w:ascii="arial" w:eastAsia="arial" w:hAnsi="arial" w:cs="arial"/>
          <w:color w:val="000000"/>
          <w:sz w:val="20"/>
          <w:lang w:val="en-US" w:eastAsia="en-US" w:bidi="ar-SA"/>
        </w:rPr>
        <w:t>  The BCTF was expecting and wanting a government proposal that would identify new funding and confirm its restored collective bargaining rights.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252</w:t>
      </w:r>
      <w:r>
        <w:rPr>
          <w:rFonts w:ascii="arial" w:eastAsia="arial" w:hAnsi="arial" w:cs="arial"/>
          <w:color w:val="000000"/>
          <w:sz w:val="20"/>
          <w:lang w:val="en-US" w:eastAsia="en-US" w:bidi="ar-SA"/>
        </w:rPr>
        <w:t>  Mr. Straszak's strategy up to this point was to present the government's policy objectives without much opportunity for dialogue from the BCTF, and without any specific government proposal to try to close the gap that existed between the parties on how to address the Working Conditions in collective bargaining. However, he did say that there might be additional funding to address the issues, which would be considered beyond the net zero mandate that then applied to collective bargaining.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253</w:t>
      </w:r>
      <w:r>
        <w:rPr>
          <w:rFonts w:ascii="arial" w:eastAsia="arial" w:hAnsi="arial" w:cs="arial"/>
          <w:color w:val="000000"/>
          <w:sz w:val="20"/>
          <w:lang w:val="en-US" w:eastAsia="en-US" w:bidi="ar-SA"/>
        </w:rPr>
        <w:t>  At the August 11, 2011 meeting, the BCTF asked the government representatives a number of questions: what was the government planning for corrective legislation; when would the illegal legislation be repealed; when would the collective bargaining mandate be changed to reflect the Bill 28 Decision? The BCTF was informed that it was the government's position that the Working Conditions language would not be returned to the collective agreement. This was given as a firm position, without any room for negotiation.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254</w:t>
      </w:r>
      <w:r>
        <w:rPr>
          <w:rFonts w:ascii="arial" w:eastAsia="arial" w:hAnsi="arial" w:cs="arial"/>
          <w:color w:val="000000"/>
          <w:sz w:val="20"/>
          <w:lang w:val="en-US" w:eastAsia="en-US" w:bidi="ar-SA"/>
        </w:rPr>
        <w:t>  Mr. Straszak also did not indicate any willingness on the part of the government to restore the right to collectively bargain Working Conditions.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255</w:t>
      </w:r>
      <w:r>
        <w:rPr>
          <w:rFonts w:ascii="arial" w:eastAsia="arial" w:hAnsi="arial" w:cs="arial"/>
          <w:color w:val="000000"/>
          <w:sz w:val="20"/>
          <w:lang w:val="en-US" w:eastAsia="en-US" w:bidi="ar-SA"/>
        </w:rPr>
        <w:t>  Furthermore, the BCTF was told by the government representatives that before the government could discuss alternative proposals, it was important first to have the BCTF understand the government's "policy objectives". The BCTF representatives expressed frustration at time being lost to hear these objectives stated again, and asked to receive a government proposal.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256</w:t>
      </w:r>
      <w:r>
        <w:rPr>
          <w:rFonts w:ascii="arial" w:eastAsia="arial" w:hAnsi="arial" w:cs="arial"/>
          <w:color w:val="000000"/>
          <w:sz w:val="20"/>
          <w:lang w:val="en-US" w:eastAsia="en-US" w:bidi="ar-SA"/>
        </w:rPr>
        <w:t>  After the Bill 28 Decision of April 13, 2011, the government presented its first proposal to the BCTF on September 9, 2011, described as "a Framework for Discussion". This framework described a proposal whereby the province would establish a class organization fund ("COF") as its solution to class composition issues. It suggested that the allocation of the COF would be to school districts based on "consultation" with the BCTF and in order to address "complex class organization issues".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257</w:t>
      </w:r>
      <w:r>
        <w:rPr>
          <w:rFonts w:ascii="arial" w:eastAsia="arial" w:hAnsi="arial" w:cs="arial"/>
          <w:color w:val="000000"/>
          <w:sz w:val="20"/>
          <w:lang w:val="en-US" w:eastAsia="en-US" w:bidi="ar-SA"/>
        </w:rPr>
        <w:t>  Mr. Straszak explained that it was intended to address classes which had the highest needs for support for "vulnerable" learners.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258</w:t>
      </w:r>
      <w:r>
        <w:rPr>
          <w:rFonts w:ascii="arial" w:eastAsia="arial" w:hAnsi="arial" w:cs="arial"/>
          <w:color w:val="000000"/>
          <w:sz w:val="20"/>
          <w:lang w:val="en-US" w:eastAsia="en-US" w:bidi="ar-SA"/>
        </w:rPr>
        <w:t>  The size of the proposed COF was not identified but it was described as incremental or supplemental to funding otherwise provided to school districts.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259</w:t>
      </w:r>
      <w:r>
        <w:rPr>
          <w:rFonts w:ascii="arial" w:eastAsia="arial" w:hAnsi="arial" w:cs="arial"/>
          <w:color w:val="000000"/>
          <w:sz w:val="20"/>
          <w:lang w:val="en-US" w:eastAsia="en-US" w:bidi="ar-SA"/>
        </w:rPr>
        <w:t>  The framework proposed that the COF would be based on a separate agreement between the BCTF and the Province of British Columbia and would not be the subject of grievance under the collective agreement. However, when presenting it Mr. Straszak suggested other enforcement or dispute resolution measures could be discussed as part of the agreement.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260</w:t>
      </w:r>
      <w:r>
        <w:rPr>
          <w:rFonts w:ascii="arial" w:eastAsia="arial" w:hAnsi="arial" w:cs="arial"/>
          <w:color w:val="000000"/>
          <w:sz w:val="20"/>
          <w:lang w:val="en-US" w:eastAsia="en-US" w:bidi="ar-SA"/>
        </w:rPr>
        <w:t>  The government's framework also proposed that allocation of the funds in the COF would be based on a process whereby the principal of a school would consult with staff to identify classes with extra challenging circumstances for student learning. The school superintendent would formulate a tentative plan for the allocation of the district COF to schools, in consultation with the local union president. The Ministry of Education would only release that district's allocation of COF funds if there was agreement between the district and the local union on the allocations of those funds.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261</w:t>
      </w:r>
      <w:r>
        <w:rPr>
          <w:rFonts w:ascii="arial" w:eastAsia="arial" w:hAnsi="arial" w:cs="arial"/>
          <w:color w:val="000000"/>
          <w:sz w:val="20"/>
          <w:lang w:val="en-US" w:eastAsia="en-US" w:bidi="ar-SA"/>
        </w:rPr>
        <w:t>  At this point there were only two months left in the government's imposed deadline of having to complete the negotiations by end of November 2011.</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262</w:t>
      </w:r>
      <w:r>
        <w:rPr>
          <w:rFonts w:ascii="arial" w:eastAsia="arial" w:hAnsi="arial" w:cs="arial"/>
          <w:color w:val="000000"/>
          <w:sz w:val="20"/>
          <w:lang w:val="en-US" w:eastAsia="en-US" w:bidi="ar-SA"/>
        </w:rPr>
        <w:t>  The COF proposal did not address other Working Conditions issues. It also did not address any return of the right to collectively bargain over Working Conditions. It was presented as an alternative to collective bargaining.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263</w:t>
      </w:r>
      <w:r>
        <w:rPr>
          <w:rFonts w:ascii="arial" w:eastAsia="arial" w:hAnsi="arial" w:cs="arial"/>
          <w:color w:val="000000"/>
          <w:sz w:val="20"/>
          <w:lang w:val="en-US" w:eastAsia="en-US" w:bidi="ar-SA"/>
        </w:rPr>
        <w:t>  The meeting was the first time the BCTF had seen any proposal from the government. The BCTF representatives were not prepared to comment on it at the meeting.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264</w:t>
      </w:r>
      <w:r>
        <w:rPr>
          <w:rFonts w:ascii="arial" w:eastAsia="arial" w:hAnsi="arial" w:cs="arial"/>
          <w:color w:val="000000"/>
          <w:sz w:val="20"/>
          <w:lang w:val="en-US" w:eastAsia="en-US" w:bidi="ar-SA"/>
        </w:rPr>
        <w:t>  The BCTF issued a press release on September 13, 2011, criticising the Framework for Discussion. Criticisms included:</w:t>
      </w:r>
      <w:r>
        <w:rPr>
          <w:rFonts w:ascii="arial" w:eastAsia="arial" w:hAnsi="arial" w:cs="arial"/>
          <w:sz w:val="20"/>
          <w:lang w:val="en-US" w:eastAsia="en-US" w:bidi="ar-SA"/>
        </w:rPr>
        <w:cr/>
      </w:r>
    </w:p>
    <w:p>
      <w:pPr>
        <w:numPr>
          <w:numId w:val="52"/>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that the proposed COF would create competition between vulnerable students for scarce resources and was therefore profoundly unfair;</w:t>
      </w:r>
    </w:p>
    <w:p>
      <w:pPr>
        <w:numPr>
          <w:numId w:val="53"/>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if teachers disagreed with management on how the COF was to be allocated, their students would receive no funding;</w:t>
      </w:r>
    </w:p>
    <w:p>
      <w:pPr>
        <w:numPr>
          <w:numId w:val="54"/>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there was no assurances as to the stability of the funding from year to year;</w:t>
      </w:r>
    </w:p>
    <w:p>
      <w:pPr>
        <w:numPr>
          <w:numId w:val="5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it was not enforceable under the collective agreement; and,</w:t>
      </w:r>
    </w:p>
    <w:p>
      <w:pPr>
        <w:numPr>
          <w:numId w:val="56"/>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it did not address the rights issues that were at the heart of the Bill 28 Decision.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265</w:t>
      </w:r>
      <w:r>
        <w:rPr>
          <w:rFonts w:ascii="arial" w:eastAsia="arial" w:hAnsi="arial" w:cs="arial"/>
          <w:color w:val="000000"/>
          <w:sz w:val="20"/>
          <w:lang w:val="en-US" w:eastAsia="en-US" w:bidi="ar-SA"/>
        </w:rPr>
        <w:t>  The latter point, of course, was a reference to the fact that the government had not made any proposal that included the right to collectively bargain over Working Conditions, a point also made by Ms. Lambert in a letter to Mr. Straszak the same day.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266</w:t>
      </w:r>
      <w:r>
        <w:rPr>
          <w:rFonts w:ascii="arial" w:eastAsia="arial" w:hAnsi="arial" w:cs="arial"/>
          <w:color w:val="000000"/>
          <w:sz w:val="20"/>
          <w:lang w:val="en-US" w:eastAsia="en-US" w:bidi="ar-SA"/>
        </w:rPr>
        <w:t>  The government representatives criticized the BCTF for issuing a press release critiquing the proposal. I do not find this to be a significant point. The fact is that this form of communication did reach Mr. Straszak.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267</w:t>
      </w:r>
      <w:r>
        <w:rPr>
          <w:rFonts w:ascii="arial" w:eastAsia="arial" w:hAnsi="arial" w:cs="arial"/>
          <w:color w:val="000000"/>
          <w:sz w:val="20"/>
          <w:lang w:val="en-US" w:eastAsia="en-US" w:bidi="ar-SA"/>
        </w:rPr>
        <w:t>  The BCTF points out that it was the government side of the negotiations that released information regarding the framework proposal to BCPSEA, which issued its own "information update" first, reviewed by the government. The BCPSEA public statement stated that the COF was an alternative to returning the Working Conditions language to the collective agreement.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268</w:t>
      </w:r>
      <w:r>
        <w:rPr>
          <w:rFonts w:ascii="arial" w:eastAsia="arial" w:hAnsi="arial" w:cs="arial"/>
          <w:color w:val="000000"/>
          <w:sz w:val="20"/>
          <w:lang w:val="en-US" w:eastAsia="en-US" w:bidi="ar-SA"/>
        </w:rPr>
        <w:t xml:space="preserve">  The Minister of Education at the time, George Abbott, wrote to Ms. Lambert on September 14, 2011, by email. He stated as that former Minister of Health, he had direct experience in reaching a settlement in a similar case, referencing the settlement with the health sector unions post-the </w:t>
      </w:r>
      <w:r>
        <w:rPr>
          <w:rFonts w:ascii="arial" w:eastAsia="arial" w:hAnsi="arial" w:cs="arial"/>
          <w:i/>
          <w:color w:val="000000"/>
          <w:sz w:val="20"/>
          <w:lang w:val="en-US" w:eastAsia="en-US" w:bidi="ar-SA"/>
        </w:rPr>
        <w:t>Health Services</w:t>
      </w:r>
      <w:r>
        <w:rPr>
          <w:rFonts w:ascii="arial" w:eastAsia="arial" w:hAnsi="arial" w:cs="arial"/>
          <w:color w:val="000000"/>
          <w:sz w:val="20"/>
          <w:lang w:val="en-US" w:eastAsia="en-US" w:bidi="ar-SA"/>
        </w:rPr>
        <w:t xml:space="preserve"> decision.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269</w:t>
      </w:r>
      <w:r>
        <w:rPr>
          <w:rFonts w:ascii="arial" w:eastAsia="arial" w:hAnsi="arial" w:cs="arial"/>
          <w:color w:val="000000"/>
          <w:sz w:val="20"/>
          <w:lang w:val="en-US" w:eastAsia="en-US" w:bidi="ar-SA"/>
        </w:rPr>
        <w:t>  Ms. Lambert replied by letter dated September 16, 2011. It was clear from her letter that the BCTF saw the health service settlement as significantly different from what was proposed in the "Framework for Discussion". As she correctly pointed out, to settle with the health care unions, the government repealed the unconstitutional legislation. However, in the government proposal to the BCTF it was not even prepared to discuss repealing the unconstitutional legislation or to permit those issues to be dealt with in the process of collective bargaining. The government did not correct Ms. Lambert's understanding of its position.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270</w:t>
      </w:r>
      <w:r>
        <w:rPr>
          <w:rFonts w:ascii="arial" w:eastAsia="arial" w:hAnsi="arial" w:cs="arial"/>
          <w:color w:val="000000"/>
          <w:sz w:val="20"/>
          <w:lang w:val="en-US" w:eastAsia="en-US" w:bidi="ar-SA"/>
        </w:rPr>
        <w:t>  Following the BCTF press release pointing out issues that it had with the "Framework for Discussion" and the COF funding proposal, Mr. Straszak wrote to the BCTF by letter of October 3, 2011. In his letter, he provided his response to the concerns raised by the BCTF. He also attached a draft COF memorandum of agreement as a new proposal.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271</w:t>
      </w:r>
      <w:r>
        <w:rPr>
          <w:rFonts w:ascii="arial" w:eastAsia="arial" w:hAnsi="arial" w:cs="arial"/>
          <w:color w:val="000000"/>
          <w:sz w:val="20"/>
          <w:lang w:val="en-US" w:eastAsia="en-US" w:bidi="ar-SA"/>
        </w:rPr>
        <w:t>  The varied government proposal still stated that the COF memorandum of agreement would not form part of the collective agreement and would not be subject to grievance under the collective agreement.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272</w:t>
      </w:r>
      <w:r>
        <w:rPr>
          <w:rFonts w:ascii="arial" w:eastAsia="arial" w:hAnsi="arial" w:cs="arial"/>
          <w:color w:val="000000"/>
          <w:sz w:val="20"/>
          <w:lang w:val="en-US" w:eastAsia="en-US" w:bidi="ar-SA"/>
        </w:rPr>
        <w:t>  For the first time Mr. Straszak mentioned the size of the proposed COF. The government was proposing that the fund would total $165 million over a three year period ($30 million in 2012-2013; $60 million in 2013-2014; and $75 million in 2014-2015), and $75 million per year after that "for each year the fund is operated". He did not provide any details as to the stability of the government future funding to the COF.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273</w:t>
      </w:r>
      <w:r>
        <w:rPr>
          <w:rFonts w:ascii="arial" w:eastAsia="arial" w:hAnsi="arial" w:cs="arial"/>
          <w:color w:val="000000"/>
          <w:sz w:val="20"/>
          <w:lang w:val="en-US" w:eastAsia="en-US" w:bidi="ar-SA"/>
        </w:rPr>
        <w:t xml:space="preserve">  The COF memorandum of agreement contained a broad and comprehensive release of teachers' claims arising from the Bill 28 Decision. It also released teachers' claims for other outstanding grievances which did not arise from the impugned legislation or the Bill 28 Decision. These other grievances, which were in the thousands, were related to alleged violations by schools of legislation imposing class size maximums (known as the </w:t>
      </w:r>
      <w:r>
        <w:rPr>
          <w:rFonts w:ascii="arial" w:eastAsia="arial" w:hAnsi="arial" w:cs="arial"/>
          <w:i/>
          <w:color w:val="000000"/>
          <w:sz w:val="20"/>
          <w:lang w:val="en-US" w:eastAsia="en-US" w:bidi="ar-SA"/>
        </w:rPr>
        <w:t>Education (Leaning Enhancement) Statutes Amendment Act, 2006,</w:t>
      </w:r>
      <w:r>
        <w:rPr>
          <w:rFonts w:ascii="arial" w:eastAsia="arial" w:hAnsi="arial" w:cs="arial"/>
          <w:color w:val="000000"/>
          <w:sz w:val="20"/>
          <w:lang w:val="en-US" w:eastAsia="en-US" w:bidi="ar-SA"/>
        </w:rPr>
        <w:t xml:space="preserve"> S.B.C. 2006, c. 21, or Bill 33).</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274</w:t>
      </w:r>
      <w:r>
        <w:rPr>
          <w:rFonts w:ascii="arial" w:eastAsia="arial" w:hAnsi="arial" w:cs="arial"/>
          <w:color w:val="000000"/>
          <w:sz w:val="20"/>
          <w:lang w:val="en-US" w:eastAsia="en-US" w:bidi="ar-SA"/>
        </w:rPr>
        <w:t>  Mr. Straszak did not respond at all to the BCTF concern that the proposal did not provide any explanation as to why the subject matter of the Working Conditions could not be returned to collective bargaining.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275</w:t>
      </w:r>
      <w:r>
        <w:rPr>
          <w:rFonts w:ascii="arial" w:eastAsia="arial" w:hAnsi="arial" w:cs="arial"/>
          <w:color w:val="000000"/>
          <w:sz w:val="20"/>
          <w:lang w:val="en-US" w:eastAsia="en-US" w:bidi="ar-SA"/>
        </w:rPr>
        <w:t>  Following the court application seeking clarification of the Bill 28 Decision, dismissed on October 12, 2011, the parties next met on October 24, 2011.</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276</w:t>
      </w:r>
      <w:r>
        <w:rPr>
          <w:rFonts w:ascii="arial" w:eastAsia="arial" w:hAnsi="arial" w:cs="arial"/>
          <w:color w:val="000000"/>
          <w:sz w:val="20"/>
          <w:lang w:val="en-US" w:eastAsia="en-US" w:bidi="ar-SA"/>
        </w:rPr>
        <w:t>  BCTF presented its first written proposal at that meeting. The BCTF representatives read through some of the deleted collective agreement terms on Working Conditions, and submitted to the government representatives that the terms were flexible, involved collaboration, and therefore did meet government objectives.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277</w:t>
      </w:r>
      <w:r>
        <w:rPr>
          <w:rFonts w:ascii="arial" w:eastAsia="arial" w:hAnsi="arial" w:cs="arial"/>
          <w:color w:val="000000"/>
          <w:sz w:val="20"/>
          <w:lang w:val="en-US" w:eastAsia="en-US" w:bidi="ar-SA"/>
        </w:rPr>
        <w:t xml:space="preserve">  The BCTF proposed that the right to collectively bargain be restored and the unconstitutional legislation be repealed. It also proposed that the collective agreement provisions deleted by the unconstitutional legislation be deemed in full force and effect upon repeal of the legislation. It proposed that the government fully fund the return of lost teaching positions needed to comply with the restoration of the collective agreement provisions. It also proposed compensation to "address effects of a decade during which teachers were deprived of their </w:t>
      </w:r>
      <w:r>
        <w:rPr>
          <w:rFonts w:ascii="arial" w:eastAsia="arial" w:hAnsi="arial" w:cs="arial"/>
          <w:i/>
          <w:color w:val="000000"/>
          <w:sz w:val="20"/>
          <w:lang w:val="en-US" w:eastAsia="en-US" w:bidi="ar-SA"/>
        </w:rPr>
        <w:t>Charter</w:t>
      </w:r>
      <w:r>
        <w:rPr>
          <w:rFonts w:ascii="arial" w:eastAsia="arial" w:hAnsi="arial" w:cs="arial"/>
          <w:color w:val="000000"/>
          <w:sz w:val="20"/>
          <w:lang w:val="en-US" w:eastAsia="en-US" w:bidi="ar-SA"/>
        </w:rPr>
        <w:t xml:space="preserve"> Rights", and if the parties could not agree upon compensation, they would submit their dispute to arbitration.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278</w:t>
      </w:r>
      <w:r>
        <w:rPr>
          <w:rFonts w:ascii="arial" w:eastAsia="arial" w:hAnsi="arial" w:cs="arial"/>
          <w:color w:val="000000"/>
          <w:sz w:val="20"/>
          <w:lang w:val="en-US" w:eastAsia="en-US" w:bidi="ar-SA"/>
        </w:rPr>
        <w:t>  The government in its submissions is very critical of the BCTF first proposal as simply a reiteration of its position from the beginning of the discussions. It is a fair description, but not a fair criticism. The BCTF had listened to the government representatives state over and over that the government policy objectives of flexibility could not be met by the Working Conditions clauses in the collective agreement and seemingly not by any bargaining over Working Conditions. After having won a court victory affirming the teachers' collective bargaining rights, the government's position seemed to be contrary to the Court's decision.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279</w:t>
      </w:r>
      <w:r>
        <w:rPr>
          <w:rFonts w:ascii="arial" w:eastAsia="arial" w:hAnsi="arial" w:cs="arial"/>
          <w:color w:val="000000"/>
          <w:sz w:val="20"/>
          <w:lang w:val="en-US" w:eastAsia="en-US" w:bidi="ar-SA"/>
        </w:rPr>
        <w:t>  The BCTF correctly perceived that the government representatives had not read the Working Conditions terms in the collective agreement. It was therefore appropriate for the BCTF representatives to try to educate the government representatives on the terms that were at issue.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280</w:t>
      </w:r>
      <w:r>
        <w:rPr>
          <w:rFonts w:ascii="arial" w:eastAsia="arial" w:hAnsi="arial" w:cs="arial"/>
          <w:color w:val="000000"/>
          <w:sz w:val="20"/>
          <w:lang w:val="en-US" w:eastAsia="en-US" w:bidi="ar-SA"/>
        </w:rPr>
        <w:t>  The next day, October 25, 2011, the BCTF also presented a written set of principles which it felt should underlie the parties' discussions. This was at Mr. Straszak's suggestion, and it was meant to respond to and be parallel to the government's earlier statement of policy objectives. The BCTF principles were: that teachers must be able to bargain all Working Conditions; government should respect the expertise of the teaching profession; government must comply with the law; parties to a collective agreement should abide by it unless changed with the agreement of both parties; an injured party should be made whole; and the parties should be able to rely on the truth of each other's representations.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281</w:t>
      </w:r>
      <w:r>
        <w:rPr>
          <w:rFonts w:ascii="arial" w:eastAsia="arial" w:hAnsi="arial" w:cs="arial"/>
          <w:color w:val="000000"/>
          <w:sz w:val="20"/>
          <w:lang w:val="en-US" w:eastAsia="en-US" w:bidi="ar-SA"/>
        </w:rPr>
        <w:t>  In the exchange between the parties on October 25, 2011, the BCTF accused the government team as just positioning and not addressing the collective bargaining rights that had been the subject of the Bill 28 Decision. Ms. Lambert stated clearly that what the union wanted was the right to collectively bargain Working Conditions.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282</w:t>
      </w:r>
      <w:r>
        <w:rPr>
          <w:rFonts w:ascii="arial" w:eastAsia="arial" w:hAnsi="arial" w:cs="arial"/>
          <w:color w:val="000000"/>
          <w:sz w:val="20"/>
          <w:lang w:val="en-US" w:eastAsia="en-US" w:bidi="ar-SA"/>
        </w:rPr>
        <w:t>  In his response, Mr. Straszak denied that the government team was positioning, but agreed that the government did have a different interpretation of the Bill 28 Decision than the union. He agreed that the present discussions were not collective bargaining and were not intended to be collective bargaining, and he made no suggestion that the government was going to put back on the table any ability of the union to collectively bargain over the Working Conditions. Rather, he emphasized that the government had a right to pass legislation where it has legitimate policy objectives, that the court had said that when it does so it must respect a union's right to represent its members, and so that was the right he was giving the union in these discussions.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283</w:t>
      </w:r>
      <w:r>
        <w:rPr>
          <w:rFonts w:ascii="arial" w:eastAsia="arial" w:hAnsi="arial" w:cs="arial"/>
          <w:color w:val="000000"/>
          <w:sz w:val="20"/>
          <w:lang w:val="en-US" w:eastAsia="en-US" w:bidi="ar-SA"/>
        </w:rPr>
        <w:t>  The next meeting was on October 27, 2011. At that meeting the government presented a revised proposal to the BCTF. This proposal included two documents, a draft letter of understanding between BCPSEA, the BCTF and the province (the "LOU") and a COF memorandum of agreement (the "MOA") between the same three parties.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284</w:t>
      </w:r>
      <w:r>
        <w:rPr>
          <w:rFonts w:ascii="arial" w:eastAsia="arial" w:hAnsi="arial" w:cs="arial"/>
          <w:color w:val="000000"/>
          <w:sz w:val="20"/>
          <w:lang w:val="en-US" w:eastAsia="en-US" w:bidi="ar-SA"/>
        </w:rPr>
        <w:t>  The government's proposal was similar in structure to its earlier COF proposal: the establishment of a fund to target certain "high priority" classes. The proposal now was that there would be a limited grievance procedure having to do with the allocation of the fund.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285</w:t>
      </w:r>
      <w:r>
        <w:rPr>
          <w:rFonts w:ascii="arial" w:eastAsia="arial" w:hAnsi="arial" w:cs="arial"/>
          <w:color w:val="000000"/>
          <w:sz w:val="20"/>
          <w:lang w:val="en-US" w:eastAsia="en-US" w:bidi="ar-SA"/>
        </w:rPr>
        <w:t>  The government's proposal suggested only a limited role for the BCTF:</w:t>
      </w:r>
      <w:r>
        <w:rPr>
          <w:rFonts w:ascii="arial" w:eastAsia="arial" w:hAnsi="arial" w:cs="arial"/>
          <w:sz w:val="20"/>
          <w:lang w:val="en-US" w:eastAsia="en-US" w:bidi="ar-SA"/>
        </w:rPr>
        <w:cr/>
      </w:r>
    </w:p>
    <w:p>
      <w:pPr>
        <w:numPr>
          <w:numId w:val="5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Ministry would consult with the BCTF regarding the method of allocating the Fund to school districts;</w:t>
      </w:r>
    </w:p>
    <w:p>
      <w:pPr>
        <w:numPr>
          <w:numId w:val="5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there would then be consultation between principals of schools and staff, and District Superintendents and local union presidents and other school staff, regarding a plan for use of the Fund, and if no agreement was reached, the District Superintendent could forward the final plan to the Ministry which would then release that school district's allocation of the Fund;</w:t>
      </w:r>
    </w:p>
    <w:p>
      <w:pPr>
        <w:numPr>
          <w:numId w:val="5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Fund would not otherwise alter rights to establish classes in schools.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286</w:t>
      </w:r>
      <w:r>
        <w:rPr>
          <w:rFonts w:ascii="arial" w:eastAsia="arial" w:hAnsi="arial" w:cs="arial"/>
          <w:color w:val="000000"/>
          <w:sz w:val="20"/>
          <w:lang w:val="en-US" w:eastAsia="en-US" w:bidi="ar-SA"/>
        </w:rPr>
        <w:t>  The government's proposal still contained a broad release of all claims arising from the Bill 28 Decision, and a release of other outstanding grievances unrelated to the impugned legislation.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287</w:t>
      </w:r>
      <w:r>
        <w:rPr>
          <w:rFonts w:ascii="arial" w:eastAsia="arial" w:hAnsi="arial" w:cs="arial"/>
          <w:color w:val="000000"/>
          <w:sz w:val="20"/>
          <w:lang w:val="en-US" w:eastAsia="en-US" w:bidi="ar-SA"/>
        </w:rPr>
        <w:t>  The proposed LOU set out the "intention" of the Minister to establish a COF that would be in the amount of $165 million in total for the next three years and then $75 million in each subsequent year "that the Fund is operated". Any dispute under the MOU was to be submitted to arbitration.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288</w:t>
      </w:r>
      <w:r>
        <w:rPr>
          <w:rFonts w:ascii="arial" w:eastAsia="arial" w:hAnsi="arial" w:cs="arial"/>
          <w:color w:val="000000"/>
          <w:sz w:val="20"/>
          <w:lang w:val="en-US" w:eastAsia="en-US" w:bidi="ar-SA"/>
        </w:rPr>
        <w:t>  Amongst other things, the government's proposal still did not propose restoring the teachers' ability to collectively bargain the Working Conditions, and instead, appeared to seek their agreement to give up those rights which they felt they had won in the Bill 28 Decision. No argument was presented as to why the teachers' right to collectively bargain Working Conditions was a barrier to the government.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289</w:t>
      </w:r>
      <w:r>
        <w:rPr>
          <w:rFonts w:ascii="arial" w:eastAsia="arial" w:hAnsi="arial" w:cs="arial"/>
          <w:color w:val="000000"/>
          <w:sz w:val="20"/>
          <w:lang w:val="en-US" w:eastAsia="en-US" w:bidi="ar-SA"/>
        </w:rPr>
        <w:t>  The BCTF's earlier stated concern also remained unaddressed: that there were no assurances as to the stability of the funding. If the proposal was agreed to, the teachers would have given up their collective bargaining rights but the government would still have the freedom to unilaterally de-fund the COF. This potential result would leave the very limited "consultation" under the MOA and LOU meaningless and the teachers would still have no ability to raise the Working Conditions at the collective bargaining table.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290</w:t>
      </w:r>
      <w:r>
        <w:rPr>
          <w:rFonts w:ascii="arial" w:eastAsia="arial" w:hAnsi="arial" w:cs="arial"/>
          <w:color w:val="000000"/>
          <w:sz w:val="20"/>
          <w:lang w:val="en-US" w:eastAsia="en-US" w:bidi="ar-SA"/>
        </w:rPr>
        <w:t>  Also at the October 27, 2011 meeting, the government representatives admitted that they had not read the deleted collective agreement clauses until after the prior meeting. Now that they had done so, they said they had concluded that some of the clauses did not relate to the "priorities" the government "has set for the consultation". They gave the example that one of the clauses dealt with the requirement that procedures be established for evacuation of handicapped children during fire and earthquake drills. They said that they planned to review all of the deleted language and identify those clauses they felt could be returned to collective bargaining.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291</w:t>
      </w:r>
      <w:r>
        <w:rPr>
          <w:rFonts w:ascii="arial" w:eastAsia="arial" w:hAnsi="arial" w:cs="arial"/>
          <w:color w:val="000000"/>
          <w:sz w:val="20"/>
          <w:lang w:val="en-US" w:eastAsia="en-US" w:bidi="ar-SA"/>
        </w:rPr>
        <w:t>  The BCTF did not approve of the format of the government's proposal but decided to make a counter proposal in the same format, a draft letter of understanding and a draft "class size, class composition and learning specialist staffing levels supplemental fund" memorandum of agreement. This was presented at a meeting on November 10, 2011.</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292</w:t>
      </w:r>
      <w:r>
        <w:rPr>
          <w:rFonts w:ascii="arial" w:eastAsia="arial" w:hAnsi="arial" w:cs="arial"/>
          <w:color w:val="000000"/>
          <w:sz w:val="20"/>
          <w:lang w:val="en-US" w:eastAsia="en-US" w:bidi="ar-SA"/>
        </w:rPr>
        <w:t>  In BCTF's second proposal, it was no longer seeking restoration of all the deleted language from the collective agreement, although it was still seeking restoration of a considerable part of that deleted language.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293</w:t>
      </w:r>
      <w:r>
        <w:rPr>
          <w:rFonts w:ascii="arial" w:eastAsia="arial" w:hAnsi="arial" w:cs="arial"/>
          <w:color w:val="000000"/>
          <w:sz w:val="20"/>
          <w:lang w:val="en-US" w:eastAsia="en-US" w:bidi="ar-SA"/>
        </w:rPr>
        <w:t>  The BCTF's proposal was that the terms in its proposed LOU would form part of the collective agreement. The LOU terms contained class size limits for K-12 but subject to a weighting formula; class composition ratios; and several provisions for dealing with exceptional circumstances. The exceptions to the class size maximums under the proposal were wide ranging, and included with the agreement of the local union and the affected member of school staff for educationally sound reasons; where students enrolled after the first week of October; music band and choir. The proposed LOU also contained provisions for negotiated or arbitrated exceptions.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294</w:t>
      </w:r>
      <w:r>
        <w:rPr>
          <w:rFonts w:ascii="arial" w:eastAsia="arial" w:hAnsi="arial" w:cs="arial"/>
          <w:color w:val="000000"/>
          <w:sz w:val="20"/>
          <w:lang w:val="en-US" w:eastAsia="en-US" w:bidi="ar-SA"/>
        </w:rPr>
        <w:t>  The BCTF representatives explained that it was their intention that the LOU would be the only collective agreement language on class size and class composition. Its proposal, which the BCTF considered a concession desired by the government, meant that there would be only province-wide language, as opposed to language at the local level. To explain, the BCTF and BCPSEA collective agreement had province-wide terms, as well as some terms that were locally negotiated. The BCTF understood that BCPSEA preferred having province-wide terms on these issues and that was the basis for the BCTF proposal.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295</w:t>
      </w:r>
      <w:r>
        <w:rPr>
          <w:rFonts w:ascii="arial" w:eastAsia="arial" w:hAnsi="arial" w:cs="arial"/>
          <w:color w:val="000000"/>
          <w:sz w:val="20"/>
          <w:lang w:val="en-US" w:eastAsia="en-US" w:bidi="ar-SA"/>
        </w:rPr>
        <w:t>  All other Working Conditions clauses in the collective agreement were to be restored according to the proposal.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296</w:t>
      </w:r>
      <w:r>
        <w:rPr>
          <w:rFonts w:ascii="arial" w:eastAsia="arial" w:hAnsi="arial" w:cs="arial"/>
          <w:color w:val="000000"/>
          <w:sz w:val="20"/>
          <w:lang w:val="en-US" w:eastAsia="en-US" w:bidi="ar-SA"/>
        </w:rPr>
        <w:t>  As for the BCTF's proposed MOA, this was meant to be a settlement of the outstanding issues arising from the Bill 28 Decision and result in any grievances being withdrawn that related to the Bill 28 Decision. The BCTF MOA proposed that the government would establish a fund to enable compliance with the LOU; as well as supplemental funding to increase teacher preparation time over a four year period.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297</w:t>
      </w:r>
      <w:r>
        <w:rPr>
          <w:rFonts w:ascii="arial" w:eastAsia="arial" w:hAnsi="arial" w:cs="arial"/>
          <w:color w:val="000000"/>
          <w:sz w:val="20"/>
          <w:lang w:val="en-US" w:eastAsia="en-US" w:bidi="ar-SA"/>
        </w:rPr>
        <w:t>  The BCTF representatives explained that fundamental to their proposal was the restoration of the right to collectively bargain over the Working Conditions. However, they said they were also trying to recognize the government's policy objectives.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298</w:t>
      </w:r>
      <w:r>
        <w:rPr>
          <w:rFonts w:ascii="arial" w:eastAsia="arial" w:hAnsi="arial" w:cs="arial"/>
          <w:color w:val="000000"/>
          <w:sz w:val="20"/>
          <w:lang w:val="en-US" w:eastAsia="en-US" w:bidi="ar-SA"/>
        </w:rPr>
        <w:t>  The MOA proposal to provide four years of additional teacher preparation time was described by the BCTF as compensation for the harm done under the approximate decade of unconstitutional legislation. In return, they would release claims in relation to the Bill 28 Decision, but the release was narrower than the government's proposal because it did not release the wider range of outstanding grievances unrelated to Bill 28.</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299</w:t>
      </w:r>
      <w:r>
        <w:rPr>
          <w:rFonts w:ascii="arial" w:eastAsia="arial" w:hAnsi="arial" w:cs="arial"/>
          <w:color w:val="000000"/>
          <w:sz w:val="20"/>
          <w:lang w:val="en-US" w:eastAsia="en-US" w:bidi="ar-SA"/>
        </w:rPr>
        <w:t>  Like the government's proposed MOA, disputes under the BCTF proposed MOA would be subject to arbitration.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300</w:t>
      </w:r>
      <w:r>
        <w:rPr>
          <w:rFonts w:ascii="arial" w:eastAsia="arial" w:hAnsi="arial" w:cs="arial"/>
          <w:color w:val="000000"/>
          <w:sz w:val="20"/>
          <w:lang w:val="en-US" w:eastAsia="en-US" w:bidi="ar-SA"/>
        </w:rPr>
        <w:t>  The BCTF did not set out the size of fund in its proposal. This was an indication that they were willing to discuss this issue with the government.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301</w:t>
      </w:r>
      <w:r>
        <w:rPr>
          <w:rFonts w:ascii="arial" w:eastAsia="arial" w:hAnsi="arial" w:cs="arial"/>
          <w:color w:val="000000"/>
          <w:sz w:val="20"/>
          <w:lang w:val="en-US" w:eastAsia="en-US" w:bidi="ar-SA"/>
        </w:rPr>
        <w:t>  At the November 10, 2011 meeting the government representatives still had not come back with the results of their review of the collective agreement legislatively deleted clauses which were, and which were not, acceptable to the government. BCTF asked but the government representatives would not share with the BCTF what criteria they were using to pick and choose which of the deleted clauses were purportedly inconsistent with government priorities.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302</w:t>
      </w:r>
      <w:r>
        <w:rPr>
          <w:rFonts w:ascii="arial" w:eastAsia="arial" w:hAnsi="arial" w:cs="arial"/>
          <w:color w:val="000000"/>
          <w:sz w:val="20"/>
          <w:lang w:val="en-US" w:eastAsia="en-US" w:bidi="ar-SA"/>
        </w:rPr>
        <w:t>  Later, the list of deleted clauses that were or were not acceptable to the government was prepared by Ms. Zacharuk who presented it at a meeting between the parties on November 21, 2011. The message seemingly to be taken from the list was that the government representatives were maintaining the position that the government would not agree that any clause addressing Working Conditions could be returned to collective bargaining, such as matters relating to class size and composition and non-enrolling ratios. However, as a gesture the government was willing to allow more minor things to be returned to collective bargaining, such as the example given related to procedures for emergency drills and handicapped children.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303</w:t>
      </w:r>
      <w:r>
        <w:rPr>
          <w:rFonts w:ascii="arial" w:eastAsia="arial" w:hAnsi="arial" w:cs="arial"/>
          <w:color w:val="000000"/>
          <w:sz w:val="20"/>
          <w:lang w:val="en-US" w:eastAsia="en-US" w:bidi="ar-SA"/>
        </w:rPr>
        <w:t>  At the November 21, 2011 meeting Mr. Straszak explained that the government was not able, at that discussion table, to agree to return any clauses to the collective agreement, even the ones that the government saw as unproblematic. He explained that the government representatives were not in a position to know if there were special circumstances applying to a particular clause. However, with the government's agreement, the unobjectionable clauses would be a matter for the BCTF to negotiate with BCPSEA in good faith -- those would be matters for bargaining.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304</w:t>
      </w:r>
      <w:r>
        <w:rPr>
          <w:rFonts w:ascii="arial" w:eastAsia="arial" w:hAnsi="arial" w:cs="arial"/>
          <w:color w:val="000000"/>
          <w:sz w:val="20"/>
          <w:lang w:val="en-US" w:eastAsia="en-US" w:bidi="ar-SA"/>
        </w:rPr>
        <w:t>  Mr. Straszak later wrote to the BCTF on November 28, 2011 and suggested that government would advise BCPSEA of its view that the issues addressed in the acceptable clauses could be returned to this round of collective bargaining. He wrote to BCPSEA and the BCTF on November 29, 2011, stating his view that these acceptable clauses were "more properly the subject of bargaining". The government did not direct BCPSEA to accept Mr. Straszak's view and there is no evidence that BCPSEA agreed to follow Mr. Straszak's recommended return of any part of this to collective bargaining.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305</w:t>
      </w:r>
      <w:r>
        <w:rPr>
          <w:rFonts w:ascii="arial" w:eastAsia="arial" w:hAnsi="arial" w:cs="arial"/>
          <w:color w:val="000000"/>
          <w:sz w:val="20"/>
          <w:lang w:val="en-US" w:eastAsia="en-US" w:bidi="ar-SA"/>
        </w:rPr>
        <w:t>  The government had not yet responded to the BCTF proposal made on November 10. The parties next met on November 23, 2011. The government did not present a counter-proposal. From the parties' notes, the meeting appeared the most contentious yet.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306</w:t>
      </w:r>
      <w:r>
        <w:rPr>
          <w:rFonts w:ascii="arial" w:eastAsia="arial" w:hAnsi="arial" w:cs="arial"/>
          <w:color w:val="000000"/>
          <w:sz w:val="20"/>
          <w:lang w:val="en-US" w:eastAsia="en-US" w:bidi="ar-SA"/>
        </w:rPr>
        <w:t>  At the November 23, 2011 meeting, on behalf of the government team, Mr. Drescher responded to the BCTF proposal by presenting his summary of how in theory the BCTF proposal would impede school districts in effectively managing resources. The themes were a repeat of his earlier presentation about the management difficulties posed by the collective agreement terms on Working Conditions. The BCTF representatives asked for concrete examples, pointing out their view that the issues he raised had not happened under the old collective agreement language and would not happen if funding was available.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307</w:t>
      </w:r>
      <w:r>
        <w:rPr>
          <w:rFonts w:ascii="arial" w:eastAsia="arial" w:hAnsi="arial" w:cs="arial"/>
          <w:color w:val="000000"/>
          <w:sz w:val="20"/>
          <w:lang w:val="en-US" w:eastAsia="en-US" w:bidi="ar-SA"/>
        </w:rPr>
        <w:t>  The government representatives pressed their point that funding was limited. One of the criticisms Mr. Straszak made of the BCTF proposal was that on the government's analysis, it was an even more costly proposal than the first BCTF proposal. However, when asked at the next meeting by Ms. Lambert to assume costing was not the issue, he confirmed that the real barrier was not affordability, it was "flexibility to assign resources", meaning, restriction of management rights.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308</w:t>
      </w:r>
      <w:r>
        <w:rPr>
          <w:rFonts w:ascii="arial" w:eastAsia="arial" w:hAnsi="arial" w:cs="arial"/>
          <w:color w:val="000000"/>
          <w:sz w:val="20"/>
          <w:lang w:val="en-US" w:eastAsia="en-US" w:bidi="ar-SA"/>
        </w:rPr>
        <w:t>  Mr. Straszak argued that the BCTF proposal failed to address the government's "policy objectives" because it proposed formulas and fixed ratios. This was despite the language in the BCTF proposal providing for a wide range of exceptions. Mr. Straszak still did not address any explanation to the BCTF as to why the government was maintaining that the subject matter of Working Conditions could not be dealt with in collective bargaining.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309</w:t>
      </w:r>
      <w:r>
        <w:rPr>
          <w:rFonts w:ascii="arial" w:eastAsia="arial" w:hAnsi="arial" w:cs="arial"/>
          <w:color w:val="000000"/>
          <w:sz w:val="20"/>
          <w:lang w:val="en-US" w:eastAsia="en-US" w:bidi="ar-SA"/>
        </w:rPr>
        <w:t>  The government refused to present a counter-proposal to the BCTF proposal. Mr. Straszak stated that the BCTF proposal had moved the parties farther apart. He stated that the parties were at an impasse. He suggested that it was up to the BCTF to come up with ideas other than "fixed ratios" because these restricted management rights. Asked whether the government was prepared to repeal Bill 28, he would not say.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310</w:t>
      </w:r>
      <w:r>
        <w:rPr>
          <w:rFonts w:ascii="arial" w:eastAsia="arial" w:hAnsi="arial" w:cs="arial"/>
          <w:color w:val="000000"/>
          <w:sz w:val="20"/>
          <w:lang w:val="en-US" w:eastAsia="en-US" w:bidi="ar-SA"/>
        </w:rPr>
        <w:t>  Following the meeting, the government forwarded to the BCTF the government team's costing of the BCTF proposal, if implemented in Surrey. This calculation suggested that 411 more teachers would need to be hired to address the class size and composition proposals; and then to address the proposals for additional teacher preparation time, the number would have to be increased to 1492 FTE, at a total cost of $137 million. The government was estimating the average cost per teacher, salary and benefits, to be approximately $92,000, which was likely an overstated assumption.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311</w:t>
      </w:r>
      <w:r>
        <w:rPr>
          <w:rFonts w:ascii="arial" w:eastAsia="arial" w:hAnsi="arial" w:cs="arial"/>
          <w:color w:val="000000"/>
          <w:sz w:val="20"/>
          <w:lang w:val="en-US" w:eastAsia="en-US" w:bidi="ar-SA"/>
        </w:rPr>
        <w:t>  The parties met again on November 25, 2011. The BCTF made it clear that it was willing to discuss costs and asked for information to understand the government's costing of the BCTF proposal. Following discussion, Ms. Lambert repeated her request for a counter-proposal. She stated her view that the BCTF was prepared to compromise. She emphasized again that the BCTF interest was in free collective bargaining. Mr. Straszak repeated his view that the parties were at an impasse and the meeting ended.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312</w:t>
      </w:r>
      <w:r>
        <w:rPr>
          <w:rFonts w:ascii="arial" w:eastAsia="arial" w:hAnsi="arial" w:cs="arial"/>
          <w:color w:val="000000"/>
          <w:sz w:val="20"/>
          <w:lang w:val="en-US" w:eastAsia="en-US" w:bidi="ar-SA"/>
        </w:rPr>
        <w:t>  The parties exchanged correspondence but no further proposals.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Summary of Negotiations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313</w:t>
      </w:r>
      <w:r>
        <w:rPr>
          <w:rFonts w:ascii="arial" w:eastAsia="arial" w:hAnsi="arial" w:cs="arial"/>
          <w:color w:val="000000"/>
          <w:sz w:val="20"/>
          <w:lang w:val="en-US" w:eastAsia="en-US" w:bidi="ar-SA"/>
        </w:rPr>
        <w:t>  Looking at the whole of the negotiations, the substance of the parties' positions in the post-Bill 28 Decision discussions revealed themselves to be as follows:</w:t>
      </w:r>
      <w:r>
        <w:rPr>
          <w:rFonts w:ascii="arial" w:eastAsia="arial" w:hAnsi="arial" w:cs="arial"/>
          <w:sz w:val="20"/>
          <w:lang w:val="en-US" w:eastAsia="en-US" w:bidi="ar-SA"/>
        </w:rPr>
        <w:cr/>
      </w:r>
    </w:p>
    <w:p>
      <w:pPr>
        <w:numPr>
          <w:numId w:val="6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government did not change from its position that pre-dated Bill 28 and the Bill 28 Decision, namely that collective bargaining over the Working Conditions was unduly restrictive and limited management rights, and therefore it was not willing to agree to any collective bargaining over these terms, or to any return of the deleted collective agreement language dealing with Working Conditions;</w:t>
      </w:r>
    </w:p>
    <w:p>
      <w:pPr>
        <w:numPr>
          <w:numId w:val="6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government proposed a different process, outside of collective bargaining, one where the BCTF would be "consulted" in relation to the allocation of a fund that would address only a small percentage of undefined "complex" classes. Its proposal did not address any of the other Working Conditions and required the BCTF to give up the right to negotiate over Working Conditions in collective bargaining and for BCTF members to give up other grievances unrelated to Bill 28 as well;</w:t>
      </w:r>
    </w:p>
    <w:p>
      <w:pPr>
        <w:numPr>
          <w:numId w:val="6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BCTF did not change from its views that the Bill 28 Decision had affirmed that teachers' were entitled to address Working Conditions as a subject of collective bargaining, and its position that it should be entitled to collectively bargain those issues;</w:t>
      </w:r>
    </w:p>
    <w:p>
      <w:pPr>
        <w:numPr>
          <w:numId w:val="6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although its initial position was that the deleted Working Conditions language should be returned to the collective agreement, the BCTF did propose some changes to the deleted collective agreement language. The BCTF invited a counter-proposal but the government opposed a collective bargaining framework and did not counter-propose;</w:t>
      </w:r>
    </w:p>
    <w:p>
      <w:pPr>
        <w:numPr>
          <w:numId w:val="6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BCTF started from the position that it did not matter if the restoration of collective agreement terms would cost money by way of hiring more staff, and that the answer to this was simply that the government ought to provide more funding to education. It did however ask for information and appear willing to explore costing in its last discussions, before the government declared an impasse.</w:t>
      </w:r>
    </w:p>
    <w:p>
      <w:pPr>
        <w:spacing w:before="120"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Health Sector Unions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314</w:t>
      </w:r>
      <w:r>
        <w:rPr>
          <w:rFonts w:ascii="arial" w:eastAsia="arial" w:hAnsi="arial" w:cs="arial"/>
          <w:color w:val="000000"/>
          <w:sz w:val="20"/>
          <w:lang w:val="en-US" w:eastAsia="en-US" w:bidi="ar-SA"/>
        </w:rPr>
        <w:t xml:space="preserve">  Mr. Straszak has also been the province's negotiator with four health sector unions following the Supreme Court of Canada's decision in </w:t>
      </w:r>
      <w:r>
        <w:rPr>
          <w:rFonts w:ascii="arial" w:eastAsia="arial" w:hAnsi="arial" w:cs="arial"/>
          <w:i/>
          <w:color w:val="000000"/>
          <w:sz w:val="20"/>
          <w:lang w:val="en-US" w:eastAsia="en-US" w:bidi="ar-SA"/>
        </w:rPr>
        <w:t>Health Services</w:t>
      </w:r>
      <w:r>
        <w:rPr>
          <w:rFonts w:ascii="arial" w:eastAsia="arial" w:hAnsi="arial" w:cs="arial"/>
          <w:color w:val="000000"/>
          <w:sz w:val="20"/>
          <w:lang w:val="en-US" w:eastAsia="en-US" w:bidi="ar-SA"/>
        </w:rPr>
        <w:t>. He felt that the strategy he had employed in that situation was successful, as it resulted in settlement agreements with those unions. It was his evidence that he employed what he considered to be a similar strategy in the negotiation with the BCTF regarding the repercussions of the Bill 28 Decision.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315</w:t>
      </w:r>
      <w:r>
        <w:rPr>
          <w:rFonts w:ascii="arial" w:eastAsia="arial" w:hAnsi="arial" w:cs="arial"/>
          <w:color w:val="000000"/>
          <w:sz w:val="20"/>
          <w:lang w:val="en-US" w:eastAsia="en-US" w:bidi="ar-SA"/>
        </w:rPr>
        <w:t>  The government's argument suggests that two inferences arise from this evidence:</w:t>
      </w:r>
      <w:r>
        <w:rPr>
          <w:rFonts w:ascii="arial" w:eastAsia="arial" w:hAnsi="arial" w:cs="arial"/>
          <w:sz w:val="20"/>
          <w:lang w:val="en-US" w:eastAsia="en-US" w:bidi="ar-SA"/>
        </w:rPr>
        <w:cr/>
      </w:r>
    </w:p>
    <w:p>
      <w:pPr>
        <w:numPr>
          <w:numId w:val="6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since government's approach to the health sector unions resulted in settlements with those unions, by adopting the same approach here it must be concluded that it was reasonable and acting in good faith; and,</w:t>
      </w:r>
    </w:p>
    <w:p>
      <w:pPr>
        <w:numPr>
          <w:numId w:val="6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it was only because the BCTF was unreasonable or acting in bad faith that the government could not reach a settlement with the BCTF.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316</w:t>
      </w:r>
      <w:r>
        <w:rPr>
          <w:rFonts w:ascii="arial" w:eastAsia="arial" w:hAnsi="arial" w:cs="arial"/>
          <w:color w:val="000000"/>
          <w:sz w:val="20"/>
          <w:lang w:val="en-US" w:eastAsia="en-US" w:bidi="ar-SA"/>
        </w:rPr>
        <w:t>  I do not accept that the evidence supports these inferences. To explain, I will briefly review the history of the government's unconstitutional legislation and subsequent negotiations involving health sector unions.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317</w:t>
      </w:r>
      <w:r>
        <w:rPr>
          <w:rFonts w:ascii="arial" w:eastAsia="arial" w:hAnsi="arial" w:cs="arial"/>
          <w:color w:val="000000"/>
          <w:sz w:val="20"/>
          <w:lang w:val="en-US" w:eastAsia="en-US" w:bidi="ar-SA"/>
        </w:rPr>
        <w:t xml:space="preserve">  The result in </w:t>
      </w:r>
      <w:r>
        <w:rPr>
          <w:rFonts w:ascii="arial" w:eastAsia="arial" w:hAnsi="arial" w:cs="arial"/>
          <w:i/>
          <w:color w:val="000000"/>
          <w:sz w:val="20"/>
          <w:lang w:val="en-US" w:eastAsia="en-US" w:bidi="ar-SA"/>
        </w:rPr>
        <w:t>Health Services</w:t>
      </w:r>
      <w:r>
        <w:rPr>
          <w:rFonts w:ascii="arial" w:eastAsia="arial" w:hAnsi="arial" w:cs="arial"/>
          <w:color w:val="000000"/>
          <w:sz w:val="20"/>
          <w:lang w:val="en-US" w:eastAsia="en-US" w:bidi="ar-SA"/>
        </w:rPr>
        <w:t xml:space="preserve"> was that the Court found that certain provisions of Bill 29 infringed s. 2(d) of the </w:t>
      </w:r>
      <w:r>
        <w:rPr>
          <w:rFonts w:ascii="arial" w:eastAsia="arial" w:hAnsi="arial" w:cs="arial"/>
          <w:i/>
          <w:color w:val="000000"/>
          <w:sz w:val="20"/>
          <w:lang w:val="en-US" w:eastAsia="en-US" w:bidi="ar-SA"/>
        </w:rPr>
        <w:t>Charter</w:t>
      </w:r>
      <w:r>
        <w:rPr>
          <w:rFonts w:ascii="arial" w:eastAsia="arial" w:hAnsi="arial" w:cs="arial"/>
          <w:color w:val="000000"/>
          <w:sz w:val="20"/>
          <w:lang w:val="en-US" w:eastAsia="en-US" w:bidi="ar-SA"/>
        </w:rPr>
        <w:t xml:space="preserve">; were not saved by s. 1 of the </w:t>
      </w:r>
      <w:r>
        <w:rPr>
          <w:rFonts w:ascii="arial" w:eastAsia="arial" w:hAnsi="arial" w:cs="arial"/>
          <w:i/>
          <w:color w:val="000000"/>
          <w:sz w:val="20"/>
          <w:lang w:val="en-US" w:eastAsia="en-US" w:bidi="ar-SA"/>
        </w:rPr>
        <w:t>Charter</w:t>
      </w:r>
      <w:r>
        <w:rPr>
          <w:rFonts w:ascii="arial" w:eastAsia="arial" w:hAnsi="arial" w:cs="arial"/>
          <w:color w:val="000000"/>
          <w:sz w:val="20"/>
          <w:lang w:val="en-US" w:eastAsia="en-US" w:bidi="ar-SA"/>
        </w:rPr>
        <w:t>; and were therefore unconstitutional. The Court suspended the declaration of unconstitutionality for twelve months to allow the government time to address the repercussions of the decision.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318</w:t>
      </w:r>
      <w:r>
        <w:rPr>
          <w:rFonts w:ascii="arial" w:eastAsia="arial" w:hAnsi="arial" w:cs="arial"/>
          <w:color w:val="000000"/>
          <w:sz w:val="20"/>
          <w:lang w:val="en-US" w:eastAsia="en-US" w:bidi="ar-SA"/>
        </w:rPr>
        <w:t xml:space="preserve">  Following the </w:t>
      </w:r>
      <w:r>
        <w:rPr>
          <w:rFonts w:ascii="arial" w:eastAsia="arial" w:hAnsi="arial" w:cs="arial"/>
          <w:i/>
          <w:color w:val="000000"/>
          <w:sz w:val="20"/>
          <w:lang w:val="en-US" w:eastAsia="en-US" w:bidi="ar-SA"/>
        </w:rPr>
        <w:t>Health Services</w:t>
      </w:r>
      <w:r>
        <w:rPr>
          <w:rFonts w:ascii="arial" w:eastAsia="arial" w:hAnsi="arial" w:cs="arial"/>
          <w:color w:val="000000"/>
          <w:sz w:val="20"/>
          <w:lang w:val="en-US" w:eastAsia="en-US" w:bidi="ar-SA"/>
        </w:rPr>
        <w:t xml:space="preserve"> decision in June 2007, the government's negotiations with the health sector unions commenced in substance in early September with a target of completing negotiations by the end of December (four months later), to allow time for necessary legislation to be passed within the one year suspension period, in the spring of 2008.</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319</w:t>
      </w:r>
      <w:r>
        <w:rPr>
          <w:rFonts w:ascii="arial" w:eastAsia="arial" w:hAnsi="arial" w:cs="arial"/>
          <w:color w:val="000000"/>
          <w:sz w:val="20"/>
          <w:lang w:val="en-US" w:eastAsia="en-US" w:bidi="ar-SA"/>
        </w:rPr>
        <w:t>  The government was not the employer.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320</w:t>
      </w:r>
      <w:r>
        <w:rPr>
          <w:rFonts w:ascii="arial" w:eastAsia="arial" w:hAnsi="arial" w:cs="arial"/>
          <w:color w:val="000000"/>
          <w:sz w:val="20"/>
          <w:lang w:val="en-US" w:eastAsia="en-US" w:bidi="ar-SA"/>
        </w:rPr>
        <w:t>  Because the collective agreements were between the unions and the health sector employers, the Health Employers Association of British Columbia (HEABC), members of the HEABC were at the negotiating table.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321</w:t>
      </w:r>
      <w:r>
        <w:rPr>
          <w:rFonts w:ascii="arial" w:eastAsia="arial" w:hAnsi="arial" w:cs="arial"/>
          <w:color w:val="000000"/>
          <w:sz w:val="20"/>
          <w:lang w:val="en-US" w:eastAsia="en-US" w:bidi="ar-SA"/>
        </w:rPr>
        <w:t>  At the time of the government's negotiations with the health sector unions, the unions were mid-contract and there was no ongoing collective bargaining. When considering whether or not to restore the right to collectively bargain over the matters which had been the subject of the lawsuit, such as contracting out, the government noted that it would have more "flexibility" and "control" over contracting out if the subject was not returned to collective bargaining. Nevertheless it recognized that this was constitutionally risky. It decided that the better option was to allow a return of the subject matter to collective bargaining, but to have the parties together negotiate new terms in the collective agreements dealing with this subject.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322</w:t>
      </w:r>
      <w:r>
        <w:rPr>
          <w:rFonts w:ascii="arial" w:eastAsia="arial" w:hAnsi="arial" w:cs="arial"/>
          <w:color w:val="000000"/>
          <w:sz w:val="20"/>
          <w:lang w:val="en-US" w:eastAsia="en-US" w:bidi="ar-SA"/>
        </w:rPr>
        <w:t>  In its approach to negotiating with the health sector unions, the government recognized that any new legislation had to recognize the union's right to negotiate in good faith on those areas of which the earlier legislation had prohibited collective bargaining, namely contracting out and bumping and layoffs.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323</w:t>
      </w:r>
      <w:r>
        <w:rPr>
          <w:rFonts w:ascii="arial" w:eastAsia="arial" w:hAnsi="arial" w:cs="arial"/>
          <w:color w:val="000000"/>
          <w:sz w:val="20"/>
          <w:lang w:val="en-US" w:eastAsia="en-US" w:bidi="ar-SA"/>
        </w:rPr>
        <w:t>  Another important factor was that the government decided to suspend its intended program of contracting out and layoffs of public sector employees, pending the outcome of negotiations with the unions. In other words, it did not take the position that it would still act under the suspended legislation as though it was valid for another full year.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324</w:t>
      </w:r>
      <w:r>
        <w:rPr>
          <w:rFonts w:ascii="arial" w:eastAsia="arial" w:hAnsi="arial" w:cs="arial"/>
          <w:color w:val="000000"/>
          <w:sz w:val="20"/>
          <w:lang w:val="en-US" w:eastAsia="en-US" w:bidi="ar-SA"/>
        </w:rPr>
        <w:t>  As well, the government strategy was to offer money to the health sector unions as compensation for those workers laid-off as a result of the unconstitutional legislation dealing with contracting out. The money could be used for enhanced severance, employee hardship, or retraining or relocation.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325</w:t>
      </w:r>
      <w:r>
        <w:rPr>
          <w:rFonts w:ascii="arial" w:eastAsia="arial" w:hAnsi="arial" w:cs="arial"/>
          <w:color w:val="000000"/>
          <w:sz w:val="20"/>
          <w:lang w:val="en-US" w:eastAsia="en-US" w:bidi="ar-SA"/>
        </w:rPr>
        <w:t>  The government internally estimated that it had enjoyed savings of approximately $50 million per year as a result of the lay-offs that had occurred based on the legislation, because the number of public sector workers laid off equated to approximately 5,500 full time ("FTE") positions. It estimated that the cost of making workers whole by providing restitution for those affected by the unconstitutional legislation, would be approximately $645 million up to January 1, 2008.</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326</w:t>
      </w:r>
      <w:r>
        <w:rPr>
          <w:rFonts w:ascii="arial" w:eastAsia="arial" w:hAnsi="arial" w:cs="arial"/>
          <w:color w:val="000000"/>
          <w:sz w:val="20"/>
          <w:lang w:val="en-US" w:eastAsia="en-US" w:bidi="ar-SA"/>
        </w:rPr>
        <w:t xml:space="preserve">  In the result, the government and four unions were able to negotiate settlements following the </w:t>
      </w:r>
      <w:r>
        <w:rPr>
          <w:rFonts w:ascii="arial" w:eastAsia="arial" w:hAnsi="arial" w:cs="arial"/>
          <w:i/>
          <w:color w:val="000000"/>
          <w:sz w:val="20"/>
          <w:lang w:val="en-US" w:eastAsia="en-US" w:bidi="ar-SA"/>
        </w:rPr>
        <w:t>Health Services</w:t>
      </w:r>
      <w:r>
        <w:rPr>
          <w:rFonts w:ascii="arial" w:eastAsia="arial" w:hAnsi="arial" w:cs="arial"/>
          <w:color w:val="000000"/>
          <w:sz w:val="20"/>
          <w:lang w:val="en-US" w:eastAsia="en-US" w:bidi="ar-SA"/>
        </w:rPr>
        <w:t xml:space="preserve"> decision, each structured along the following lines:</w:t>
      </w:r>
      <w:r>
        <w:rPr>
          <w:rFonts w:ascii="arial" w:eastAsia="arial" w:hAnsi="arial" w:cs="arial"/>
          <w:sz w:val="20"/>
          <w:lang w:val="en-US" w:eastAsia="en-US" w:bidi="ar-SA"/>
        </w:rPr>
        <w:cr/>
      </w:r>
    </w:p>
    <w:p>
      <w:pPr>
        <w:numPr>
          <w:numId w:val="6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settlement agreements involved the government, union, and the relevant employers' association;</w:t>
      </w:r>
    </w:p>
    <w:p>
      <w:pPr>
        <w:numPr>
          <w:numId w:val="6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parties agreed to amend language of existing collective agreements dealing with the controversial subject matters that had been addressed in the unconstitutional legislation, such as contracting out and portability of benefits but the ability to collectively bargain these matters was restored;</w:t>
      </w:r>
    </w:p>
    <w:p>
      <w:pPr>
        <w:numPr>
          <w:numId w:val="6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government would pay an amount of money to each of the unions, to be administered by that union or by a joint committee of representatives of the employer and union, for such things as payment to affected employees, or professional development education. The funds to all the affected unions totalled $84 million;</w:t>
      </w:r>
    </w:p>
    <w:p>
      <w:pPr>
        <w:numPr>
          <w:numId w:val="7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affected union members released and waived all claims and grievances arising under the impugned legislation and relating to the </w:t>
      </w:r>
      <w:r>
        <w:rPr>
          <w:rFonts w:ascii="arial" w:eastAsia="arial" w:hAnsi="arial" w:cs="arial"/>
          <w:i/>
          <w:color w:val="000000"/>
          <w:sz w:val="20"/>
          <w:lang w:val="en-US" w:eastAsia="en-US" w:bidi="ar-SA"/>
        </w:rPr>
        <w:t>Health Services</w:t>
      </w:r>
      <w:r>
        <w:rPr>
          <w:rFonts w:ascii="arial" w:eastAsia="arial" w:hAnsi="arial" w:cs="arial"/>
          <w:color w:val="000000"/>
          <w:sz w:val="20"/>
          <w:lang w:val="en-US" w:eastAsia="en-US" w:bidi="ar-SA"/>
        </w:rPr>
        <w:t xml:space="preserve"> decision.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327</w:t>
      </w:r>
      <w:r>
        <w:rPr>
          <w:rFonts w:ascii="arial" w:eastAsia="arial" w:hAnsi="arial" w:cs="arial"/>
          <w:color w:val="000000"/>
          <w:sz w:val="20"/>
          <w:lang w:val="en-US" w:eastAsia="en-US" w:bidi="ar-SA"/>
        </w:rPr>
        <w:t>  As part of the deal with the health sector unions, the government repealed the unconstitutional legislation, Bill 29, and introduced new legislation which did not contain the same restrictions on collective bargaining.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328</w:t>
      </w:r>
      <w:r>
        <w:rPr>
          <w:rFonts w:ascii="arial" w:eastAsia="arial" w:hAnsi="arial" w:cs="arial"/>
          <w:color w:val="000000"/>
          <w:sz w:val="20"/>
          <w:lang w:val="en-US" w:eastAsia="en-US" w:bidi="ar-SA"/>
        </w:rPr>
        <w:t>  Thus there were several conciliatory factors in the post-</w:t>
      </w:r>
      <w:r>
        <w:rPr>
          <w:rFonts w:ascii="arial" w:eastAsia="arial" w:hAnsi="arial" w:cs="arial"/>
          <w:i/>
          <w:color w:val="000000"/>
          <w:sz w:val="20"/>
          <w:lang w:val="en-US" w:eastAsia="en-US" w:bidi="ar-SA"/>
        </w:rPr>
        <w:t>Health Services</w:t>
      </w:r>
      <w:r>
        <w:rPr>
          <w:rFonts w:ascii="arial" w:eastAsia="arial" w:hAnsi="arial" w:cs="arial"/>
          <w:color w:val="000000"/>
          <w:sz w:val="20"/>
          <w:lang w:val="en-US" w:eastAsia="en-US" w:bidi="ar-SA"/>
        </w:rPr>
        <w:t xml:space="preserve"> negotiations which were not present in the post-Bill 28 Decision discussions between the government and the BCTF:</w:t>
      </w:r>
      <w:r>
        <w:rPr>
          <w:rFonts w:ascii="arial" w:eastAsia="arial" w:hAnsi="arial" w:cs="arial"/>
          <w:sz w:val="20"/>
          <w:lang w:val="en-US" w:eastAsia="en-US" w:bidi="ar-SA"/>
        </w:rPr>
        <w:cr/>
      </w:r>
    </w:p>
    <w:p>
      <w:pPr>
        <w:numPr>
          <w:numId w:val="7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government team in the post-</w:t>
      </w:r>
      <w:r>
        <w:rPr>
          <w:rFonts w:ascii="arial" w:eastAsia="arial" w:hAnsi="arial" w:cs="arial"/>
          <w:i/>
          <w:color w:val="000000"/>
          <w:sz w:val="20"/>
          <w:lang w:val="en-US" w:eastAsia="en-US" w:bidi="ar-SA"/>
        </w:rPr>
        <w:t>Health Services</w:t>
      </w:r>
      <w:r>
        <w:rPr>
          <w:rFonts w:ascii="arial" w:eastAsia="arial" w:hAnsi="arial" w:cs="arial"/>
          <w:color w:val="000000"/>
          <w:sz w:val="20"/>
          <w:lang w:val="en-US" w:eastAsia="en-US" w:bidi="ar-SA"/>
        </w:rPr>
        <w:t xml:space="preserve"> negotiations showed a willingness to re-introduce to collective bargaining and the collective agreement the very subjects that had been legislatively prohibited. The government also took steps to immediately suspend the practices that offended the unions. This no doubt purchased an enormous amount of goodwill from the unions.</w:t>
      </w:r>
    </w:p>
    <w:p>
      <w:pPr>
        <w:numPr>
          <w:numId w:val="7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In contrast, the government team which negotiated with the BCTF maintained a position that the subjects of the Working Conditions could not be returned to collective bargaining, but did not explain why this was so other than broad statements of it being contrary to government "policy" of "flexibility". It would have purchased goodwill from the BCTF to return these subjects to collective bargaining immediately. Instead, the government approach created a great deal of frustration on the BCTF side of the table. It was only in its last proposal, in November 2011, that the government showed a willingness to have some form of union consultation on class composition funding, and to have this funding structure tied to the collective agreement. However, this was very late in the process, was a very minimal consultation process, and still did not deal with the broader right to collectively bargain.</w:t>
      </w:r>
    </w:p>
    <w:p>
      <w:pPr>
        <w:numPr>
          <w:numId w:val="7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government in the post-</w:t>
      </w:r>
      <w:r>
        <w:rPr>
          <w:rFonts w:ascii="arial" w:eastAsia="arial" w:hAnsi="arial" w:cs="arial"/>
          <w:i/>
          <w:color w:val="000000"/>
          <w:sz w:val="20"/>
          <w:lang w:val="en-US" w:eastAsia="en-US" w:bidi="ar-SA"/>
        </w:rPr>
        <w:t>Health Services</w:t>
      </w:r>
      <w:r>
        <w:rPr>
          <w:rFonts w:ascii="arial" w:eastAsia="arial" w:hAnsi="arial" w:cs="arial"/>
          <w:color w:val="000000"/>
          <w:sz w:val="20"/>
          <w:lang w:val="en-US" w:eastAsia="en-US" w:bidi="ar-SA"/>
        </w:rPr>
        <w:t xml:space="preserve"> situation recognized that collective agreement changes required negotiations between the employer and employee associations, and facilitated this.</w:t>
      </w:r>
    </w:p>
    <w:p>
      <w:pPr>
        <w:numPr>
          <w:numId w:val="7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In contrast, the government position with the BCTF was not only that terms on Working Conditions would not be returned to the collective agreement but that collective bargaining would not be permitted on these topics either. This left the union with no ability to agree to changes in language to the collective agreement -- it had nothing to negotiate over. Late in the day the union itself made proposals to change the language in the collective agreement, but then the government team declared the negotiations at an impasse without making a counter-proposal.</w:t>
      </w:r>
    </w:p>
    <w:p>
      <w:pPr>
        <w:numPr>
          <w:numId w:val="7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government offered compensation to the affected unions post-</w:t>
      </w:r>
      <w:r>
        <w:rPr>
          <w:rFonts w:ascii="arial" w:eastAsia="arial" w:hAnsi="arial" w:cs="arial"/>
          <w:i/>
          <w:color w:val="000000"/>
          <w:sz w:val="20"/>
          <w:lang w:val="en-US" w:eastAsia="en-US" w:bidi="ar-SA"/>
        </w:rPr>
        <w:t>Health Services</w:t>
      </w:r>
      <w:r>
        <w:rPr>
          <w:rFonts w:ascii="arial" w:eastAsia="arial" w:hAnsi="arial" w:cs="arial"/>
          <w:color w:val="000000"/>
          <w:sz w:val="20"/>
          <w:lang w:val="en-US" w:eastAsia="en-US" w:bidi="ar-SA"/>
        </w:rPr>
        <w:t>.</w:t>
      </w:r>
    </w:p>
    <w:p>
      <w:pPr>
        <w:numPr>
          <w:numId w:val="76"/>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In contrast, the government did not offer compensation to the BCTF. While the government did eventually propose to establish a limited purpose fund to make grants to schools, it only proposed that the BCTF be consulted on the process of allocation of the fund. The purpose of the fund was not to compensate teachers for their lost collective bargaining rights or for the extra work they had taken on since 2002 after the Working Conditions clauses were deleted from their collective agreement.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Issue 3: Did the Parties' Discussions Post-the Bill 28 Decision, and Prior to the Enactment of Bill 22, save the Bill 22 Duplicate Provisions?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329</w:t>
      </w:r>
      <w:r>
        <w:rPr>
          <w:rFonts w:ascii="arial" w:eastAsia="arial" w:hAnsi="arial" w:cs="arial"/>
          <w:color w:val="000000"/>
          <w:sz w:val="20"/>
          <w:lang w:val="en-US" w:eastAsia="en-US" w:bidi="ar-SA"/>
        </w:rPr>
        <w:t>  Both sides state in evidence before me that they were prepared to negotiate on the repercussions of the Bill 28 Decision in good faith. However the difficult task for this Court is in determining if this statement was sincere and carried out.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Reasonableness of Asserted Positions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330</w:t>
      </w:r>
      <w:r>
        <w:rPr>
          <w:rFonts w:ascii="arial" w:eastAsia="arial" w:hAnsi="arial" w:cs="arial"/>
          <w:color w:val="000000"/>
          <w:sz w:val="20"/>
          <w:lang w:val="en-US" w:eastAsia="en-US" w:bidi="ar-SA"/>
        </w:rPr>
        <w:t>  In their negotiations, the government representatives focussed on the outcome the government wished to have, namely no collective bargaining on Working Conditions and no collective agreement terms on Working Conditions.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331</w:t>
      </w:r>
      <w:r>
        <w:rPr>
          <w:rFonts w:ascii="arial" w:eastAsia="arial" w:hAnsi="arial" w:cs="arial"/>
          <w:color w:val="000000"/>
          <w:sz w:val="20"/>
          <w:lang w:val="en-US" w:eastAsia="en-US" w:bidi="ar-SA"/>
        </w:rPr>
        <w:t>  Mr. Straszak's overall message to the BCTF was that all the government was required to do after the Bill 28 Decision was show that it stated its position and listened to the other side. The government team portrayed itself as having its mind made up that it would not restore collective bargaining rights in respect of the Working Conditions.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332</w:t>
      </w:r>
      <w:r>
        <w:rPr>
          <w:rFonts w:ascii="arial" w:eastAsia="arial" w:hAnsi="arial" w:cs="arial"/>
          <w:color w:val="000000"/>
          <w:sz w:val="20"/>
          <w:lang w:val="en-US" w:eastAsia="en-US" w:bidi="ar-SA"/>
        </w:rPr>
        <w:t>  The government's positions were manifestly unreasonable, given the outcome of the Bill 28 Decision. The unreasonableness of the government position was eventually somewhat modified, but only modestly and belatedly, by its proposal to fund a "class organization fund" to address some class composition issues. This measure required a significant amount of money and cannot be criticized as being in bad faith.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333</w:t>
      </w:r>
      <w:r>
        <w:rPr>
          <w:rFonts w:ascii="arial" w:eastAsia="arial" w:hAnsi="arial" w:cs="arial"/>
          <w:color w:val="000000"/>
          <w:sz w:val="20"/>
          <w:lang w:val="en-US" w:eastAsia="en-US" w:bidi="ar-SA"/>
        </w:rPr>
        <w:t>  The COF could have been a starting point in discussing a new way to provide some funds to solve some problems in some classrooms but it did nothing to address the teachers' desire to return the full scope of Working Conditions to collective bargaining. This proposal on its own did nothing to address the bargaining rights issue.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334</w:t>
      </w:r>
      <w:r>
        <w:rPr>
          <w:rFonts w:ascii="arial" w:eastAsia="arial" w:hAnsi="arial" w:cs="arial"/>
          <w:color w:val="000000"/>
          <w:sz w:val="20"/>
          <w:lang w:val="en-US" w:eastAsia="en-US" w:bidi="ar-SA"/>
        </w:rPr>
        <w:t>  As for the BCTF, it asserted the position that its right to collectively bargain Working Conditions should be restored, as should language in the collective agreement, or language that accomplished similar ends. However, inherent in the BCTF position was that these matters would be subject to collective bargaining, meaning the terms could be negotiated.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335</w:t>
      </w:r>
      <w:r>
        <w:rPr>
          <w:rFonts w:ascii="arial" w:eastAsia="arial" w:hAnsi="arial" w:cs="arial"/>
          <w:color w:val="000000"/>
          <w:sz w:val="20"/>
          <w:lang w:val="en-US" w:eastAsia="en-US" w:bidi="ar-SA"/>
        </w:rPr>
        <w:t>  In effect, the core of what the BCTF was seeking was a right to collectively bargain, not a legislative imposition of some end result of that bargaining. I do not consider this to be intransigent or unreasonable, given that the BCTF had prevailed in the Bill 28 Decision and this was not appealed.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336</w:t>
      </w:r>
      <w:r>
        <w:rPr>
          <w:rFonts w:ascii="arial" w:eastAsia="arial" w:hAnsi="arial" w:cs="arial"/>
          <w:color w:val="000000"/>
          <w:sz w:val="20"/>
          <w:lang w:val="en-US" w:eastAsia="en-US" w:bidi="ar-SA"/>
        </w:rPr>
        <w:t>  In addition, the BCTF was seeking some compensation for its members. This aspect of its proposal was akin to settlement discussions regarding its claim for additional remedies in the Bill 28 Action. It was not akin to a negotiation over the scope of collective bargaining. It was not unreasonable.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Opportunity to Influence Employer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337</w:t>
      </w:r>
      <w:r>
        <w:rPr>
          <w:rFonts w:ascii="arial" w:eastAsia="arial" w:hAnsi="arial" w:cs="arial"/>
          <w:color w:val="000000"/>
          <w:sz w:val="20"/>
          <w:lang w:val="en-US" w:eastAsia="en-US" w:bidi="ar-SA"/>
        </w:rPr>
        <w:t>  The discussions between the government and the BCTF did not give the BCTF an opportunity to influence the employer with respect to Working Conditions. The government maintained that the Bill 28 negotiations needed to be separate from the union's collective bargaining with BCPSEA.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338</w:t>
      </w:r>
      <w:r>
        <w:rPr>
          <w:rFonts w:ascii="arial" w:eastAsia="arial" w:hAnsi="arial" w:cs="arial"/>
          <w:color w:val="000000"/>
          <w:sz w:val="20"/>
          <w:lang w:val="en-US" w:eastAsia="en-US" w:bidi="ar-SA"/>
        </w:rPr>
        <w:t xml:space="preserve">  This is a significant difference from the negotiations with the health sector unions, following the </w:t>
      </w:r>
      <w:r>
        <w:rPr>
          <w:rFonts w:ascii="arial" w:eastAsia="arial" w:hAnsi="arial" w:cs="arial"/>
          <w:i/>
          <w:color w:val="000000"/>
          <w:sz w:val="20"/>
          <w:lang w:val="en-US" w:eastAsia="en-US" w:bidi="ar-SA"/>
        </w:rPr>
        <w:t>Health Services</w:t>
      </w:r>
      <w:r>
        <w:rPr>
          <w:rFonts w:ascii="arial" w:eastAsia="arial" w:hAnsi="arial" w:cs="arial"/>
          <w:color w:val="000000"/>
          <w:sz w:val="20"/>
          <w:lang w:val="en-US" w:eastAsia="en-US" w:bidi="ar-SA"/>
        </w:rPr>
        <w:t xml:space="preserve"> decision. Those negotiations did have the employer at the table.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339</w:t>
      </w:r>
      <w:r>
        <w:rPr>
          <w:rFonts w:ascii="arial" w:eastAsia="arial" w:hAnsi="arial" w:cs="arial"/>
          <w:color w:val="000000"/>
          <w:sz w:val="20"/>
          <w:lang w:val="en-US" w:eastAsia="en-US" w:bidi="ar-SA"/>
        </w:rPr>
        <w:t>  The government emphasises that Mr. Straszak testified that he proposed having the employer at the negotiations as in the health sector negotiations, but it was the BCTF that refused. This fails to appreciate the point that the health sector unions were mid-contract and there was no active collective bargaining table. Here, there was an active bargaining table between BCTF and the employer association, and BCTF was willing to have these matters returned to that table, but the government representatives steadfastly refused.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340</w:t>
      </w:r>
      <w:r>
        <w:rPr>
          <w:rFonts w:ascii="arial" w:eastAsia="arial" w:hAnsi="arial" w:cs="arial"/>
          <w:color w:val="000000"/>
          <w:sz w:val="20"/>
          <w:lang w:val="en-US" w:eastAsia="en-US" w:bidi="ar-SA"/>
        </w:rPr>
        <w:t>  The government never advanced a good argument to the BCTF as to why it did not agree to have the prohibition on collective bargaining Working Conditions lifted immediately, given that collective bargaining had just commenced. Regardless of the government's suggestion in the meetings with the BCTF that restoring the collective agreement language would be just too expensive for government, returning the ability to collectively bargain would cost the government nothing.</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Commitment of Time and Preparation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341</w:t>
      </w:r>
      <w:r>
        <w:rPr>
          <w:rFonts w:ascii="arial" w:eastAsia="arial" w:hAnsi="arial" w:cs="arial"/>
          <w:color w:val="000000"/>
          <w:sz w:val="20"/>
          <w:lang w:val="en-US" w:eastAsia="en-US" w:bidi="ar-SA"/>
        </w:rPr>
        <w:t>  The government representatives were prepared to commit time to the negotiations.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342</w:t>
      </w:r>
      <w:r>
        <w:rPr>
          <w:rFonts w:ascii="arial" w:eastAsia="arial" w:hAnsi="arial" w:cs="arial"/>
          <w:color w:val="000000"/>
          <w:sz w:val="20"/>
          <w:lang w:val="en-US" w:eastAsia="en-US" w:bidi="ar-SA"/>
        </w:rPr>
        <w:t>  However, the preparation of the government representatives displayed a lack of true commitment to the content of the discussions.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343</w:t>
      </w:r>
      <w:r>
        <w:rPr>
          <w:rFonts w:ascii="arial" w:eastAsia="arial" w:hAnsi="arial" w:cs="arial"/>
          <w:color w:val="000000"/>
          <w:sz w:val="20"/>
          <w:lang w:val="en-US" w:eastAsia="en-US" w:bidi="ar-SA"/>
        </w:rPr>
        <w:t>  The central issue for the union in the Bill 28 Action was the government's infringement of collective bargaining rights with respect to Working Conditions. Despite the union winning the litigation on this issue, the government representatives asserted the position that the legislatively-deleted collective agreement terms addressing Working Conditions were contrary to government policy objectives of flexibility and choice, and likewise so would be any collective bargaining on these issues.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344</w:t>
      </w:r>
      <w:r>
        <w:rPr>
          <w:rFonts w:ascii="arial" w:eastAsia="arial" w:hAnsi="arial" w:cs="arial"/>
          <w:color w:val="000000"/>
          <w:sz w:val="20"/>
          <w:lang w:val="en-US" w:eastAsia="en-US" w:bidi="ar-SA"/>
        </w:rPr>
        <w:t>  Yet the government representatives did not even read the Working Conditions clauses until after a sixth meeting took place with the BCTF on October 24, 2011. They were not in a position to comment on these clauses until as of the November 21, 2011 meeting with the BCTF. This was far too late in the process, given the government's deadline to complete these negotiations by the end of November.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345</w:t>
      </w:r>
      <w:r>
        <w:rPr>
          <w:rFonts w:ascii="arial" w:eastAsia="arial" w:hAnsi="arial" w:cs="arial"/>
          <w:color w:val="000000"/>
          <w:sz w:val="20"/>
          <w:lang w:val="en-US" w:eastAsia="en-US" w:bidi="ar-SA"/>
        </w:rPr>
        <w:t>  Even then, after having read the clauses, the government representatives were only willing to concede that the most innocuous of clauses might be restored to collective bargaining, such as clauses dealing with fire drills and earthquake drills for special needs students. The government maintained its position that none of the other Working Conditions clauses could be restored to collective bargaining based on its unwavering position that to do so would impede flexibility and choice. This position was maintained without any factual or analytical basis for it.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A Willingness to Exchange and Explain Positions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346</w:t>
      </w:r>
      <w:r>
        <w:rPr>
          <w:rFonts w:ascii="arial" w:eastAsia="arial" w:hAnsi="arial" w:cs="arial"/>
          <w:color w:val="000000"/>
          <w:sz w:val="20"/>
          <w:lang w:val="en-US" w:eastAsia="en-US" w:bidi="ar-SA"/>
        </w:rPr>
        <w:t>  The parties did meet several times, and of course there can be no good faith negotiations without a willingness to meet.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347</w:t>
      </w:r>
      <w:r>
        <w:rPr>
          <w:rFonts w:ascii="arial" w:eastAsia="arial" w:hAnsi="arial" w:cs="arial"/>
          <w:color w:val="000000"/>
          <w:sz w:val="20"/>
          <w:lang w:val="en-US" w:eastAsia="en-US" w:bidi="ar-SA"/>
        </w:rPr>
        <w:t>  Unfortunately the first several meetings were taken up by the government representatives speaking about "policy" in vague terms. The government representatives discouraged BCTF representatives from asking questions about their position and were not interested in providing substantive answers.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348</w:t>
      </w:r>
      <w:r>
        <w:rPr>
          <w:rFonts w:ascii="arial" w:eastAsia="arial" w:hAnsi="arial" w:cs="arial"/>
          <w:color w:val="000000"/>
          <w:sz w:val="20"/>
          <w:lang w:val="en-US" w:eastAsia="en-US" w:bidi="ar-SA"/>
        </w:rPr>
        <w:t>  The evidence of Paul Straszak at trial suggested that at times he found the fact of questioning by BCTF representatives during government presentations to be inappropriate and disruptive.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349</w:t>
      </w:r>
      <w:r>
        <w:rPr>
          <w:rFonts w:ascii="arial" w:eastAsia="arial" w:hAnsi="arial" w:cs="arial"/>
          <w:color w:val="000000"/>
          <w:sz w:val="20"/>
          <w:lang w:val="en-US" w:eastAsia="en-US" w:bidi="ar-SA"/>
        </w:rPr>
        <w:t>  I find that the BCTF representatives were trying to understand the government positions, which were framed as explaining why the deleted contract language was contrary to government policy. This was a difficult framework for the BCTF representatives to understand, given that during the Bill 28 Action, the union had shown that the collective agreement terms were flexible, and given the absolutist nature of the government position which was not proposing new collective agreement language but instead seemed to be premised on a continued prohibition on collective bargaining.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350</w:t>
      </w:r>
      <w:r>
        <w:rPr>
          <w:rFonts w:ascii="arial" w:eastAsia="arial" w:hAnsi="arial" w:cs="arial"/>
          <w:color w:val="000000"/>
          <w:sz w:val="20"/>
          <w:lang w:val="en-US" w:eastAsia="en-US" w:bidi="ar-SA"/>
        </w:rPr>
        <w:t>  Part of good faith consultation requires giving the other side the opportunity to ask questions, and not simply going through the motions of meeting where one side lectures the other.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351</w:t>
      </w:r>
      <w:r>
        <w:rPr>
          <w:rFonts w:ascii="arial" w:eastAsia="arial" w:hAnsi="arial" w:cs="arial"/>
          <w:color w:val="000000"/>
          <w:sz w:val="20"/>
          <w:lang w:val="en-US" w:eastAsia="en-US" w:bidi="ar-SA"/>
        </w:rPr>
        <w:t xml:space="preserve">  In this regard, I find helpful the description of government consultation given by Saunders J.A. in </w:t>
      </w:r>
      <w:r>
        <w:rPr>
          <w:rFonts w:ascii="arial" w:eastAsia="arial" w:hAnsi="arial" w:cs="arial"/>
          <w:i/>
          <w:color w:val="000000"/>
          <w:sz w:val="20"/>
          <w:lang w:val="en-US" w:eastAsia="en-US" w:bidi="ar-SA"/>
        </w:rPr>
        <w:t>Gardner v. Williams Lake (City)</w:t>
      </w:r>
      <w:r>
        <w:rPr>
          <w:rFonts w:ascii="arial" w:eastAsia="arial" w:hAnsi="arial" w:cs="arial"/>
          <w:color w:val="000000"/>
          <w:sz w:val="20"/>
          <w:lang w:val="en-US" w:eastAsia="en-US" w:bidi="ar-SA"/>
        </w:rPr>
        <w:t xml:space="preserve">, </w:t>
      </w:r>
      <w:hyperlink r:id="rId861" w:history="1">
        <w:r>
          <w:rPr>
            <w:rFonts w:ascii="arial" w:eastAsia="arial" w:hAnsi="arial" w:cs="arial"/>
            <w:i/>
            <w:color w:val="0077CC"/>
            <w:sz w:val="20"/>
            <w:u w:val="single"/>
            <w:shd w:val="clear" w:color="auto" w:fill="FFFFFF"/>
            <w:lang w:val="en-US" w:eastAsia="en-US" w:bidi="ar-SA"/>
          </w:rPr>
          <w:t>2006 BCCA 307</w:t>
        </w:r>
      </w:hyperlink>
      <w:r>
        <w:rPr>
          <w:rFonts w:ascii="arial" w:eastAsia="arial" w:hAnsi="arial" w:cs="arial"/>
          <w:color w:val="000000"/>
          <w:sz w:val="20"/>
          <w:lang w:val="en-US" w:eastAsia="en-US" w:bidi="ar-SA"/>
        </w:rPr>
        <w:t xml:space="preserve"> at paras. 29-30:</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At a minimum, "consultation" anticipates bi-lateral communication in which the person consulted has the opportunity to question, to receive explanation and to provide comment to the local government upon the proposal. ... The essence of the requirement is that those consulted have the opportunity to question and provide their comment, and that the local government weigh that comment, before advancing in the legislative process.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the "consultation" conducted must be meaningful; that is, the consulting body must do more than pay lip service to the requirement.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352</w:t>
      </w:r>
      <w:r>
        <w:rPr>
          <w:rFonts w:ascii="arial" w:eastAsia="arial" w:hAnsi="arial" w:cs="arial"/>
          <w:color w:val="000000"/>
          <w:sz w:val="20"/>
          <w:lang w:val="en-US" w:eastAsia="en-US" w:bidi="ar-SA"/>
        </w:rPr>
        <w:t>  I find that the BCTF representatives wanted to get to the heart of the issue and they were understandably confused by the tactics of the government negotiating team which appeared to be wasting time and not addressing the issues. They sought to question the government representatives. These questions would have been welcomed had the government's representatives been sincerely wanting to have meaningful dialogue, but they were not.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353</w:t>
      </w:r>
      <w:r>
        <w:rPr>
          <w:rFonts w:ascii="arial" w:eastAsia="arial" w:hAnsi="arial" w:cs="arial"/>
          <w:color w:val="000000"/>
          <w:sz w:val="20"/>
          <w:lang w:val="en-US" w:eastAsia="en-US" w:bidi="ar-SA"/>
        </w:rPr>
        <w:t>  As but two examples: the union's repeated requests that the government explain its position on not returning the Working Conditions subjects to collective bargaining were ignored; the union's questioning of what factors were being used by the government representatives to belatedly review the deleted contract language and determine what language was acceptable or not, was also ignored.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354</w:t>
      </w:r>
      <w:r>
        <w:rPr>
          <w:rFonts w:ascii="arial" w:eastAsia="arial" w:hAnsi="arial" w:cs="arial"/>
          <w:color w:val="000000"/>
          <w:sz w:val="20"/>
          <w:lang w:val="en-US" w:eastAsia="en-US" w:bidi="ar-SA"/>
        </w:rPr>
        <w:t>  The government submits that the BCTF was unreasonable and showed an unwillingness to listen to the government position. The BCTF continually insisted on a two-fold result: a return of the subject matter of the Working Conditions to collective bargaining; and, a return of the deleted clauses to the collective agreement.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355</w:t>
      </w:r>
      <w:r>
        <w:rPr>
          <w:rFonts w:ascii="arial" w:eastAsia="arial" w:hAnsi="arial" w:cs="arial"/>
          <w:color w:val="000000"/>
          <w:sz w:val="20"/>
          <w:lang w:val="en-US" w:eastAsia="en-US" w:bidi="ar-SA"/>
        </w:rPr>
        <w:t>  I agree with the government that the BCTF linked the two issues together: a return to collective bargaining, and a return of the Working Conditions clauses to the collective agreement. However, this was responsive to the position of the government team, through Mr. Straszak, who linked these matters together in his starting approach and throughout. Had Mr. Straszak simply indicated that the government was willing to agree that the Working Conditions subject matter could be returned to the collective bargaining process, this issue then would have been de-linked from the issue of returning the collective agreement language. The parties could have then concentrated on what was acceptable or unacceptable about the contract language.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356</w:t>
      </w:r>
      <w:r>
        <w:rPr>
          <w:rFonts w:ascii="arial" w:eastAsia="arial" w:hAnsi="arial" w:cs="arial"/>
          <w:color w:val="000000"/>
          <w:sz w:val="20"/>
          <w:lang w:val="en-US" w:eastAsia="en-US" w:bidi="ar-SA"/>
        </w:rPr>
        <w:t>  But since the government insisted on starting from an extreme position, linking the two aspects of the unconstitutional legislation together, and insisting that all that was needed to fix the unconstitutional legislation was government consultation, the BCTF response position was rather predictable. If one side starts from an extreme position, it should not be surprised if the other side does not immediately compromise all that is important to it.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357</w:t>
      </w:r>
      <w:r>
        <w:rPr>
          <w:rFonts w:ascii="arial" w:eastAsia="arial" w:hAnsi="arial" w:cs="arial"/>
          <w:color w:val="000000"/>
          <w:sz w:val="20"/>
          <w:lang w:val="en-US" w:eastAsia="en-US" w:bidi="ar-SA"/>
        </w:rPr>
        <w:t>  I consider it a fair criticism that the BCTF representatives did not appear open to discussions about the costs implications of returning the Working Conditions clauses to the collective agreement until very late in the day. However part of the problem was the way this discussion was framed by the government, as though it was a problem with the language in the collective agreement or a problem with having any Working Conditions addressed in collective bargaining rather than an overall resources problem.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358</w:t>
      </w:r>
      <w:r>
        <w:rPr>
          <w:rFonts w:ascii="arial" w:eastAsia="arial" w:hAnsi="arial" w:cs="arial"/>
          <w:color w:val="000000"/>
          <w:sz w:val="20"/>
          <w:lang w:val="en-US" w:eastAsia="en-US" w:bidi="ar-SA"/>
        </w:rPr>
        <w:t>  Limits on resources are always going to be an issue in collective bargaining between employee and employer and will require trade-offs, with each side perhaps having different priorities and pressures. The costs issue would need to be addressed but it was difficult to do so as framed by the government negotiators.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359</w:t>
      </w:r>
      <w:r>
        <w:rPr>
          <w:rFonts w:ascii="arial" w:eastAsia="arial" w:hAnsi="arial" w:cs="arial"/>
          <w:color w:val="000000"/>
          <w:sz w:val="20"/>
          <w:lang w:val="en-US" w:eastAsia="en-US" w:bidi="ar-SA"/>
        </w:rPr>
        <w:t>  Had the government team moved more quickly to make proposals which addressed the right to collectively bargain over Working Conditions, perhaps real gains could have been made.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Avoidance of Unjustified Delays in Negotiations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360</w:t>
      </w:r>
      <w:r>
        <w:rPr>
          <w:rFonts w:ascii="arial" w:eastAsia="arial" w:hAnsi="arial" w:cs="arial"/>
          <w:color w:val="000000"/>
          <w:sz w:val="20"/>
          <w:lang w:val="en-US" w:eastAsia="en-US" w:bidi="ar-SA"/>
        </w:rPr>
        <w:t>  I find that the government waited too long to make a substantive proposal to the BCTF.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361</w:t>
      </w:r>
      <w:r>
        <w:rPr>
          <w:rFonts w:ascii="arial" w:eastAsia="arial" w:hAnsi="arial" w:cs="arial"/>
          <w:color w:val="000000"/>
          <w:sz w:val="20"/>
          <w:lang w:val="en-US" w:eastAsia="en-US" w:bidi="ar-SA"/>
        </w:rPr>
        <w:t>  Mr. Straszak's team wasted time in the first four months of negotiations with the BCTF by his strategy of trying to box the BCTF into accepting government "policy objectives" that were simply a restatement of matters that both sides should have been already well aware of as these matters had been the subject of extensive evidence as well as findings of fact in the Bill 28 Decision. The government's repeated attempt to state that the language in the 2001 Collective Agreement dealing with Working Conditions in fact impeded policy objectives of flexibility and choice was not in good faith, because the government representatives had not even read the deleted collective agreement language and so could hardly take an informed position on the matter.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362</w:t>
      </w:r>
      <w:r>
        <w:rPr>
          <w:rFonts w:ascii="arial" w:eastAsia="arial" w:hAnsi="arial" w:cs="arial"/>
          <w:color w:val="000000"/>
          <w:sz w:val="20"/>
          <w:lang w:val="en-US" w:eastAsia="en-US" w:bidi="ar-SA"/>
        </w:rPr>
        <w:t>  The time frame set by the government was to have any agreement with the BCTF completed by the end of November 2011. Yet the government negotiators did not address anything to do with a process that even slightly approached collective bargaining until the proposal made on October 27, 2011.</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363</w:t>
      </w:r>
      <w:r>
        <w:rPr>
          <w:rFonts w:ascii="arial" w:eastAsia="arial" w:hAnsi="arial" w:cs="arial"/>
          <w:color w:val="000000"/>
          <w:sz w:val="20"/>
          <w:lang w:val="en-US" w:eastAsia="en-US" w:bidi="ar-SA"/>
        </w:rPr>
        <w:t>  Even then, this proposal was only a modest nod to the union's stated concern that the government had not addressed its desire to be able to collectively bargain over Working Conditions. The October 27, 2011 government proposal allowed for union "consultation" only regarding the process for allocation of the COF, but all other collective bargaining rights flowing from the Bill 28 Decision were required to be released by the union and its members. If this proposal was accepted, the teachers as employees would continue to have no collective voice to negotiate over Working Conditions with the bargaining agent for employers.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364</w:t>
      </w:r>
      <w:r>
        <w:rPr>
          <w:rFonts w:ascii="arial" w:eastAsia="arial" w:hAnsi="arial" w:cs="arial"/>
          <w:color w:val="000000"/>
          <w:sz w:val="20"/>
          <w:lang w:val="en-US" w:eastAsia="en-US" w:bidi="ar-SA"/>
        </w:rPr>
        <w:t>  Further, there was not sufficient time within the government's deadline -- then only one month -- for the parties to meaningfully negotiate the components of this proposal and to address the BCTF's continued concerns that the proposal did not provide for any return to a right of employees to associate through the BCTF to influence their Working Conditions.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365</w:t>
      </w:r>
      <w:r>
        <w:rPr>
          <w:rFonts w:ascii="arial" w:eastAsia="arial" w:hAnsi="arial" w:cs="arial"/>
          <w:color w:val="000000"/>
          <w:sz w:val="20"/>
          <w:lang w:val="en-US" w:eastAsia="en-US" w:bidi="ar-SA"/>
        </w:rPr>
        <w:t>  As for delay by the BCTF, the context of negotiations required the government to make a real proposal to address the repercussions of the Bill 28 Decision, not for the BCTF to start with proposals. The government never did make a proposal that would address the loss of rights caused by Bill 28.</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366</w:t>
      </w:r>
      <w:r>
        <w:rPr>
          <w:rFonts w:ascii="arial" w:eastAsia="arial" w:hAnsi="arial" w:cs="arial"/>
          <w:color w:val="000000"/>
          <w:sz w:val="20"/>
          <w:lang w:val="en-US" w:eastAsia="en-US" w:bidi="ar-SA"/>
        </w:rPr>
        <w:t>  I do not find the BCTF's request for the Court's clarification which was heard in October 2011 to be an unjustified delay tactic. I find that the BCTF was understandably frustrated by the negotiating tactics of the government's team and Mr. Straszak's focus on "consultation" being all that the government needed to do to fix its unconstitutional legislation. I find that coming to Court for clarification was not an attempt by the union to block progress but to remove an impediment to progress in the negotiations.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Endeavouring to Reach an Agreement and to Strive to Find a Middle Ground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367</w:t>
      </w:r>
      <w:r>
        <w:rPr>
          <w:rFonts w:ascii="arial" w:eastAsia="arial" w:hAnsi="arial" w:cs="arial"/>
          <w:color w:val="000000"/>
          <w:sz w:val="20"/>
          <w:lang w:val="en-US" w:eastAsia="en-US" w:bidi="ar-SA"/>
        </w:rPr>
        <w:t>  If the nature of the proposals is "aimed at avoiding the conclusion of a collective agreement or destroying the collective bargaining relationship" then it will not be good faith negotiations (</w:t>
      </w:r>
      <w:r>
        <w:rPr>
          <w:rFonts w:ascii="arial" w:eastAsia="arial" w:hAnsi="arial" w:cs="arial"/>
          <w:i/>
          <w:color w:val="000000"/>
          <w:sz w:val="20"/>
          <w:lang w:val="en-US" w:eastAsia="en-US" w:bidi="ar-SA"/>
        </w:rPr>
        <w:t>Health Services</w:t>
      </w:r>
      <w:r>
        <w:rPr>
          <w:rFonts w:ascii="arial" w:eastAsia="arial" w:hAnsi="arial" w:cs="arial"/>
          <w:color w:val="000000"/>
          <w:sz w:val="20"/>
          <w:lang w:val="en-US" w:eastAsia="en-US" w:bidi="ar-SA"/>
        </w:rPr>
        <w:t>, at para. 105).</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368</w:t>
      </w:r>
      <w:r>
        <w:rPr>
          <w:rFonts w:ascii="arial" w:eastAsia="arial" w:hAnsi="arial" w:cs="arial"/>
          <w:color w:val="000000"/>
          <w:sz w:val="20"/>
          <w:lang w:val="en-US" w:eastAsia="en-US" w:bidi="ar-SA"/>
        </w:rPr>
        <w:t>  From the start of its post-Bill 28 Decision negotiation with the BCTF, the government had a strategy in mind that it would be to its benefit if negotiations failed and if collective bargaining resulted in a strike and impasse. This would give it the opportunity to pass legislation which would address the repercussions of the Bill 28 Decision, and at the same time, pass legislation imposing a new collective agreement with net zero compensation.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369</w:t>
      </w:r>
      <w:r>
        <w:rPr>
          <w:rFonts w:ascii="arial" w:eastAsia="arial" w:hAnsi="arial" w:cs="arial"/>
          <w:color w:val="000000"/>
          <w:sz w:val="20"/>
          <w:lang w:val="en-US" w:eastAsia="en-US" w:bidi="ar-SA"/>
        </w:rPr>
        <w:t>  To explain, I need to return to the collective bargaining context at the time.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370</w:t>
      </w:r>
      <w:r>
        <w:rPr>
          <w:rFonts w:ascii="arial" w:eastAsia="arial" w:hAnsi="arial" w:cs="arial"/>
          <w:color w:val="000000"/>
          <w:sz w:val="20"/>
          <w:lang w:val="en-US" w:eastAsia="en-US" w:bidi="ar-SA"/>
        </w:rPr>
        <w:t>  As mentioned, the 2006 Collective Agreement was set to expire in June 2011, and the parties to it, BCPSEA and BCTF, had commenced collective bargaining in March 2011.</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371</w:t>
      </w:r>
      <w:r>
        <w:rPr>
          <w:rFonts w:ascii="arial" w:eastAsia="arial" w:hAnsi="arial" w:cs="arial"/>
          <w:color w:val="000000"/>
          <w:sz w:val="20"/>
          <w:lang w:val="en-US" w:eastAsia="en-US" w:bidi="ar-SA"/>
        </w:rPr>
        <w:t>  The government typically gave mandates to PSEC and the public sector employers' associations, setting out the government's policy and fiscal directives for bargaining.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372</w:t>
      </w:r>
      <w:r>
        <w:rPr>
          <w:rFonts w:ascii="arial" w:eastAsia="arial" w:hAnsi="arial" w:cs="arial"/>
          <w:color w:val="000000"/>
          <w:sz w:val="20"/>
          <w:lang w:val="en-US" w:eastAsia="en-US" w:bidi="ar-SA"/>
        </w:rPr>
        <w:t>  Prior to the commencement of the 2011 round of collective bargaining with teachers, the government had in late 2009 issued a mandate to public sector employers for 2010 collective bargaining ("Mandate 2010").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373</w:t>
      </w:r>
      <w:r>
        <w:rPr>
          <w:rFonts w:ascii="arial" w:eastAsia="arial" w:hAnsi="arial" w:cs="arial"/>
          <w:color w:val="000000"/>
          <w:sz w:val="20"/>
          <w:lang w:val="en-US" w:eastAsia="en-US" w:bidi="ar-SA"/>
        </w:rPr>
        <w:t>  Mandate 2010 was colloquially known as the "net zero mandate" because it did not allow for any increase in total net compensation costs to the government. This meant that if a public sector union wanted an increase in benefits, for example, it would have to trade off something that resulted in an equal amount of savings for government. One example given was to "tilt" the pay line by decreasing the wage levels for entry level workers and increasing the wage level for more senior workers; another example was to decrease overtime rates to allow for a benefit increase.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374</w:t>
      </w:r>
      <w:r>
        <w:rPr>
          <w:rFonts w:ascii="arial" w:eastAsia="arial" w:hAnsi="arial" w:cs="arial"/>
          <w:color w:val="000000"/>
          <w:sz w:val="20"/>
          <w:lang w:val="en-US" w:eastAsia="en-US" w:bidi="ar-SA"/>
        </w:rPr>
        <w:t>  Mandate 2010 was the government's attempt to control costs following the global financial crisis in 2009. It applied to all public sector employees, including non-unionized employees. It applied to those unionized employees covered by collective agreements that expired between December 31, 2009, and March 31, 2012.</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375</w:t>
      </w:r>
      <w:r>
        <w:rPr>
          <w:rFonts w:ascii="arial" w:eastAsia="arial" w:hAnsi="arial" w:cs="arial"/>
          <w:color w:val="000000"/>
          <w:sz w:val="20"/>
          <w:lang w:val="en-US" w:eastAsia="en-US" w:bidi="ar-SA"/>
        </w:rPr>
        <w:t>  Several unions did settle collective agreements within the mandate. As the 2011 round of bargaining approached, the government felt that if this mandate was exceeded in bargaining with teachers, then it would likely have a cascading effect with other public sector unions.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376</w:t>
      </w:r>
      <w:r>
        <w:rPr>
          <w:rFonts w:ascii="arial" w:eastAsia="arial" w:hAnsi="arial" w:cs="arial"/>
          <w:color w:val="000000"/>
          <w:sz w:val="20"/>
          <w:lang w:val="en-US" w:eastAsia="en-US" w:bidi="ar-SA"/>
        </w:rPr>
        <w:t>  Mandate 2010 was still part of BCPSEA's mandate as of the 2011 round of bargaining. This aspect of the mandate meant that BCPSEA was not able to agree to any term in collective bargaining that would have the effect of raising the net cost to government. There was still room to make trade-offs within that limitation, however.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377</w:t>
      </w:r>
      <w:r>
        <w:rPr>
          <w:rFonts w:ascii="arial" w:eastAsia="arial" w:hAnsi="arial" w:cs="arial"/>
          <w:color w:val="000000"/>
          <w:sz w:val="20"/>
          <w:lang w:val="en-US" w:eastAsia="en-US" w:bidi="ar-SA"/>
        </w:rPr>
        <w:t>  Mandate 2010 imposed additional limits on BCPSEA's collective bargaining negotiations in that BCPSEA could not give up any existing "material" management rights. What was "material" was defined as including the right to set staffing levels, scheduling, promotion, contracting out, or any other significant aspects of directing the workforce.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378</w:t>
      </w:r>
      <w:r>
        <w:rPr>
          <w:rFonts w:ascii="arial" w:eastAsia="arial" w:hAnsi="arial" w:cs="arial"/>
          <w:color w:val="000000"/>
          <w:sz w:val="20"/>
          <w:lang w:val="en-US" w:eastAsia="en-US" w:bidi="ar-SA"/>
        </w:rPr>
        <w:t>  Mr. Straszak testified that the requirement to not give up material management rights had been a requirement in earlier mandates and did not preclude non-material concessions. It was his evidence that PSEC would provide guidance to any employer association needing feedback on what might be considered material management rights during the course of negotiations.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379</w:t>
      </w:r>
      <w:r>
        <w:rPr>
          <w:rFonts w:ascii="arial" w:eastAsia="arial" w:hAnsi="arial" w:cs="arial"/>
          <w:color w:val="000000"/>
          <w:sz w:val="20"/>
          <w:lang w:val="en-US" w:eastAsia="en-US" w:bidi="ar-SA"/>
        </w:rPr>
        <w:t>  In October 2010 and following, government officials began developing a list of the government's priorities for the upcoming collective bargaining between BCPSEA and the BCTF. As early as October 2010, government was contemplating imposing its objectives in a legislated collective agreement. These objectives included obtaining significant concessions from teachers in the areas of evaluation, professional development, and posting, filling, employee assignment and transfer rights. Eventually these objectives were formulated into a list which the government provided to BCPSEA as the concessions it wanted BCPSEA to pursue in collective bargaining.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380</w:t>
      </w:r>
      <w:r>
        <w:rPr>
          <w:rFonts w:ascii="arial" w:eastAsia="arial" w:hAnsi="arial" w:cs="arial"/>
          <w:color w:val="000000"/>
          <w:sz w:val="20"/>
          <w:lang w:val="en-US" w:eastAsia="en-US" w:bidi="ar-SA"/>
        </w:rPr>
        <w:t>  From before collective bargaining began in 2011, the government expected that the round of collective bargaining would likely fail to result in an agreement between the BCTF and BCPSEA. This is because the collective bargaining mandates government had issued to BCPSEA, combined with a continued prohibition on negotiation Working Conditions, were predicted by the government to be so unacceptable to the BCTF.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381</w:t>
      </w:r>
      <w:r>
        <w:rPr>
          <w:rFonts w:ascii="arial" w:eastAsia="arial" w:hAnsi="arial" w:cs="arial"/>
          <w:color w:val="000000"/>
          <w:sz w:val="20"/>
          <w:lang w:val="en-US" w:eastAsia="en-US" w:bidi="ar-SA"/>
        </w:rPr>
        <w:t>  The government thus expected from even before collective bargaining began in March 2011 that it would lead to the BCTF calling a strike.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382</w:t>
      </w:r>
      <w:r>
        <w:rPr>
          <w:rFonts w:ascii="arial" w:eastAsia="arial" w:hAnsi="arial" w:cs="arial"/>
          <w:color w:val="000000"/>
          <w:sz w:val="20"/>
          <w:lang w:val="en-US" w:eastAsia="en-US" w:bidi="ar-SA"/>
        </w:rPr>
        <w:t>  After the Bill 28 Decision came down against it, the government developed a broad political strategy to deal with the BCTF, both in respect of its settlement discussions following the Bill 28 Decision, and in respect of collective bargaining. Mr. Straszak was instrumental in the development of this broad strategy.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383</w:t>
      </w:r>
      <w:r>
        <w:rPr>
          <w:rFonts w:ascii="arial" w:eastAsia="arial" w:hAnsi="arial" w:cs="arial"/>
          <w:color w:val="000000"/>
          <w:sz w:val="20"/>
          <w:lang w:val="en-US" w:eastAsia="en-US" w:bidi="ar-SA"/>
        </w:rPr>
        <w:t>  The government saw that the failure of the two negotiating tables could be a useful political opportunity for it. As early as June 2011, the government was considering a strategy of a combined legislative response to an expected teachers' strike and to Bill 28. Mr. Straszak's internal notes indicate that the "aim" was "to put government in a position to deal with both at one time if possible (1 hit vs 2)". The expected legislation he had in mind as early as that time: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Will end legal strike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Will impose 0 compensation increase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Will impose concessions which advance education initiatives:</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evaluation, control over pro D, limit application of seniority for placement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Will NOT reinstate class size, comp provisions which were deemed unconstitutional</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Only balancing factor is whatever mandate is approved for Bill 28</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and most of that will be funded from within existing education budget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384</w:t>
      </w:r>
      <w:r>
        <w:rPr>
          <w:rFonts w:ascii="arial" w:eastAsia="arial" w:hAnsi="arial" w:cs="arial"/>
          <w:color w:val="000000"/>
          <w:sz w:val="20"/>
          <w:lang w:val="en-US" w:eastAsia="en-US" w:bidi="ar-SA"/>
        </w:rPr>
        <w:t>  The government thought that a teachers strike would give the government a political advantage in imposing legislation that the public might otherwise not support. It felt that the timing of legislation to deal with a teachers strike and failure of collective bargaining could fit conveniently with the timing of legislation to address the Bill 28 Decision repercussions. The government planned its strategy accordingly so that it could have one legislative initiative at the end of the one year suspension granted in the Bill 28 Decision.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385</w:t>
      </w:r>
      <w:r>
        <w:rPr>
          <w:rFonts w:ascii="arial" w:eastAsia="arial" w:hAnsi="arial" w:cs="arial"/>
          <w:color w:val="000000"/>
          <w:sz w:val="20"/>
          <w:lang w:val="en-US" w:eastAsia="en-US" w:bidi="ar-SA"/>
        </w:rPr>
        <w:t>  Rather than taking full strike action, instead the teachers withdrew some administrative, non-essential services, such as preparing report cards. Teachers continued to provide all teaching and classroom services.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386</w:t>
      </w:r>
      <w:r>
        <w:rPr>
          <w:rFonts w:ascii="arial" w:eastAsia="arial" w:hAnsi="arial" w:cs="arial"/>
          <w:color w:val="000000"/>
          <w:sz w:val="20"/>
          <w:lang w:val="en-US" w:eastAsia="en-US" w:bidi="ar-SA"/>
        </w:rPr>
        <w:t>  When a full strike did not materialize, so important was a strike to the government strategy that in September 2011, Mr. Straszak planned a government strategy of increasing the pressure on the union so as to provoke a strike.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387</w:t>
      </w:r>
      <w:r>
        <w:rPr>
          <w:rFonts w:ascii="arial" w:eastAsia="arial" w:hAnsi="arial" w:cs="arial"/>
          <w:color w:val="000000"/>
          <w:sz w:val="20"/>
          <w:lang w:val="en-US" w:eastAsia="en-US" w:bidi="ar-SA"/>
        </w:rPr>
        <w:t>  In furtherance of this strategy, the government sought to force school districts to cancel teachers' leaves and professional development days, including by reducing funding to school districts to get them to carry these measures out. Another aspect of these pressure tactics was to have BCPSEA apply for an order of the Labour Relations Board to vary previous essential services orders so that districts could reduce teachers' pay. This application was brought but was unsuccessful.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388</w:t>
      </w:r>
      <w:r>
        <w:rPr>
          <w:rFonts w:ascii="arial" w:eastAsia="arial" w:hAnsi="arial" w:cs="arial"/>
          <w:color w:val="000000"/>
          <w:sz w:val="20"/>
          <w:lang w:val="en-US" w:eastAsia="en-US" w:bidi="ar-SA"/>
        </w:rPr>
        <w:t>  Governments by their nature are political. There is nothing wrong with a government and its servant playing politics: that is what they do.</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389</w:t>
      </w:r>
      <w:r>
        <w:rPr>
          <w:rFonts w:ascii="arial" w:eastAsia="arial" w:hAnsi="arial" w:cs="arial"/>
          <w:color w:val="000000"/>
          <w:sz w:val="20"/>
          <w:lang w:val="en-US" w:eastAsia="en-US" w:bidi="ar-SA"/>
        </w:rPr>
        <w:t>  Nevertheless, I find that Mr. Straszak's key role in developing and pursuing this broader political agenda undermined the sincerity of Mr. Straszak's search to reach a solution in his discussions with the union following the Bill 28 Decision. The broader political agenda and the perceived potential gain for government if negotiations with the BCTF failed distracted Mr. Straszak from a goal of providing a process that truly sought agreement or truly took into account the union's views so as to allow it to influence working conditions of its members. Since Mr. Straszak saw significant political advantages to government if the discussions with the BCTF failed, it is not surprising that they did.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390</w:t>
      </w:r>
      <w:r>
        <w:rPr>
          <w:rFonts w:ascii="arial" w:eastAsia="arial" w:hAnsi="arial" w:cs="arial"/>
          <w:color w:val="000000"/>
          <w:sz w:val="20"/>
          <w:lang w:val="en-US" w:eastAsia="en-US" w:bidi="ar-SA"/>
        </w:rPr>
        <w:t>  This is another reflection of how the government and union negotiations were not akin to collective bargaining between employer association and employee association. Employer-employee association negotiations are structured so as to even the playing field, with each side having the potential to lose if no agreement is reached. This encourages each side to sincerely try to compromise and reach agreement.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391</w:t>
      </w:r>
      <w:r>
        <w:rPr>
          <w:rFonts w:ascii="arial" w:eastAsia="arial" w:hAnsi="arial" w:cs="arial"/>
          <w:color w:val="000000"/>
          <w:sz w:val="20"/>
          <w:lang w:val="en-US" w:eastAsia="en-US" w:bidi="ar-SA"/>
        </w:rPr>
        <w:t>  But with Mr. Straszak for the government on one side of the table across from the union, knowing it could serve the government's broader political goals if no agreement was reached, there was no equality of bargaining power. I find that there was no true will on the government side of the table to reach agreement in the discussions following Bill 28.</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392</w:t>
      </w:r>
      <w:r>
        <w:rPr>
          <w:rFonts w:ascii="arial" w:eastAsia="arial" w:hAnsi="arial" w:cs="arial"/>
          <w:color w:val="000000"/>
          <w:sz w:val="20"/>
          <w:lang w:val="en-US" w:eastAsia="en-US" w:bidi="ar-SA"/>
        </w:rPr>
        <w:t>  Perhaps this affirms the wisdom of the Korbin labour relations model: government is removed from the direct bargaining relationship with public sector employees and the bargaining takes place with the employer association which has a more direct interest in reaching agreement.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Source of Funding the Proposed COF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393</w:t>
      </w:r>
      <w:r>
        <w:rPr>
          <w:rFonts w:ascii="arial" w:eastAsia="arial" w:hAnsi="arial" w:cs="arial"/>
          <w:color w:val="000000"/>
          <w:sz w:val="20"/>
          <w:lang w:val="en-US" w:eastAsia="en-US" w:bidi="ar-SA"/>
        </w:rPr>
        <w:t>  The BCTF suggests that evidence of the government's bad faith in negotiations is the fact that the government did not earmark any new funds in education towards the COF proposal. Rather, the government packaged up its existing plans for funding and simply re-named it to suggest that new money was being put on the table.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394</w:t>
      </w:r>
      <w:r>
        <w:rPr>
          <w:rFonts w:ascii="arial" w:eastAsia="arial" w:hAnsi="arial" w:cs="arial"/>
          <w:color w:val="000000"/>
          <w:sz w:val="20"/>
          <w:lang w:val="en-US" w:eastAsia="en-US" w:bidi="ar-SA"/>
        </w:rPr>
        <w:t>  For example, in May 2011 the government was unveiling a new policy agenda in education with an emphasis on "teacher quality", such as new professional standards and a new disciplinary process; "personalized learning", including providing more choice for students and expanded use of technology; and "accountability", including gathering greater statistical data on schools and making it publicly available.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395</w:t>
      </w:r>
      <w:r>
        <w:rPr>
          <w:rFonts w:ascii="arial" w:eastAsia="arial" w:hAnsi="arial" w:cs="arial"/>
          <w:color w:val="000000"/>
          <w:sz w:val="20"/>
          <w:lang w:val="en-US" w:eastAsia="en-US" w:bidi="ar-SA"/>
        </w:rPr>
        <w:t>  Mr. Straszyk sought to use funds from the government's new education agenda as his monetary source if needed to settle class composition issues for teachers.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396</w:t>
      </w:r>
      <w:r>
        <w:rPr>
          <w:rFonts w:ascii="arial" w:eastAsia="arial" w:hAnsi="arial" w:cs="arial"/>
          <w:color w:val="000000"/>
          <w:sz w:val="20"/>
          <w:lang w:val="en-US" w:eastAsia="en-US" w:bidi="ar-SA"/>
        </w:rPr>
        <w:t>  Given that no agreement was reached, I do not find the fact of where the government was considering sourcing funds to settle with teachers relevant to the question of whether or not the government was consulting in good faith in a way that would ameliorate the interference with collective bargaining imposed by Bill 22.</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397</w:t>
      </w:r>
      <w:r>
        <w:rPr>
          <w:rFonts w:ascii="arial" w:eastAsia="arial" w:hAnsi="arial" w:cs="arial"/>
          <w:color w:val="000000"/>
          <w:sz w:val="20"/>
          <w:lang w:val="en-US" w:eastAsia="en-US" w:bidi="ar-SA"/>
        </w:rPr>
        <w:t>  I conclude that the government approach to its discussions with the BCTF regarding the repercussions of the Bill 28 Decision did not amount to consultation in good faith in the sense that would ameliorate the subsequent legislative violation of s. 2(d) rights by way of Bill 22, so as to make the legislative interference any less substantial.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398</w:t>
      </w:r>
      <w:r>
        <w:rPr>
          <w:rFonts w:ascii="arial" w:eastAsia="arial" w:hAnsi="arial" w:cs="arial"/>
          <w:color w:val="000000"/>
          <w:sz w:val="20"/>
          <w:lang w:val="en-US" w:eastAsia="en-US" w:bidi="ar-SA"/>
        </w:rPr>
        <w:t xml:space="preserve">  The government representatives did not engage in meaningful dialogue, listen to the employees' representations, avoid unnecessary delay, or make a reasonable effort to reach agreement, all factors in assessing good faith consultation: </w:t>
      </w:r>
      <w:r>
        <w:rPr>
          <w:rFonts w:ascii="arial" w:eastAsia="arial" w:hAnsi="arial" w:cs="arial"/>
          <w:i/>
          <w:color w:val="000000"/>
          <w:sz w:val="20"/>
          <w:lang w:val="en-US" w:eastAsia="en-US" w:bidi="ar-SA"/>
        </w:rPr>
        <w:t>Fraser</w:t>
      </w:r>
      <w:r>
        <w:rPr>
          <w:rFonts w:ascii="arial" w:eastAsia="arial" w:hAnsi="arial" w:cs="arial"/>
          <w:color w:val="000000"/>
          <w:sz w:val="20"/>
          <w:lang w:val="en-US" w:eastAsia="en-US" w:bidi="ar-SA"/>
        </w:rPr>
        <w:t>, at paras. 40-41. I therefore conclude that the process by which Bill 22 was implemented did not respect the duty to consult and negotiate in good faith.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399</w:t>
      </w:r>
      <w:r>
        <w:rPr>
          <w:rFonts w:ascii="arial" w:eastAsia="arial" w:hAnsi="arial" w:cs="arial"/>
          <w:color w:val="000000"/>
          <w:sz w:val="20"/>
          <w:lang w:val="en-US" w:eastAsia="en-US" w:bidi="ar-SA"/>
        </w:rPr>
        <w:t xml:space="preserve">  This Court already found in the Bill 28 Decision that the legislative provisions amounted to a substantial interference with the s. 2(d) </w:t>
      </w:r>
      <w:r>
        <w:rPr>
          <w:rFonts w:ascii="arial" w:eastAsia="arial" w:hAnsi="arial" w:cs="arial"/>
          <w:i/>
          <w:color w:val="000000"/>
          <w:sz w:val="20"/>
          <w:lang w:val="en-US" w:eastAsia="en-US" w:bidi="ar-SA"/>
        </w:rPr>
        <w:t>Charter</w:t>
      </w:r>
      <w:r>
        <w:rPr>
          <w:rFonts w:ascii="arial" w:eastAsia="arial" w:hAnsi="arial" w:cs="arial"/>
          <w:color w:val="000000"/>
          <w:sz w:val="20"/>
          <w:lang w:val="en-US" w:eastAsia="en-US" w:bidi="ar-SA"/>
        </w:rPr>
        <w:t xml:space="preserve"> rights of teachers. The subsequent discussions between the government and the BCTF made the Bill 22 Duplicative Provisions no less a substantial interference.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400</w:t>
      </w:r>
      <w:r>
        <w:rPr>
          <w:rFonts w:ascii="arial" w:eastAsia="arial" w:hAnsi="arial" w:cs="arial"/>
          <w:color w:val="000000"/>
          <w:sz w:val="20"/>
          <w:lang w:val="en-US" w:eastAsia="en-US" w:bidi="ar-SA"/>
        </w:rPr>
        <w:t>  The next question is whether the one change in the content of the Bill 22 Duplicative Provisions is such as to make the interference with s. 2(d) rights something less than substantial.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Issue 4: Does the Time Limit on the Collective Bargaining Prohibition in Bill 22 Change the Analysis of the Constitutionality of Either of the Bill 22 Duplicative Provisions?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401</w:t>
      </w:r>
      <w:r>
        <w:rPr>
          <w:rFonts w:ascii="arial" w:eastAsia="arial" w:hAnsi="arial" w:cs="arial"/>
          <w:color w:val="000000"/>
          <w:sz w:val="20"/>
          <w:lang w:val="en-US" w:eastAsia="en-US" w:bidi="ar-SA"/>
        </w:rPr>
        <w:t>  The only change to the re-enacted legislation which the government relies on as "saving" the previously found invalid provisions from being unconstitutional (combined with its pre-legislation "consultation" process), is the government's change to the length of time for which the legislative ban on collective bargaining would be in force.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402</w:t>
      </w:r>
      <w:r>
        <w:rPr>
          <w:rFonts w:ascii="arial" w:eastAsia="arial" w:hAnsi="arial" w:cs="arial"/>
          <w:color w:val="000000"/>
          <w:sz w:val="20"/>
          <w:lang w:val="en-US" w:eastAsia="en-US" w:bidi="ar-SA"/>
        </w:rPr>
        <w:t xml:space="preserve">  In the Bill 28 package of legislation, the legislation prohibited collective bargaining over the Working Conditions without any expiry date on this prohibition: s. 8 of </w:t>
      </w:r>
      <w:r>
        <w:rPr>
          <w:rFonts w:ascii="arial" w:eastAsia="arial" w:hAnsi="arial" w:cs="arial"/>
          <w:i/>
          <w:color w:val="000000"/>
          <w:sz w:val="20"/>
          <w:lang w:val="en-US" w:eastAsia="en-US" w:bidi="ar-SA"/>
        </w:rPr>
        <w:t>PEFCA</w:t>
      </w:r>
      <w:r>
        <w:rPr>
          <w:rFonts w:ascii="arial" w:eastAsia="arial" w:hAnsi="arial" w:cs="arial"/>
          <w:color w:val="000000"/>
          <w:sz w:val="20"/>
          <w:lang w:val="en-US" w:eastAsia="en-US" w:bidi="ar-SA"/>
        </w:rPr>
        <w:t xml:space="preserve"> which amended s. 27(3)(d) to (j) of the </w:t>
      </w:r>
      <w:r>
        <w:rPr>
          <w:rFonts w:ascii="arial" w:eastAsia="arial" w:hAnsi="arial" w:cs="arial"/>
          <w:i/>
          <w:color w:val="000000"/>
          <w:sz w:val="20"/>
          <w:lang w:val="en-US" w:eastAsia="en-US" w:bidi="ar-SA"/>
        </w:rPr>
        <w:t>School Act</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403</w:t>
      </w:r>
      <w:r>
        <w:rPr>
          <w:rFonts w:ascii="arial" w:eastAsia="arial" w:hAnsi="arial" w:cs="arial"/>
          <w:color w:val="000000"/>
          <w:sz w:val="20"/>
          <w:lang w:val="en-US" w:eastAsia="en-US" w:bidi="ar-SA"/>
        </w:rPr>
        <w:t xml:space="preserve">  In the Bill 22 package, one part of the legislation extended the prohibition on collective bargaining over the same things, but this time, the legislation had a built-in expiry date of June 30, 2013, some fourteen months later: s.13 of the </w:t>
      </w:r>
      <w:r>
        <w:rPr>
          <w:rFonts w:ascii="arial" w:eastAsia="arial" w:hAnsi="arial" w:cs="arial"/>
          <w:i/>
          <w:color w:val="000000"/>
          <w:sz w:val="20"/>
          <w:lang w:val="en-US" w:eastAsia="en-US" w:bidi="ar-SA"/>
        </w:rPr>
        <w:t>EIA</w:t>
      </w:r>
      <w:r>
        <w:rPr>
          <w:rFonts w:ascii="arial" w:eastAsia="arial" w:hAnsi="arial" w:cs="arial"/>
          <w:color w:val="000000"/>
          <w:sz w:val="20"/>
          <w:lang w:val="en-US" w:eastAsia="en-US" w:bidi="ar-SA"/>
        </w:rPr>
        <w:t xml:space="preserve">, re-enacting s. 27(3)(d) to (j) of the </w:t>
      </w:r>
      <w:r>
        <w:rPr>
          <w:rFonts w:ascii="arial" w:eastAsia="arial" w:hAnsi="arial" w:cs="arial"/>
          <w:i/>
          <w:color w:val="000000"/>
          <w:sz w:val="20"/>
          <w:lang w:val="en-US" w:eastAsia="en-US" w:bidi="ar-SA"/>
        </w:rPr>
        <w:t>School Act</w:t>
      </w:r>
      <w:r>
        <w:rPr>
          <w:rFonts w:ascii="arial" w:eastAsia="arial" w:hAnsi="arial" w:cs="arial"/>
          <w:color w:val="000000"/>
          <w:sz w:val="20"/>
          <w:lang w:val="en-US" w:eastAsia="en-US" w:bidi="ar-SA"/>
        </w:rPr>
        <w:t xml:space="preserve">, but also enacting s. 27(7) of the </w:t>
      </w:r>
      <w:r>
        <w:rPr>
          <w:rFonts w:ascii="arial" w:eastAsia="arial" w:hAnsi="arial" w:cs="arial"/>
          <w:i/>
          <w:color w:val="000000"/>
          <w:sz w:val="20"/>
          <w:lang w:val="en-US" w:eastAsia="en-US" w:bidi="ar-SA"/>
        </w:rPr>
        <w:t>School Act</w:t>
      </w:r>
      <w:r>
        <w:rPr>
          <w:rFonts w:ascii="arial" w:eastAsia="arial" w:hAnsi="arial" w:cs="arial"/>
          <w:color w:val="000000"/>
          <w:sz w:val="20"/>
          <w:lang w:val="en-US" w:eastAsia="en-US" w:bidi="ar-SA"/>
        </w:rPr>
        <w:t xml:space="preserve"> which repeals ss. 27(3)(d) to (j) on June 30, 2013.</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404</w:t>
      </w:r>
      <w:r>
        <w:rPr>
          <w:rFonts w:ascii="arial" w:eastAsia="arial" w:hAnsi="arial" w:cs="arial"/>
          <w:color w:val="000000"/>
          <w:sz w:val="20"/>
          <w:lang w:val="en-US" w:eastAsia="en-US" w:bidi="ar-SA"/>
        </w:rPr>
        <w:t xml:space="preserve">  But in the Bill 22 package, the legislative deletion of past collectively bargained terms was virtually identical to that which had been declared invalid in the Bill 28 Decision: ss. 8 and 24 of the </w:t>
      </w:r>
      <w:r>
        <w:rPr>
          <w:rFonts w:ascii="arial" w:eastAsia="arial" w:hAnsi="arial" w:cs="arial"/>
          <w:i/>
          <w:color w:val="000000"/>
          <w:sz w:val="20"/>
          <w:lang w:val="en-US" w:eastAsia="en-US" w:bidi="ar-SA"/>
        </w:rPr>
        <w:t>EIA</w:t>
      </w:r>
      <w:r>
        <w:rPr>
          <w:rFonts w:ascii="arial" w:eastAsia="arial" w:hAnsi="arial" w:cs="arial"/>
          <w:color w:val="000000"/>
          <w:sz w:val="20"/>
          <w:lang w:val="en-US" w:eastAsia="en-US" w:bidi="ar-SA"/>
        </w:rPr>
        <w:t>. This legislative deletion of past collective agreement terms has no time limit: these terms are gone retroactive to when they were first part of the collective agreement, to July 2002, and thereafter.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405</w:t>
      </w:r>
      <w:r>
        <w:rPr>
          <w:rFonts w:ascii="arial" w:eastAsia="arial" w:hAnsi="arial" w:cs="arial"/>
          <w:color w:val="000000"/>
          <w:sz w:val="20"/>
          <w:lang w:val="en-US" w:eastAsia="en-US" w:bidi="ar-SA"/>
        </w:rPr>
        <w:t>  The questions are whether the shorter time limit on the legislative prohibition of bargaining cures or saves the Bill 22 Duplicative Provisions, either:</w:t>
      </w:r>
      <w:r>
        <w:rPr>
          <w:rFonts w:ascii="arial" w:eastAsia="arial" w:hAnsi="arial" w:cs="arial"/>
          <w:sz w:val="20"/>
          <w:lang w:val="en-US" w:eastAsia="en-US" w:bidi="ar-SA"/>
        </w:rPr>
        <w:cr/>
      </w:r>
    </w:p>
    <w:p>
      <w:pPr>
        <w:numPr>
          <w:numId w:val="7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Bill 22 provisions prohibiting collective bargaining on the Working Conditions until June 30, 2013; or,</w:t>
      </w:r>
    </w:p>
    <w:p>
      <w:pPr>
        <w:numPr>
          <w:numId w:val="7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Bill 22 provisions which re-deleted terms of the BCTF collective agreement dealing with the Working Conditions, retroactive to July 2002.</w:t>
      </w:r>
    </w:p>
    <w:p>
      <w:pPr>
        <w:spacing w:before="120"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Continued Prohibition on Bargaining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406</w:t>
      </w:r>
      <w:r>
        <w:rPr>
          <w:rFonts w:ascii="arial" w:eastAsia="arial" w:hAnsi="arial" w:cs="arial"/>
          <w:color w:val="000000"/>
          <w:sz w:val="20"/>
          <w:lang w:val="en-US" w:eastAsia="en-US" w:bidi="ar-SA"/>
        </w:rPr>
        <w:t xml:space="preserve">  Dealing first with the time-limited prohibition on collective bargaining over the subject matter of the Working Conditions, the government describes Bill 22, specifically s. 13 of the </w:t>
      </w:r>
      <w:r>
        <w:rPr>
          <w:rFonts w:ascii="arial" w:eastAsia="arial" w:hAnsi="arial" w:cs="arial"/>
          <w:i/>
          <w:color w:val="000000"/>
          <w:sz w:val="20"/>
          <w:lang w:val="en-US" w:eastAsia="en-US" w:bidi="ar-SA"/>
        </w:rPr>
        <w:t>EIA</w:t>
      </w:r>
      <w:r>
        <w:rPr>
          <w:rFonts w:ascii="arial" w:eastAsia="arial" w:hAnsi="arial" w:cs="arial"/>
          <w:color w:val="000000"/>
          <w:sz w:val="20"/>
          <w:lang w:val="en-US" w:eastAsia="en-US" w:bidi="ar-SA"/>
        </w:rPr>
        <w:t>, as extending the legislative prohibition on bargaining but restoring the right to collectively bargain as of June 30, 2013.</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407</w:t>
      </w:r>
      <w:r>
        <w:rPr>
          <w:rFonts w:ascii="arial" w:eastAsia="arial" w:hAnsi="arial" w:cs="arial"/>
          <w:color w:val="000000"/>
          <w:sz w:val="20"/>
          <w:lang w:val="en-US" w:eastAsia="en-US" w:bidi="ar-SA"/>
        </w:rPr>
        <w:t xml:space="preserve">  The government witnesses testified that there were two reasons for extending the legislative prohibition on bargaining over Working Conditions. One reason was that by the time of the enactment of the </w:t>
      </w:r>
      <w:r>
        <w:rPr>
          <w:rFonts w:ascii="arial" w:eastAsia="arial" w:hAnsi="arial" w:cs="arial"/>
          <w:i/>
          <w:color w:val="000000"/>
          <w:sz w:val="20"/>
          <w:lang w:val="en-US" w:eastAsia="en-US" w:bidi="ar-SA"/>
        </w:rPr>
        <w:t>EIA</w:t>
      </w:r>
      <w:r>
        <w:rPr>
          <w:rFonts w:ascii="arial" w:eastAsia="arial" w:hAnsi="arial" w:cs="arial"/>
          <w:color w:val="000000"/>
          <w:sz w:val="20"/>
          <w:lang w:val="en-US" w:eastAsia="en-US" w:bidi="ar-SA"/>
        </w:rPr>
        <w:t xml:space="preserve"> in early 2012, bargaining between the BCTF and BCPSEA had reached an impasse. The government witnesses say that adding the Working Conditions issues was not considered "productive" to the collective bargaining.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408</w:t>
      </w:r>
      <w:r>
        <w:rPr>
          <w:rFonts w:ascii="arial" w:eastAsia="arial" w:hAnsi="arial" w:cs="arial"/>
          <w:color w:val="000000"/>
          <w:sz w:val="20"/>
          <w:lang w:val="en-US" w:eastAsia="en-US" w:bidi="ar-SA"/>
        </w:rPr>
        <w:t>  The second reason was that government thought returning the Working Conditions to collective bargaining would have been disruptive to school districts planning for the 2012-2013 school year.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409</w:t>
      </w:r>
      <w:r>
        <w:rPr>
          <w:rFonts w:ascii="arial" w:eastAsia="arial" w:hAnsi="arial" w:cs="arial"/>
          <w:color w:val="000000"/>
          <w:sz w:val="20"/>
          <w:lang w:val="en-US" w:eastAsia="en-US" w:bidi="ar-SA"/>
        </w:rPr>
        <w:t xml:space="preserve">  For the above two reasons, the government submits that instead of "restoring" the right to collectively bargain on the Working Conditions immediately, the government "opted" to attempt to achieve a mediated settlement to get the parties through the ensuing school year. The government submits that this is why the </w:t>
      </w:r>
      <w:r>
        <w:rPr>
          <w:rFonts w:ascii="arial" w:eastAsia="arial" w:hAnsi="arial" w:cs="arial"/>
          <w:i/>
          <w:color w:val="000000"/>
          <w:sz w:val="20"/>
          <w:lang w:val="en-US" w:eastAsia="en-US" w:bidi="ar-SA"/>
        </w:rPr>
        <w:t>EIA</w:t>
      </w:r>
      <w:r>
        <w:rPr>
          <w:rFonts w:ascii="arial" w:eastAsia="arial" w:hAnsi="arial" w:cs="arial"/>
          <w:color w:val="000000"/>
          <w:sz w:val="20"/>
          <w:lang w:val="en-US" w:eastAsia="en-US" w:bidi="ar-SA"/>
        </w:rPr>
        <w:t xml:space="preserve"> also provided for the appointment of a mediator in relation to the ongoing collective bargaining and 2011-2013 collective agreement.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410</w:t>
      </w:r>
      <w:r>
        <w:rPr>
          <w:rFonts w:ascii="arial" w:eastAsia="arial" w:hAnsi="arial" w:cs="arial"/>
          <w:color w:val="000000"/>
          <w:sz w:val="20"/>
          <w:lang w:val="en-US" w:eastAsia="en-US" w:bidi="ar-SA"/>
        </w:rPr>
        <w:t>  These arguments are not supported by the evidence or by logic.</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411</w:t>
      </w:r>
      <w:r>
        <w:rPr>
          <w:rFonts w:ascii="arial" w:eastAsia="arial" w:hAnsi="arial" w:cs="arial"/>
          <w:color w:val="000000"/>
          <w:sz w:val="20"/>
          <w:lang w:val="en-US" w:eastAsia="en-US" w:bidi="ar-SA"/>
        </w:rPr>
        <w:t>  Essentially the government argument is that because it decided not to restore collective bargaining over the Working Conditions immediately upon the Bill 28 Decision being rendered, despite a fresh round of collective bargaining having just begun, it decided to extend the prohibition on collective bargaining until the next round of bargaining. This is not a valid reason.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412</w:t>
      </w:r>
      <w:r>
        <w:rPr>
          <w:rFonts w:ascii="arial" w:eastAsia="arial" w:hAnsi="arial" w:cs="arial"/>
          <w:color w:val="000000"/>
          <w:sz w:val="20"/>
          <w:lang w:val="en-US" w:eastAsia="en-US" w:bidi="ar-SA"/>
        </w:rPr>
        <w:t>  When in the Bill 28 Decision the Court suspended the declaration of invalidity of the legislation restricting collective bargaining for twelve months, this was to allow the government choices. The government had the choice of repealing the legislation immediately rather than waiting for the one year when the legislation would be automatically invalid. The argument that collective bargaining will be difficult, and that school districts could be affected depending on the outcome of bargaining, applies no matter when the Working Conditions matters are returned to the bargaining table.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413</w:t>
      </w:r>
      <w:r>
        <w:rPr>
          <w:rFonts w:ascii="arial" w:eastAsia="arial" w:hAnsi="arial" w:cs="arial"/>
          <w:color w:val="000000"/>
          <w:sz w:val="20"/>
          <w:lang w:val="en-US" w:eastAsia="en-US" w:bidi="ar-SA"/>
        </w:rPr>
        <w:t>  I do not criticize the government for its choice to rely on this Court's one year suspension of the invalidity of the legislation. However, the government cannot use the fact of the stay as an excuse for it later unilaterally extending the unconstitutional legislation.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414</w:t>
      </w:r>
      <w:r>
        <w:rPr>
          <w:rFonts w:ascii="arial" w:eastAsia="arial" w:hAnsi="arial" w:cs="arial"/>
          <w:color w:val="000000"/>
          <w:sz w:val="20"/>
          <w:lang w:val="en-US" w:eastAsia="en-US" w:bidi="ar-SA"/>
        </w:rPr>
        <w:t>  If the government was concerned about the return of the right to collectively bargain over Working Conditions occurring late in the bargaining process, the government has never offered any reason for not repealing the legislative prohibition immediately after the Bill 28 Decision. There was a perfect opportunity to do so given that collective bargaining had just started. This would have given the BCTF and BCPSEA ample time to try to reach agreement on these issues, and if school districts were going to be affected, ample time to adjust. Even if an impasse was reached, there is no logical reason why delaying the discussions until the next round of collective bargaining would be preferable.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415</w:t>
      </w:r>
      <w:r>
        <w:rPr>
          <w:rFonts w:ascii="arial" w:eastAsia="arial" w:hAnsi="arial" w:cs="arial"/>
          <w:color w:val="000000"/>
          <w:sz w:val="20"/>
          <w:lang w:val="en-US" w:eastAsia="en-US" w:bidi="ar-SA"/>
        </w:rPr>
        <w:t>  The argument that school districts might be disrupted if collective bargaining was permitted immediately is also flawed logic. Delaying bargaining just delays the impact, it does not remove the impact. But how and when school districts might be affected by collective bargaining over the Working Conditions would depend on the outcome of the collective bargaining, not on the process being permitted. The impact on school districts would naturally be part of the discussions at the bargaining table between BCPSEA and the BCTF.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416</w:t>
      </w:r>
      <w:r>
        <w:rPr>
          <w:rFonts w:ascii="arial" w:eastAsia="arial" w:hAnsi="arial" w:cs="arial"/>
          <w:color w:val="000000"/>
          <w:sz w:val="20"/>
          <w:lang w:val="en-US" w:eastAsia="en-US" w:bidi="ar-SA"/>
        </w:rPr>
        <w:t>  Furthermore, the government evidence that by early 2012 it did not think that adding these matters to collective bargaining would be "productive" suggests that the government expected and wanted collective bargaining to be productive. The evidence is otherwise.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417</w:t>
      </w:r>
      <w:r>
        <w:rPr>
          <w:rFonts w:ascii="arial" w:eastAsia="arial" w:hAnsi="arial" w:cs="arial"/>
          <w:color w:val="000000"/>
          <w:sz w:val="20"/>
          <w:lang w:val="en-US" w:eastAsia="en-US" w:bidi="ar-SA"/>
        </w:rPr>
        <w:t>  As already mentioned, the government expected collective bargaining to fail. This expectation existed even before collective bargaining commenced in the 2011 round, in large part because of the hard fiscal and policy positions the government was asking BCPSEA to take in bargaining with the union.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418</w:t>
      </w:r>
      <w:r>
        <w:rPr>
          <w:rFonts w:ascii="arial" w:eastAsia="arial" w:hAnsi="arial" w:cs="arial"/>
          <w:color w:val="000000"/>
          <w:sz w:val="20"/>
          <w:lang w:val="en-US" w:eastAsia="en-US" w:bidi="ar-SA"/>
        </w:rPr>
        <w:t>  The government expected that the BCPSEA positions would be so difficult for the union to accept that the union would take strike action.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419</w:t>
      </w:r>
      <w:r>
        <w:rPr>
          <w:rFonts w:ascii="arial" w:eastAsia="arial" w:hAnsi="arial" w:cs="arial"/>
          <w:color w:val="000000"/>
          <w:sz w:val="20"/>
          <w:lang w:val="en-US" w:eastAsia="en-US" w:bidi="ar-SA"/>
        </w:rPr>
        <w:t>  When the BCTF did not respond by calling a full strike the government followed Mr. Straszak's recommended strategy to engage in pressure tactics to try to provoke a strike.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420</w:t>
      </w:r>
      <w:r>
        <w:rPr>
          <w:rFonts w:ascii="arial" w:eastAsia="arial" w:hAnsi="arial" w:cs="arial"/>
          <w:color w:val="000000"/>
          <w:sz w:val="20"/>
          <w:lang w:val="en-US" w:eastAsia="en-US" w:bidi="ar-SA"/>
        </w:rPr>
        <w:t>  These pressure tactics did not succeed in provoking a full-scale strike by the BCTF. But the point is that the evidence is very far from supporting the government argument that it did not return the Working Conditions to collective bargaining earlier because it wanted collective bargaining to be productive.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421</w:t>
      </w:r>
      <w:r>
        <w:rPr>
          <w:rFonts w:ascii="arial" w:eastAsia="arial" w:hAnsi="arial" w:cs="arial"/>
          <w:color w:val="000000"/>
          <w:sz w:val="20"/>
          <w:lang w:val="en-US" w:eastAsia="en-US" w:bidi="ar-SA"/>
        </w:rPr>
        <w:t>  I have concluded on the evidence that the reason that the government did not return the right to collective bargain over the Working Conditions earlier, is that it wanted to use the threat of not restoring these rights as part of its negotiating leverage over the union, in the post-Bill 28 discussions.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422</w:t>
      </w:r>
      <w:r>
        <w:rPr>
          <w:rFonts w:ascii="arial" w:eastAsia="arial" w:hAnsi="arial" w:cs="arial"/>
          <w:color w:val="000000"/>
          <w:sz w:val="20"/>
          <w:lang w:val="en-US" w:eastAsia="en-US" w:bidi="ar-SA"/>
        </w:rPr>
        <w:t>  The BCTF was seeking to add the Working Conditions issues to the bargaining table immediately upon the Bill 28 Decision being rendered. The government refused, and its representative, Mr. Straszak, took the position with the BCTF that these matters did not need to be returned to collective bargaining so long as the government "consulted" with the union. In those consultations, the government representatives did not offer to restore the union's right to collectively bargain over Working Conditions immediately, on a delayed basis or ever.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423</w:t>
      </w:r>
      <w:r>
        <w:rPr>
          <w:rFonts w:ascii="arial" w:eastAsia="arial" w:hAnsi="arial" w:cs="arial"/>
          <w:color w:val="000000"/>
          <w:sz w:val="20"/>
          <w:lang w:val="en-US" w:eastAsia="en-US" w:bidi="ar-SA"/>
        </w:rPr>
        <w:t>  I also do not accept as a matter of fact that the legislated mediation process had anything to do with the government's decision to extend the prohibition on collective bargaining over the Working Conditions. The mediator's mandate was very narrow based on the legislation appointing him and he was not legally permitted to mediate any of the Working Conditions issues.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424</w:t>
      </w:r>
      <w:r>
        <w:rPr>
          <w:rFonts w:ascii="arial" w:eastAsia="arial" w:hAnsi="arial" w:cs="arial"/>
          <w:color w:val="000000"/>
          <w:sz w:val="20"/>
          <w:lang w:val="en-US" w:eastAsia="en-US" w:bidi="ar-SA"/>
        </w:rPr>
        <w:t>  The union's right to collectively bargain over the Working Conditions issues was restored by this Court's ruling in the Bill 28 Decision. Bill 22 took away the union's right once again.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425</w:t>
      </w:r>
      <w:r>
        <w:rPr>
          <w:rFonts w:ascii="arial" w:eastAsia="arial" w:hAnsi="arial" w:cs="arial"/>
          <w:color w:val="000000"/>
          <w:sz w:val="20"/>
          <w:lang w:val="en-US" w:eastAsia="en-US" w:bidi="ar-SA"/>
        </w:rPr>
        <w:t>  The union argues that in fact what the government did was take this Court's one year suspension of the declaration of invalidity of the identical Bill 28 legislation and then unilaterally extend that for another fourteen months. If the government wished a greater time period for suspension of the declaration of invalidity, the union argues that the government ought to have approached the court for an extension. This did not happen and there is no need for me to comment further other than to say that I have rejected the government's argument that the extension of the legislative prohibition was justified.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Repeated Deletion of Working Conditions Terms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426</w:t>
      </w:r>
      <w:r>
        <w:rPr>
          <w:rFonts w:ascii="arial" w:eastAsia="arial" w:hAnsi="arial" w:cs="arial"/>
          <w:color w:val="000000"/>
          <w:sz w:val="20"/>
          <w:lang w:val="en-US" w:eastAsia="en-US" w:bidi="ar-SA"/>
        </w:rPr>
        <w:t>  I turn now to address the Bill 22 Duplicative Provisions which duplicated the deletion of hundreds of clauses of the collective agreement retroactively. The argument by the government is that the deletion of past negotiated terms of a collective agreement is not substantial interference when the right to continue to collectively bargain over the same subject matters continues.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427</w:t>
      </w:r>
      <w:r>
        <w:rPr>
          <w:rFonts w:ascii="arial" w:eastAsia="arial" w:hAnsi="arial" w:cs="arial"/>
          <w:color w:val="000000"/>
          <w:sz w:val="20"/>
          <w:lang w:val="en-US" w:eastAsia="en-US" w:bidi="ar-SA"/>
        </w:rPr>
        <w:t xml:space="preserve">  The government submits correctly that s. 2(d) of the </w:t>
      </w:r>
      <w:r>
        <w:rPr>
          <w:rFonts w:ascii="arial" w:eastAsia="arial" w:hAnsi="arial" w:cs="arial"/>
          <w:i/>
          <w:color w:val="000000"/>
          <w:sz w:val="20"/>
          <w:lang w:val="en-US" w:eastAsia="en-US" w:bidi="ar-SA"/>
        </w:rPr>
        <w:t>Charter</w:t>
      </w:r>
      <w:r>
        <w:rPr>
          <w:rFonts w:ascii="arial" w:eastAsia="arial" w:hAnsi="arial" w:cs="arial"/>
          <w:color w:val="000000"/>
          <w:sz w:val="20"/>
          <w:lang w:val="en-US" w:eastAsia="en-US" w:bidi="ar-SA"/>
        </w:rPr>
        <w:t xml:space="preserve"> does not protect the fruits of association, just the process of association, as confirmed in </w:t>
      </w:r>
      <w:r>
        <w:rPr>
          <w:rFonts w:ascii="arial" w:eastAsia="arial" w:hAnsi="arial" w:cs="arial"/>
          <w:i/>
          <w:color w:val="000000"/>
          <w:sz w:val="20"/>
          <w:lang w:val="en-US" w:eastAsia="en-US" w:bidi="ar-SA"/>
        </w:rPr>
        <w:t>Fraser</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428</w:t>
      </w:r>
      <w:r>
        <w:rPr>
          <w:rFonts w:ascii="arial" w:eastAsia="arial" w:hAnsi="arial" w:cs="arial"/>
          <w:color w:val="000000"/>
          <w:sz w:val="20"/>
          <w:lang w:val="en-US" w:eastAsia="en-US" w:bidi="ar-SA"/>
        </w:rPr>
        <w:t>  The government argues in its written submission as follows: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final point of clarification in </w:t>
      </w:r>
      <w:r>
        <w:rPr>
          <w:rFonts w:ascii="arial" w:eastAsia="arial" w:hAnsi="arial" w:cs="arial"/>
          <w:i/>
          <w:color w:val="000000"/>
          <w:sz w:val="20"/>
          <w:lang w:val="en-US" w:eastAsia="en-US" w:bidi="ar-SA"/>
        </w:rPr>
        <w:t>Fraser</w:t>
      </w:r>
      <w:r>
        <w:rPr>
          <w:rFonts w:ascii="arial" w:eastAsia="arial" w:hAnsi="arial" w:cs="arial"/>
          <w:color w:val="000000"/>
          <w:sz w:val="20"/>
          <w:lang w:val="en-US" w:eastAsia="en-US" w:bidi="ar-SA"/>
        </w:rPr>
        <w:t xml:space="preserve">, a critical one for present purposes, arises from Justice Rothstein's criticism that </w:t>
      </w:r>
      <w:r>
        <w:rPr>
          <w:rFonts w:ascii="arial" w:eastAsia="arial" w:hAnsi="arial" w:cs="arial"/>
          <w:i/>
          <w:color w:val="000000"/>
          <w:sz w:val="20"/>
          <w:lang w:val="en-US" w:eastAsia="en-US" w:bidi="ar-SA"/>
        </w:rPr>
        <w:t>Health Services</w:t>
      </w:r>
      <w:r>
        <w:rPr>
          <w:rFonts w:ascii="arial" w:eastAsia="arial" w:hAnsi="arial" w:cs="arial"/>
          <w:color w:val="000000"/>
          <w:sz w:val="20"/>
          <w:lang w:val="en-US" w:eastAsia="en-US" w:bidi="ar-SA"/>
        </w:rPr>
        <w:t xml:space="preserve"> placed "</w:t>
      </w:r>
      <w:r>
        <w:rPr>
          <w:rFonts w:ascii="arial" w:eastAsia="arial" w:hAnsi="arial" w:cs="arial"/>
          <w:i/>
          <w:color w:val="000000"/>
          <w:sz w:val="20"/>
          <w:lang w:val="en-US" w:eastAsia="en-US" w:bidi="ar-SA"/>
        </w:rPr>
        <w:t>contracts above statutes in the traditional hierarchy of laws</w:t>
      </w:r>
      <w:r>
        <w:rPr>
          <w:rFonts w:ascii="arial" w:eastAsia="arial" w:hAnsi="arial" w:cs="arial"/>
          <w:color w:val="000000"/>
          <w:sz w:val="20"/>
          <w:lang w:val="en-US" w:eastAsia="en-US" w:bidi="ar-SA"/>
        </w:rPr>
        <w:t>" (</w:t>
      </w:r>
      <w:r>
        <w:rPr>
          <w:rFonts w:ascii="arial" w:eastAsia="arial" w:hAnsi="arial" w:cs="arial"/>
          <w:i/>
          <w:color w:val="000000"/>
          <w:sz w:val="20"/>
          <w:lang w:val="en-US" w:eastAsia="en-US" w:bidi="ar-SA"/>
        </w:rPr>
        <w:t>Fraser</w:t>
      </w:r>
      <w:r>
        <w:rPr>
          <w:rFonts w:ascii="arial" w:eastAsia="arial" w:hAnsi="arial" w:cs="arial"/>
          <w:color w:val="000000"/>
          <w:sz w:val="20"/>
          <w:lang w:val="en-US" w:eastAsia="en-US" w:bidi="ar-SA"/>
        </w:rPr>
        <w:t xml:space="preserve">, at para. 216). This interpretation of </w:t>
      </w:r>
      <w:r>
        <w:rPr>
          <w:rFonts w:ascii="arial" w:eastAsia="arial" w:hAnsi="arial" w:cs="arial"/>
          <w:i/>
          <w:color w:val="000000"/>
          <w:sz w:val="20"/>
          <w:lang w:val="en-US" w:eastAsia="en-US" w:bidi="ar-SA"/>
        </w:rPr>
        <w:t>Health Services</w:t>
      </w:r>
      <w:r>
        <w:rPr>
          <w:rFonts w:ascii="arial" w:eastAsia="arial" w:hAnsi="arial" w:cs="arial"/>
          <w:color w:val="000000"/>
          <w:sz w:val="20"/>
          <w:lang w:val="en-US" w:eastAsia="en-US" w:bidi="ar-SA"/>
        </w:rPr>
        <w:t xml:space="preserve"> was expressly rejected by the majority in </w:t>
      </w:r>
      <w:r>
        <w:rPr>
          <w:rFonts w:ascii="arial" w:eastAsia="arial" w:hAnsi="arial" w:cs="arial"/>
          <w:i/>
          <w:color w:val="000000"/>
          <w:sz w:val="20"/>
          <w:lang w:val="en-US" w:eastAsia="en-US" w:bidi="ar-SA"/>
        </w:rPr>
        <w:t>Fraser</w:t>
      </w:r>
      <w:r>
        <w:rPr>
          <w:rFonts w:ascii="arial" w:eastAsia="arial" w:hAnsi="arial" w:cs="arial"/>
          <w:color w:val="000000"/>
          <w:sz w:val="20"/>
          <w:lang w:val="en-US" w:eastAsia="en-US" w:bidi="ar-SA"/>
        </w:rPr>
        <w:t xml:space="preserve"> at para. 76. It was the nullification of collective agreement terms, </w:t>
      </w:r>
      <w:r>
        <w:rPr>
          <w:rFonts w:ascii="arial" w:eastAsia="arial" w:hAnsi="arial" w:cs="arial"/>
          <w:i/>
          <w:color w:val="000000"/>
          <w:sz w:val="20"/>
          <w:lang w:val="en-US" w:eastAsia="en-US" w:bidi="ar-SA"/>
        </w:rPr>
        <w:t>coupled</w:t>
      </w:r>
      <w:r>
        <w:rPr>
          <w:rFonts w:ascii="arial" w:eastAsia="arial" w:hAnsi="arial" w:cs="arial"/>
          <w:color w:val="000000"/>
          <w:sz w:val="20"/>
          <w:lang w:val="en-US" w:eastAsia="en-US" w:bidi="ar-SA"/>
        </w:rPr>
        <w:t xml:space="preserve"> with the prohibition on future bargaining that violated s. 2(d) not that concluded collective agreement terms could not be legislatively overridden. In short, under the </w:t>
      </w:r>
      <w:r>
        <w:rPr>
          <w:rFonts w:ascii="arial" w:eastAsia="arial" w:hAnsi="arial" w:cs="arial"/>
          <w:i/>
          <w:color w:val="000000"/>
          <w:sz w:val="20"/>
          <w:lang w:val="en-US" w:eastAsia="en-US" w:bidi="ar-SA"/>
        </w:rPr>
        <w:t>Health Services</w:t>
      </w:r>
      <w:r>
        <w:rPr>
          <w:rFonts w:ascii="arial" w:eastAsia="arial" w:hAnsi="arial" w:cs="arial"/>
          <w:color w:val="000000"/>
          <w:sz w:val="20"/>
          <w:lang w:val="en-US" w:eastAsia="en-US" w:bidi="ar-SA"/>
        </w:rPr>
        <w:t xml:space="preserve"> analysis contractual terms are not given hierarchy over statutes simply because they have been collectively rather than individually negotiated.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7842"/>
        <w:gridCol w:w="2614"/>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7680"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[Emphasis in Submission.]</w:t>
            </w:r>
          </w:p>
        </w:tc>
        <w:tc>
          <w:tcPr>
            <w:tcW w:w="2560"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429</w:t>
      </w:r>
      <w:r>
        <w:rPr>
          <w:rFonts w:ascii="arial" w:eastAsia="arial" w:hAnsi="arial" w:cs="arial"/>
          <w:color w:val="000000"/>
          <w:sz w:val="20"/>
          <w:lang w:val="en-US" w:eastAsia="en-US" w:bidi="ar-SA"/>
        </w:rPr>
        <w:t>  The government argues in essence that the legislative deletion of terms in a collective agreement, on its own, without a corresponding legislative prohibition on collective bargaining, can never be found to be unconstitutional.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430</w:t>
      </w:r>
      <w:r>
        <w:rPr>
          <w:rFonts w:ascii="arial" w:eastAsia="arial" w:hAnsi="arial" w:cs="arial"/>
          <w:color w:val="000000"/>
          <w:sz w:val="20"/>
          <w:lang w:val="en-US" w:eastAsia="en-US" w:bidi="ar-SA"/>
        </w:rPr>
        <w:t>  I respectfully disagree.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431</w:t>
      </w:r>
      <w:r>
        <w:rPr>
          <w:rFonts w:ascii="arial" w:eastAsia="arial" w:hAnsi="arial" w:cs="arial"/>
          <w:color w:val="000000"/>
          <w:sz w:val="20"/>
          <w:lang w:val="en-US" w:eastAsia="en-US" w:bidi="ar-SA"/>
        </w:rPr>
        <w:t>  There are several flaws in the government's argument.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432</w:t>
      </w:r>
      <w:r>
        <w:rPr>
          <w:rFonts w:ascii="arial" w:eastAsia="arial" w:hAnsi="arial" w:cs="arial"/>
          <w:color w:val="000000"/>
          <w:sz w:val="20"/>
          <w:lang w:val="en-US" w:eastAsia="en-US" w:bidi="ar-SA"/>
        </w:rPr>
        <w:t xml:space="preserve">  The government submits that it is only because the legislative deletion of past negotiated terms was coupled with a prohibition on future collective bargaining that both were found unconstitutional in </w:t>
      </w:r>
      <w:r>
        <w:rPr>
          <w:rFonts w:ascii="arial" w:eastAsia="arial" w:hAnsi="arial" w:cs="arial"/>
          <w:i/>
          <w:color w:val="000000"/>
          <w:sz w:val="20"/>
          <w:lang w:val="en-US" w:eastAsia="en-US" w:bidi="ar-SA"/>
        </w:rPr>
        <w:t>Health Services</w:t>
      </w:r>
      <w:r>
        <w:rPr>
          <w:rFonts w:ascii="arial" w:eastAsia="arial" w:hAnsi="arial" w:cs="arial"/>
          <w:color w:val="000000"/>
          <w:sz w:val="20"/>
          <w:lang w:val="en-US" w:eastAsia="en-US" w:bidi="ar-SA"/>
        </w:rPr>
        <w:t xml:space="preserve">. With respect, this argument is not consistent with the Supreme Court of Canada's analysis or the result in </w:t>
      </w:r>
      <w:r>
        <w:rPr>
          <w:rFonts w:ascii="arial" w:eastAsia="arial" w:hAnsi="arial" w:cs="arial"/>
          <w:i/>
          <w:color w:val="000000"/>
          <w:sz w:val="20"/>
          <w:lang w:val="en-US" w:eastAsia="en-US" w:bidi="ar-SA"/>
        </w:rPr>
        <w:t>Health Services</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433</w:t>
      </w:r>
      <w:r>
        <w:rPr>
          <w:rFonts w:ascii="arial" w:eastAsia="arial" w:hAnsi="arial" w:cs="arial"/>
          <w:color w:val="000000"/>
          <w:sz w:val="20"/>
          <w:lang w:val="en-US" w:eastAsia="en-US" w:bidi="ar-SA"/>
        </w:rPr>
        <w:t xml:space="preserve">  If the government's argument was correct, there would have been no need for the Court in </w:t>
      </w:r>
      <w:r>
        <w:rPr>
          <w:rFonts w:ascii="arial" w:eastAsia="arial" w:hAnsi="arial" w:cs="arial"/>
          <w:i/>
          <w:color w:val="000000"/>
          <w:sz w:val="20"/>
          <w:lang w:val="en-US" w:eastAsia="en-US" w:bidi="ar-SA"/>
        </w:rPr>
        <w:t>Health Services</w:t>
      </w:r>
      <w:r>
        <w:rPr>
          <w:rFonts w:ascii="arial" w:eastAsia="arial" w:hAnsi="arial" w:cs="arial"/>
          <w:color w:val="000000"/>
          <w:sz w:val="20"/>
          <w:lang w:val="en-US" w:eastAsia="en-US" w:bidi="ar-SA"/>
        </w:rPr>
        <w:t xml:space="preserve"> to decide that those aspects of the legislation that deleted past negotiated terms of collective agreements amounted to a substantial interference with s. 2(d) rights. It would have been sufficient for the Court to simply say that future prohibitions on collective bargaining constituted substantial interference with s. 2(d) rights. This is not what the Court in </w:t>
      </w:r>
      <w:r>
        <w:rPr>
          <w:rFonts w:ascii="arial" w:eastAsia="arial" w:hAnsi="arial" w:cs="arial"/>
          <w:i/>
          <w:color w:val="000000"/>
          <w:sz w:val="20"/>
          <w:lang w:val="en-US" w:eastAsia="en-US" w:bidi="ar-SA"/>
        </w:rPr>
        <w:t>Health Services</w:t>
      </w:r>
      <w:r>
        <w:rPr>
          <w:rFonts w:ascii="arial" w:eastAsia="arial" w:hAnsi="arial" w:cs="arial"/>
          <w:color w:val="000000"/>
          <w:sz w:val="20"/>
          <w:lang w:val="en-US" w:eastAsia="en-US" w:bidi="ar-SA"/>
        </w:rPr>
        <w:t xml:space="preserve"> said.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434</w:t>
      </w:r>
      <w:r>
        <w:rPr>
          <w:rFonts w:ascii="arial" w:eastAsia="arial" w:hAnsi="arial" w:cs="arial"/>
          <w:color w:val="000000"/>
          <w:sz w:val="20"/>
          <w:lang w:val="en-US" w:eastAsia="en-US" w:bidi="ar-SA"/>
        </w:rPr>
        <w:t xml:space="preserve">  When the Court in </w:t>
      </w:r>
      <w:r>
        <w:rPr>
          <w:rFonts w:ascii="arial" w:eastAsia="arial" w:hAnsi="arial" w:cs="arial"/>
          <w:i/>
          <w:color w:val="000000"/>
          <w:sz w:val="20"/>
          <w:lang w:val="en-US" w:eastAsia="en-US" w:bidi="ar-SA"/>
        </w:rPr>
        <w:t>Health Services</w:t>
      </w:r>
      <w:r>
        <w:rPr>
          <w:rFonts w:ascii="arial" w:eastAsia="arial" w:hAnsi="arial" w:cs="arial"/>
          <w:color w:val="000000"/>
          <w:sz w:val="20"/>
          <w:lang w:val="en-US" w:eastAsia="en-US" w:bidi="ar-SA"/>
        </w:rPr>
        <w:t xml:space="preserve"> reviewed each of the challenged provisions of the legislation, it did so with a view to determining whether the legislation invalidated, nullified or repudiated </w:t>
      </w:r>
      <w:r>
        <w:rPr>
          <w:rFonts w:ascii="arial" w:eastAsia="arial" w:hAnsi="arial" w:cs="arial"/>
          <w:color w:val="000000"/>
          <w:sz w:val="20"/>
          <w:u w:val="single"/>
          <w:lang w:val="en-US" w:eastAsia="en-US" w:bidi="ar-SA"/>
        </w:rPr>
        <w:t>past negotiated</w:t>
      </w:r>
      <w:r>
        <w:rPr>
          <w:rFonts w:ascii="arial" w:eastAsia="arial" w:hAnsi="arial" w:cs="arial"/>
          <w:color w:val="000000"/>
          <w:sz w:val="20"/>
          <w:lang w:val="en-US" w:eastAsia="en-US" w:bidi="ar-SA"/>
        </w:rPr>
        <w:t xml:space="preserve"> terms and thereby undermined </w:t>
      </w:r>
      <w:r>
        <w:rPr>
          <w:rFonts w:ascii="arial" w:eastAsia="arial" w:hAnsi="arial" w:cs="arial"/>
          <w:color w:val="000000"/>
          <w:sz w:val="20"/>
          <w:u w:val="single"/>
          <w:lang w:val="en-US" w:eastAsia="en-US" w:bidi="ar-SA"/>
        </w:rPr>
        <w:t>past processes</w:t>
      </w:r>
      <w:r>
        <w:rPr>
          <w:rFonts w:ascii="arial" w:eastAsia="arial" w:hAnsi="arial" w:cs="arial"/>
          <w:color w:val="000000"/>
          <w:sz w:val="20"/>
          <w:lang w:val="en-US" w:eastAsia="en-US" w:bidi="ar-SA"/>
        </w:rPr>
        <w:t xml:space="preserve"> of collective bargaining; or prohibited future terms and thereby undermined </w:t>
      </w:r>
      <w:r>
        <w:rPr>
          <w:rFonts w:ascii="arial" w:eastAsia="arial" w:hAnsi="arial" w:cs="arial"/>
          <w:color w:val="000000"/>
          <w:sz w:val="20"/>
          <w:u w:val="single"/>
          <w:lang w:val="en-US" w:eastAsia="en-US" w:bidi="ar-SA"/>
        </w:rPr>
        <w:t>future</w:t>
      </w:r>
      <w:r>
        <w:rPr>
          <w:rFonts w:ascii="arial" w:eastAsia="arial" w:hAnsi="arial" w:cs="arial"/>
          <w:color w:val="000000"/>
          <w:sz w:val="20"/>
          <w:lang w:val="en-US" w:eastAsia="en-US" w:bidi="ar-SA"/>
        </w:rPr>
        <w:t xml:space="preserve"> processes of collective bargaining, or both: see, for example, paras. 96, 111, 113, 121, 127-128, 132-136. The Court found the legislation invalid in both respects (at para. 161).</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435</w:t>
      </w:r>
      <w:r>
        <w:rPr>
          <w:rFonts w:ascii="arial" w:eastAsia="arial" w:hAnsi="arial" w:cs="arial"/>
          <w:color w:val="000000"/>
          <w:sz w:val="20"/>
          <w:lang w:val="en-US" w:eastAsia="en-US" w:bidi="ar-SA"/>
        </w:rPr>
        <w:t xml:space="preserve">  Interestingly, the legislative provision in </w:t>
      </w:r>
      <w:r>
        <w:rPr>
          <w:rFonts w:ascii="arial" w:eastAsia="arial" w:hAnsi="arial" w:cs="arial"/>
          <w:i/>
          <w:color w:val="000000"/>
          <w:sz w:val="20"/>
          <w:lang w:val="en-US" w:eastAsia="en-US" w:bidi="ar-SA"/>
        </w:rPr>
        <w:t>Health Services</w:t>
      </w:r>
      <w:r>
        <w:rPr>
          <w:rFonts w:ascii="arial" w:eastAsia="arial" w:hAnsi="arial" w:cs="arial"/>
          <w:color w:val="000000"/>
          <w:sz w:val="20"/>
          <w:lang w:val="en-US" w:eastAsia="en-US" w:bidi="ar-SA"/>
        </w:rPr>
        <w:t xml:space="preserve"> restricting certain terms from being included in a collective agreement was time limited to four years (s. 9 of the impugned legislation). The Court rejected the argument that the temporary basis of the restriction saved the provision (at para. 155), noting that this was "scant comfort" to employees affected in the meantime.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436</w:t>
      </w:r>
      <w:r>
        <w:rPr>
          <w:rFonts w:ascii="arial" w:eastAsia="arial" w:hAnsi="arial" w:cs="arial"/>
          <w:color w:val="000000"/>
          <w:sz w:val="20"/>
          <w:lang w:val="en-US" w:eastAsia="en-US" w:bidi="ar-SA"/>
        </w:rPr>
        <w:t xml:space="preserve">  What the Court in </w:t>
      </w:r>
      <w:r>
        <w:rPr>
          <w:rFonts w:ascii="arial" w:eastAsia="arial" w:hAnsi="arial" w:cs="arial"/>
          <w:i/>
          <w:color w:val="000000"/>
          <w:sz w:val="20"/>
          <w:lang w:val="en-US" w:eastAsia="en-US" w:bidi="ar-SA"/>
        </w:rPr>
        <w:t>Health Services</w:t>
      </w:r>
      <w:r>
        <w:rPr>
          <w:rFonts w:ascii="arial" w:eastAsia="arial" w:hAnsi="arial" w:cs="arial"/>
          <w:color w:val="000000"/>
          <w:sz w:val="20"/>
          <w:lang w:val="en-US" w:eastAsia="en-US" w:bidi="ar-SA"/>
        </w:rPr>
        <w:t xml:space="preserve"> recognized was that some significant degree of legislative interference with past negotiated terms of collective agreements could so undermine the past process of collective bargaining that it rendered the process meaningless. As noted in </w:t>
      </w:r>
      <w:r>
        <w:rPr>
          <w:rFonts w:ascii="arial" w:eastAsia="arial" w:hAnsi="arial" w:cs="arial"/>
          <w:i/>
          <w:color w:val="000000"/>
          <w:sz w:val="20"/>
          <w:lang w:val="en-US" w:eastAsia="en-US" w:bidi="ar-SA"/>
        </w:rPr>
        <w:t>Fraser</w:t>
      </w:r>
      <w:r>
        <w:rPr>
          <w:rFonts w:ascii="arial" w:eastAsia="arial" w:hAnsi="arial" w:cs="arial"/>
          <w:color w:val="000000"/>
          <w:sz w:val="20"/>
          <w:lang w:val="en-US" w:eastAsia="en-US" w:bidi="ar-SA"/>
        </w:rPr>
        <w:t xml:space="preserve"> at para. 76, the Court did not suggest that a government could never interfere with negotiated terms. But likewise, neither </w:t>
      </w:r>
      <w:r>
        <w:rPr>
          <w:rFonts w:ascii="arial" w:eastAsia="arial" w:hAnsi="arial" w:cs="arial"/>
          <w:i/>
          <w:color w:val="000000"/>
          <w:sz w:val="20"/>
          <w:lang w:val="en-US" w:eastAsia="en-US" w:bidi="ar-SA"/>
        </w:rPr>
        <w:t>Fraser</w:t>
      </w:r>
      <w:r>
        <w:rPr>
          <w:rFonts w:ascii="arial" w:eastAsia="arial" w:hAnsi="arial" w:cs="arial"/>
          <w:color w:val="000000"/>
          <w:sz w:val="20"/>
          <w:lang w:val="en-US" w:eastAsia="en-US" w:bidi="ar-SA"/>
        </w:rPr>
        <w:t xml:space="preserve"> nor </w:t>
      </w:r>
      <w:r>
        <w:rPr>
          <w:rFonts w:ascii="arial" w:eastAsia="arial" w:hAnsi="arial" w:cs="arial"/>
          <w:i/>
          <w:color w:val="000000"/>
          <w:sz w:val="20"/>
          <w:lang w:val="en-US" w:eastAsia="en-US" w:bidi="ar-SA"/>
        </w:rPr>
        <w:t>Health Services</w:t>
      </w:r>
      <w:r>
        <w:rPr>
          <w:rFonts w:ascii="arial" w:eastAsia="arial" w:hAnsi="arial" w:cs="arial"/>
          <w:color w:val="000000"/>
          <w:sz w:val="20"/>
          <w:lang w:val="en-US" w:eastAsia="en-US" w:bidi="ar-SA"/>
        </w:rPr>
        <w:t xml:space="preserve"> suggests that a government can freely interfere with past negotiated collective agreement terms either. It is a question of degree and context, with the focus always being on the impact of the government action on the process of collective bargaining.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437</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Federal Government Dockyard Trades and Labour Council v. The Attorney General</w:t>
      </w:r>
      <w:r>
        <w:rPr>
          <w:rFonts w:ascii="arial" w:eastAsia="arial" w:hAnsi="arial" w:cs="arial"/>
          <w:color w:val="000000"/>
          <w:sz w:val="20"/>
          <w:lang w:val="en-US" w:eastAsia="en-US" w:bidi="ar-SA"/>
        </w:rPr>
        <w:t xml:space="preserve">, </w:t>
      </w:r>
      <w:hyperlink r:id="rId859" w:history="1">
        <w:r>
          <w:rPr>
            <w:rFonts w:ascii="arial" w:eastAsia="arial" w:hAnsi="arial" w:cs="arial"/>
            <w:i/>
            <w:color w:val="0077CC"/>
            <w:sz w:val="20"/>
            <w:u w:val="single"/>
            <w:shd w:val="clear" w:color="auto" w:fill="FFFFFF"/>
            <w:lang w:val="en-US" w:eastAsia="en-US" w:bidi="ar-SA"/>
          </w:rPr>
          <w:t>2011 BCSC 1210</w:t>
        </w:r>
      </w:hyperlink>
      <w:r>
        <w:rPr>
          <w:rFonts w:ascii="arial" w:eastAsia="arial" w:hAnsi="arial" w:cs="arial"/>
          <w:color w:val="000000"/>
          <w:sz w:val="20"/>
          <w:lang w:val="en-US" w:eastAsia="en-US" w:bidi="ar-SA"/>
        </w:rPr>
        <w:t xml:space="preserve">, aff'd </w:t>
      </w:r>
      <w:hyperlink r:id="rId860" w:history="1">
        <w:r>
          <w:rPr>
            <w:rFonts w:ascii="arial" w:eastAsia="arial" w:hAnsi="arial" w:cs="arial"/>
            <w:i/>
            <w:color w:val="0077CC"/>
            <w:sz w:val="20"/>
            <w:u w:val="single"/>
            <w:shd w:val="clear" w:color="auto" w:fill="FFFFFF"/>
            <w:lang w:val="en-US" w:eastAsia="en-US" w:bidi="ar-SA"/>
          </w:rPr>
          <w:t>2013 BCCA 371</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Federal Dockyard</w:t>
      </w:r>
      <w:r>
        <w:rPr>
          <w:rFonts w:ascii="arial" w:eastAsia="arial" w:hAnsi="arial" w:cs="arial"/>
          <w:color w:val="000000"/>
          <w:sz w:val="20"/>
          <w:lang w:val="en-US" w:eastAsia="en-US" w:bidi="ar-SA"/>
        </w:rPr>
        <w:t xml:space="preserve">], the British Columbia Court of Appeal found that there was only one term in the parties' negotiated agreement that had been negated by the legislation. The legislative effect was time-limited. The Court found at para. 52 that the effect of this was not as "invasive" as the nullification of terms in </w:t>
      </w:r>
      <w:r>
        <w:rPr>
          <w:rFonts w:ascii="arial" w:eastAsia="arial" w:hAnsi="arial" w:cs="arial"/>
          <w:i/>
          <w:color w:val="000000"/>
          <w:sz w:val="20"/>
          <w:lang w:val="en-US" w:eastAsia="en-US" w:bidi="ar-SA"/>
        </w:rPr>
        <w:t>Health Services</w:t>
      </w:r>
      <w:r>
        <w:rPr>
          <w:rFonts w:ascii="arial" w:eastAsia="arial" w:hAnsi="arial" w:cs="arial"/>
          <w:color w:val="000000"/>
          <w:sz w:val="20"/>
          <w:lang w:val="en-US" w:eastAsia="en-US" w:bidi="ar-SA"/>
        </w:rPr>
        <w:t>. This result does not mean that legislative nullification of negotiated terms alone can never amount to interference with collective bargaining.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438</w:t>
      </w:r>
      <w:r>
        <w:rPr>
          <w:rFonts w:ascii="arial" w:eastAsia="arial" w:hAnsi="arial" w:cs="arial"/>
          <w:color w:val="000000"/>
          <w:sz w:val="20"/>
          <w:lang w:val="en-US" w:eastAsia="en-US" w:bidi="ar-SA"/>
        </w:rPr>
        <w:t>  Again, this confirms that the question of whether or not legislative interference with past negotiated terms in a collective agreement is a substantial interference with the process of good faith bargaining and is therefore unconstitutional depends on all the circumstances, but one of the factors includes the degree of the interference.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439</w:t>
      </w:r>
      <w:r>
        <w:rPr>
          <w:rFonts w:ascii="arial" w:eastAsia="arial" w:hAnsi="arial" w:cs="arial"/>
          <w:color w:val="000000"/>
          <w:sz w:val="20"/>
          <w:lang w:val="en-US" w:eastAsia="en-US" w:bidi="ar-SA"/>
        </w:rPr>
        <w:t>  Here, it has already been determined that the Working Conditions were very important matters to the workers: Bill 28 Decision, at paras. 283-288, 290, 293, 295. It has already been determined that the wording of the legislative provision that deleted the hundreds of Working Conditions terms of the parties' collective agreement was "strikingly broad", to quote the arbitrator charged with the responsibility of deleting the terms: Bill 28 Decision, at para. 228.</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440</w:t>
      </w:r>
      <w:r>
        <w:rPr>
          <w:rFonts w:ascii="arial" w:eastAsia="arial" w:hAnsi="arial" w:cs="arial"/>
          <w:color w:val="000000"/>
          <w:sz w:val="20"/>
          <w:lang w:val="en-US" w:eastAsia="en-US" w:bidi="ar-SA"/>
        </w:rPr>
        <w:t xml:space="preserve">  The hundreds of terms from the collective agreement that were deleted by Bill 28 and re-deleted by Bill 22 covered as many as nine categories (Bill 28 Decision, at paras. 226-227). The deleted terms included the whole of the 2001 K-3 Memorandum and included any term argued to be in conflict with or inconsistent with s. 27(3)(d) to (j) of the amended </w:t>
      </w:r>
      <w:r>
        <w:rPr>
          <w:rFonts w:ascii="arial" w:eastAsia="arial" w:hAnsi="arial" w:cs="arial"/>
          <w:i/>
          <w:color w:val="000000"/>
          <w:sz w:val="20"/>
          <w:lang w:val="en-US" w:eastAsia="en-US" w:bidi="ar-SA"/>
        </w:rPr>
        <w:t>School Act</w:t>
      </w:r>
      <w:r>
        <w:rPr>
          <w:rFonts w:ascii="arial" w:eastAsia="arial" w:hAnsi="arial" w:cs="arial"/>
          <w:color w:val="000000"/>
          <w:sz w:val="20"/>
          <w:lang w:val="en-US" w:eastAsia="en-US" w:bidi="ar-SA"/>
        </w:rPr>
        <w:t>, which for ease of reference is repeated below:</w:t>
      </w:r>
      <w:r>
        <w:rPr>
          <w:rFonts w:ascii="arial" w:eastAsia="arial" w:hAnsi="arial" w:cs="arial"/>
          <w:sz w:val="20"/>
          <w:lang w:val="en-US" w:eastAsia="en-US" w:bidi="ar-SA"/>
        </w:rPr>
        <w:cr/>
      </w:r>
    </w:p>
    <w:p>
      <w:pPr>
        <w:numPr>
          <w:numId w:val="7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There must not be included in a teachers' collective agreement any provision</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numPr>
          <w:numId w:val="8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restricting or regulating a board's power to establish class size and class composition,</w:t>
      </w:r>
    </w:p>
    <w:p>
      <w:pPr>
        <w:numPr>
          <w:numId w:val="8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establishing or imposing class size limits, requirements respecting average class sizes, or methods for determining class size limits or average class sizes,</w:t>
      </w:r>
    </w:p>
    <w:p>
      <w:pPr>
        <w:numPr>
          <w:numId w:val="8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restricting or regulating a board's power to assign a student to a class, course or program,</w:t>
      </w:r>
    </w:p>
    <w:p>
      <w:pPr>
        <w:numPr>
          <w:numId w:val="8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restricting or regulating a board's power to determine staffing levels or ratios or the number of teachers or other staff employed by the board,</w:t>
      </w:r>
    </w:p>
    <w:p>
      <w:pPr>
        <w:numPr>
          <w:numId w:val="8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establishing minimum numbers of teachers or other staff,</w:t>
      </w:r>
    </w:p>
    <w:p>
      <w:pPr>
        <w:numPr>
          <w:numId w:val="8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restricting or regulating a board's power to determine the number of students assigned to a teacher, or</w:t>
      </w:r>
    </w:p>
    <w:p>
      <w:pPr>
        <w:numPr>
          <w:numId w:val="8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establishing maximum or minimum case loads, staffing loads or teaching loads.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441</w:t>
      </w:r>
      <w:r>
        <w:rPr>
          <w:rFonts w:ascii="arial" w:eastAsia="arial" w:hAnsi="arial" w:cs="arial"/>
          <w:color w:val="000000"/>
          <w:sz w:val="20"/>
          <w:lang w:val="en-US" w:eastAsia="en-US" w:bidi="ar-SA"/>
        </w:rPr>
        <w:t>  It is curious for the government to argue in respect of Bill 22 that identical legislative deletion of these hundreds of past terms is now not significant. It clearly lost this issue in the Bill 28 Decision and did not appeal. The Bill 28 Decision made it clear that both aspects of the legislation were unconstitutional: the provisions invalidating these hundreds of terms from the collective agreement, and the provisions prohibiting future bargaining over the same subjects (para. 308).</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442</w:t>
      </w:r>
      <w:r>
        <w:rPr>
          <w:rFonts w:ascii="arial" w:eastAsia="arial" w:hAnsi="arial" w:cs="arial"/>
          <w:color w:val="000000"/>
          <w:sz w:val="20"/>
          <w:lang w:val="en-US" w:eastAsia="en-US" w:bidi="ar-SA"/>
        </w:rPr>
        <w:t>  Restoring a right to bargain to some degree over the same subjects in the future does not change the analysis about the widespread deletion of past terms. If it did, there would have been no need to rule in the Bill 28 Decision that the legislation deleting past collectively bargained terms was invalid. Rather, it would have been sufficient to rule as invalid the legislation prohibiting future bargaining.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443</w:t>
      </w:r>
      <w:r>
        <w:rPr>
          <w:rFonts w:ascii="arial" w:eastAsia="arial" w:hAnsi="arial" w:cs="arial"/>
          <w:color w:val="000000"/>
          <w:sz w:val="20"/>
          <w:lang w:val="en-US" w:eastAsia="en-US" w:bidi="ar-SA"/>
        </w:rPr>
        <w:t>  In its defence to Bill 22, the government made no attempt to put before the court the body of the collective agreement and to consider the volume and significance of the deleted terms.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444</w:t>
      </w:r>
      <w:r>
        <w:rPr>
          <w:rFonts w:ascii="arial" w:eastAsia="arial" w:hAnsi="arial" w:cs="arial"/>
          <w:color w:val="000000"/>
          <w:sz w:val="20"/>
          <w:lang w:val="en-US" w:eastAsia="en-US" w:bidi="ar-SA"/>
        </w:rPr>
        <w:t>  It is no answer to say the teachers were permitted to start bargaining from scratch in the future. This fails to recognize the hours of negotiations, the give and take, the resources and the research that went into the negotiation of so many collective agreement terms, many designed to respond to local conditions. The frustration and the sense that collective bargaining is ultimately a pointless exercise can only follow legislative interference with such a broad scale of negotiated terms.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445</w:t>
      </w:r>
      <w:r>
        <w:rPr>
          <w:rFonts w:ascii="arial" w:eastAsia="arial" w:hAnsi="arial" w:cs="arial"/>
          <w:color w:val="000000"/>
          <w:sz w:val="20"/>
          <w:lang w:val="en-US" w:eastAsia="en-US" w:bidi="ar-SA"/>
        </w:rPr>
        <w:t xml:space="preserve">  As described by the majority judgment in </w:t>
      </w:r>
      <w:r>
        <w:rPr>
          <w:rFonts w:ascii="arial" w:eastAsia="arial" w:hAnsi="arial" w:cs="arial"/>
          <w:i/>
          <w:color w:val="000000"/>
          <w:sz w:val="20"/>
          <w:lang w:val="en-US" w:eastAsia="en-US" w:bidi="ar-SA"/>
        </w:rPr>
        <w:t>Fraser</w:t>
      </w:r>
      <w:r>
        <w:rPr>
          <w:rFonts w:ascii="arial" w:eastAsia="arial" w:hAnsi="arial" w:cs="arial"/>
          <w:color w:val="000000"/>
          <w:sz w:val="20"/>
          <w:lang w:val="en-US" w:eastAsia="en-US" w:bidi="ar-SA"/>
        </w:rPr>
        <w:t xml:space="preserve">, "[l]aws or government action that make it impossible to achieve collective goals </w:t>
      </w:r>
      <w:r>
        <w:rPr>
          <w:rFonts w:ascii="arial" w:eastAsia="arial" w:hAnsi="arial" w:cs="arial"/>
          <w:i/>
          <w:color w:val="000000"/>
          <w:sz w:val="20"/>
          <w:lang w:val="en-US" w:eastAsia="en-US" w:bidi="ar-SA"/>
        </w:rPr>
        <w:t>have the effect</w:t>
      </w:r>
      <w:r>
        <w:rPr>
          <w:rFonts w:ascii="arial" w:eastAsia="arial" w:hAnsi="arial" w:cs="arial"/>
          <w:color w:val="000000"/>
          <w:sz w:val="20"/>
          <w:lang w:val="en-US" w:eastAsia="en-US" w:bidi="ar-SA"/>
        </w:rPr>
        <w:t xml:space="preserve"> of limiting freedom of association, by making it pointless" (at para. 46, original emphasis). Bill 22 made the past work of the union to craft and negotiate hundreds of terms regarding Working Conditions "pointless". Here, by making pointless the union's past significant investment in collective bargaining, the legislation substantially interfered with the teachers' s. 2(d) rights.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446</w:t>
      </w:r>
      <w:r>
        <w:rPr>
          <w:rFonts w:ascii="arial" w:eastAsia="arial" w:hAnsi="arial" w:cs="arial"/>
          <w:color w:val="000000"/>
          <w:sz w:val="20"/>
          <w:lang w:val="en-US" w:eastAsia="en-US" w:bidi="ar-SA"/>
        </w:rPr>
        <w:t>  Another flaw in the government's argument here is that by asserting that the parties are free to negotiate whatever they wish in the future it glosses over the actual language of the legislation that deletes past terms of the collective agreement.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447</w:t>
      </w:r>
      <w:r>
        <w:rPr>
          <w:rFonts w:ascii="arial" w:eastAsia="arial" w:hAnsi="arial" w:cs="arial"/>
          <w:color w:val="000000"/>
          <w:sz w:val="20"/>
          <w:lang w:val="en-US" w:eastAsia="en-US" w:bidi="ar-SA"/>
        </w:rPr>
        <w:t>  First, the parties were not free to negotiate over Working Conditions until June 30, 2013, which was fourteen months after this legislative prohibition. I have already found that there was no valid reason for extending the ban on collective bargaining in this way.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448</w:t>
      </w:r>
      <w:r>
        <w:rPr>
          <w:rFonts w:ascii="arial" w:eastAsia="arial" w:hAnsi="arial" w:cs="arial"/>
          <w:color w:val="000000"/>
          <w:sz w:val="20"/>
          <w:lang w:val="en-US" w:eastAsia="en-US" w:bidi="ar-SA"/>
        </w:rPr>
        <w:t>  It is also important to appreciate that Bill 22 does not clearly restore the right to bargain over the Working Conditions after June 30, 2013.</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449</w:t>
      </w:r>
      <w:r>
        <w:rPr>
          <w:rFonts w:ascii="arial" w:eastAsia="arial" w:hAnsi="arial" w:cs="arial"/>
          <w:color w:val="000000"/>
          <w:sz w:val="20"/>
          <w:lang w:val="en-US" w:eastAsia="en-US" w:bidi="ar-SA"/>
        </w:rPr>
        <w:t>  This is because of the language of the provision in Bill 22 which once again deletes collective agreement terms on Working Conditions. The BCTF argues that the legislative deletion of collective agreement terms is worded so broadly that it still likely provides a significant impediment to future bargaining over the subject matter of Working Conditions.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450</w:t>
      </w:r>
      <w:r>
        <w:rPr>
          <w:rFonts w:ascii="arial" w:eastAsia="arial" w:hAnsi="arial" w:cs="arial"/>
          <w:color w:val="000000"/>
          <w:sz w:val="20"/>
          <w:lang w:val="en-US" w:eastAsia="en-US" w:bidi="ar-SA"/>
        </w:rPr>
        <w:t xml:space="preserve">  Section 24 of Bill 22, the </w:t>
      </w:r>
      <w:r>
        <w:rPr>
          <w:rFonts w:ascii="arial" w:eastAsia="arial" w:hAnsi="arial" w:cs="arial"/>
          <w:i/>
          <w:color w:val="000000"/>
          <w:sz w:val="20"/>
          <w:lang w:val="en-US" w:eastAsia="en-US" w:bidi="ar-SA"/>
        </w:rPr>
        <w:t>EIA</w:t>
      </w:r>
      <w:r>
        <w:rPr>
          <w:rFonts w:ascii="arial" w:eastAsia="arial" w:hAnsi="arial" w:cs="arial"/>
          <w:color w:val="000000"/>
          <w:sz w:val="20"/>
          <w:lang w:val="en-US" w:eastAsia="en-US" w:bidi="ar-SA"/>
        </w:rPr>
        <w:t xml:space="preserve">, like its predecessor, the unconstitutional s. 5 of the </w:t>
      </w:r>
      <w:r>
        <w:rPr>
          <w:rFonts w:ascii="arial" w:eastAsia="arial" w:hAnsi="arial" w:cs="arial"/>
          <w:i/>
          <w:color w:val="000000"/>
          <w:sz w:val="20"/>
          <w:lang w:val="en-US" w:eastAsia="en-US" w:bidi="ar-SA"/>
        </w:rPr>
        <w:t>Amendment Act</w:t>
      </w:r>
      <w:r>
        <w:rPr>
          <w:rFonts w:ascii="arial" w:eastAsia="arial" w:hAnsi="arial" w:cs="arial"/>
          <w:color w:val="000000"/>
          <w:sz w:val="20"/>
          <w:lang w:val="en-US" w:eastAsia="en-US" w:bidi="ar-SA"/>
        </w:rPr>
        <w:t xml:space="preserve">, deletes not just the Working Condition clauses that had been negotiated retroactive to July 1, 2002, it deletes any of these same "words, phrases, provisions, and parts of provisions" from being part of the parties' "collective agreement" on </w:t>
      </w:r>
      <w:r>
        <w:rPr>
          <w:rFonts w:ascii="arial" w:eastAsia="arial" w:hAnsi="arial" w:cs="arial"/>
          <w:color w:val="000000"/>
          <w:sz w:val="20"/>
          <w:u w:val="single"/>
          <w:lang w:val="en-US" w:eastAsia="en-US" w:bidi="ar-SA"/>
        </w:rPr>
        <w:t>or after</w:t>
      </w:r>
      <w:r>
        <w:rPr>
          <w:rFonts w:ascii="arial" w:eastAsia="arial" w:hAnsi="arial" w:cs="arial"/>
          <w:color w:val="000000"/>
          <w:sz w:val="20"/>
          <w:lang w:val="en-US" w:eastAsia="en-US" w:bidi="ar-SA"/>
        </w:rPr>
        <w:t xml:space="preserve"> July 1, 2002. [Emphasis added.]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451</w:t>
      </w:r>
      <w:r>
        <w:rPr>
          <w:rFonts w:ascii="arial" w:eastAsia="arial" w:hAnsi="arial" w:cs="arial"/>
          <w:color w:val="000000"/>
          <w:sz w:val="20"/>
          <w:lang w:val="en-US" w:eastAsia="en-US" w:bidi="ar-SA"/>
        </w:rPr>
        <w:t>  The BCTF submits that if it seeks to negotiate new terms on Working Conditions in the collective agreement after June 30, 2013, it will face the argument by BCPSEA that none of the new terms can contain any of the words or phrases or parts of provisions that were in the hundreds of legislatively deleted terms, based on the wording of s. 24 of Bill 22. This means that not only is the BCTF prohibited from bargaining a return to the deleted language, it is prohibited from bargaining terms that contain any of the words or phrases deleted.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452</w:t>
      </w:r>
      <w:r>
        <w:rPr>
          <w:rFonts w:ascii="arial" w:eastAsia="arial" w:hAnsi="arial" w:cs="arial"/>
          <w:color w:val="000000"/>
          <w:sz w:val="20"/>
          <w:lang w:val="en-US" w:eastAsia="en-US" w:bidi="ar-SA"/>
        </w:rPr>
        <w:t>  The government did not deny that this interpretation is correct.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453</w:t>
      </w:r>
      <w:r>
        <w:rPr>
          <w:rFonts w:ascii="arial" w:eastAsia="arial" w:hAnsi="arial" w:cs="arial"/>
          <w:color w:val="000000"/>
          <w:sz w:val="20"/>
          <w:lang w:val="en-US" w:eastAsia="en-US" w:bidi="ar-SA"/>
        </w:rPr>
        <w:t>  The BCTF argument appears correct. Limiting collective bargaining is exactly what the legislative deletion of past collective agreement terms was designed to do.</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454</w:t>
      </w:r>
      <w:r>
        <w:rPr>
          <w:rFonts w:ascii="arial" w:eastAsia="arial" w:hAnsi="arial" w:cs="arial"/>
          <w:color w:val="000000"/>
          <w:sz w:val="20"/>
          <w:lang w:val="en-US" w:eastAsia="en-US" w:bidi="ar-SA"/>
        </w:rPr>
        <w:t>  At the time the legislative deletion of terms in the collective agreement was first introduced in the legislature, the Bill was described as implementing the intent of Bills 27 and 28, which was "to exclude some issues... from the scope of bargaining": Bill 28 Decision, at para. 240.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455</w:t>
      </w:r>
      <w:r>
        <w:rPr>
          <w:rFonts w:ascii="arial" w:eastAsia="arial" w:hAnsi="arial" w:cs="arial"/>
          <w:color w:val="000000"/>
          <w:sz w:val="20"/>
          <w:lang w:val="en-US" w:eastAsia="en-US" w:bidi="ar-SA"/>
        </w:rPr>
        <w:t>  Past history between BCPSEA and the BCTF shows that BCPSEA takes a broad interpretation of any legislation putting limits on collective bargaining.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456</w:t>
      </w:r>
      <w:r>
        <w:rPr>
          <w:rFonts w:ascii="arial" w:eastAsia="arial" w:hAnsi="arial" w:cs="arial"/>
          <w:color w:val="000000"/>
          <w:sz w:val="20"/>
          <w:lang w:val="en-US" w:eastAsia="en-US" w:bidi="ar-SA"/>
        </w:rPr>
        <w:t>  Thus, contrary to the government position that the right to collectively bargain over the Working Conditions was only delayed but then fully restored as of June 30, 2013, the right to collectively bargain was still seriously undermined due to the re-enactment of the Duplicative Provisions deleting past terms of the collective agreement on July 1, 2002 and prohibiting their re-inclusion after July 1, 2002.</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Conclusion Issue 4</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457</w:t>
      </w:r>
      <w:r>
        <w:rPr>
          <w:rFonts w:ascii="arial" w:eastAsia="arial" w:hAnsi="arial" w:cs="arial"/>
          <w:color w:val="000000"/>
          <w:sz w:val="20"/>
          <w:lang w:val="en-US" w:eastAsia="en-US" w:bidi="ar-SA"/>
        </w:rPr>
        <w:t>  The Working Conditions subject matters were extremely important to the BCTF members. The right to collectively bargain these matters was extremely important to them as well: they had been trying to associate to influence these working conditions since they first began to associate as workers.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458</w:t>
      </w:r>
      <w:r>
        <w:rPr>
          <w:rFonts w:ascii="arial" w:eastAsia="arial" w:hAnsi="arial" w:cs="arial"/>
          <w:color w:val="000000"/>
          <w:sz w:val="20"/>
          <w:lang w:val="en-US" w:eastAsia="en-US" w:bidi="ar-SA"/>
        </w:rPr>
        <w:t>  As reviewed in the Bill 28 Decision at paras. 283-290, class size and composition issues greatly impact the quality of a teacher's working conditions and job stress. The more students in a class and the more students with special needs integrated without adequate assistance, the more before and after class planning and preparation and in-class student management is required by the teacher and the less time there is available for actually teaching.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459</w:t>
      </w:r>
      <w:r>
        <w:rPr>
          <w:rFonts w:ascii="arial" w:eastAsia="arial" w:hAnsi="arial" w:cs="arial"/>
          <w:color w:val="000000"/>
          <w:sz w:val="20"/>
          <w:lang w:val="en-US" w:eastAsia="en-US" w:bidi="ar-SA"/>
        </w:rPr>
        <w:t>  If a teacher finds the rewarding aspect of teaching to be the connection with a child and the sense that the child is learning from the teacher's efforts, which one hopes is the motivation for most teachers, then it is obvious that teacher job satisfaction will decrease dramatically the less opportunity there is to make this connection. Teacher job satisfaction will also decrease dramatically the less opportunity there is to influence these Working Conditions.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460</w:t>
      </w:r>
      <w:r>
        <w:rPr>
          <w:rFonts w:ascii="arial" w:eastAsia="arial" w:hAnsi="arial" w:cs="arial"/>
          <w:color w:val="000000"/>
          <w:sz w:val="20"/>
          <w:lang w:val="en-US" w:eastAsia="en-US" w:bidi="ar-SA"/>
        </w:rPr>
        <w:t xml:space="preserve">  If a constitutional right to collective bargaining enhances democracy and the rule of law, as stated in </w:t>
      </w:r>
      <w:r>
        <w:rPr>
          <w:rFonts w:ascii="arial" w:eastAsia="arial" w:hAnsi="arial" w:cs="arial"/>
          <w:i/>
          <w:color w:val="000000"/>
          <w:sz w:val="20"/>
          <w:lang w:val="en-US" w:eastAsia="en-US" w:bidi="ar-SA"/>
        </w:rPr>
        <w:t>Health Services</w:t>
      </w:r>
      <w:r>
        <w:rPr>
          <w:rFonts w:ascii="arial" w:eastAsia="arial" w:hAnsi="arial" w:cs="arial"/>
          <w:color w:val="000000"/>
          <w:sz w:val="20"/>
          <w:lang w:val="en-US" w:eastAsia="en-US" w:bidi="ar-SA"/>
        </w:rPr>
        <w:t>, one may ask what then is the impact of government legislation which simply re-enacts the restrictions on collective bargaining previously declared by a court to be unconstitutional?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461</w:t>
      </w:r>
      <w:r>
        <w:rPr>
          <w:rFonts w:ascii="arial" w:eastAsia="arial" w:hAnsi="arial" w:cs="arial"/>
          <w:color w:val="000000"/>
          <w:sz w:val="20"/>
          <w:lang w:val="en-US" w:eastAsia="en-US" w:bidi="ar-SA"/>
        </w:rPr>
        <w:t xml:space="preserve">  That this legislation was passed after so much effort by the BCTF to restore their workers' ability to collectively bargain had to be extremely destructive to the dignity and autonomy of the teachers which the s. 2(d) </w:t>
      </w:r>
      <w:r>
        <w:rPr>
          <w:rFonts w:ascii="arial" w:eastAsia="arial" w:hAnsi="arial" w:cs="arial"/>
          <w:i/>
          <w:color w:val="000000"/>
          <w:sz w:val="20"/>
          <w:lang w:val="en-US" w:eastAsia="en-US" w:bidi="ar-SA"/>
        </w:rPr>
        <w:t>Charter</w:t>
      </w:r>
      <w:r>
        <w:rPr>
          <w:rFonts w:ascii="arial" w:eastAsia="arial" w:hAnsi="arial" w:cs="arial"/>
          <w:color w:val="000000"/>
          <w:sz w:val="20"/>
          <w:lang w:val="en-US" w:eastAsia="en-US" w:bidi="ar-SA"/>
        </w:rPr>
        <w:t xml:space="preserve"> right was meant to help protect (</w:t>
      </w:r>
      <w:r>
        <w:rPr>
          <w:rFonts w:ascii="arial" w:eastAsia="arial" w:hAnsi="arial" w:cs="arial"/>
          <w:i/>
          <w:color w:val="000000"/>
          <w:sz w:val="20"/>
          <w:lang w:val="en-US" w:eastAsia="en-US" w:bidi="ar-SA"/>
        </w:rPr>
        <w:t>Health Services</w:t>
      </w:r>
      <w:r>
        <w:rPr>
          <w:rFonts w:ascii="arial" w:eastAsia="arial" w:hAnsi="arial" w:cs="arial"/>
          <w:color w:val="000000"/>
          <w:sz w:val="20"/>
          <w:lang w:val="en-US" w:eastAsia="en-US" w:bidi="ar-SA"/>
        </w:rPr>
        <w:t>, at paras. 80-82).</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462</w:t>
      </w:r>
      <w:r>
        <w:rPr>
          <w:rFonts w:ascii="arial" w:eastAsia="arial" w:hAnsi="arial" w:cs="arial"/>
          <w:color w:val="000000"/>
          <w:sz w:val="20"/>
          <w:lang w:val="en-US" w:eastAsia="en-US" w:bidi="ar-SA"/>
        </w:rPr>
        <w:t>  I conclude that the temporal limitation on s. 13 of Bill 22, which re-enacted the legislation prohibiting collective bargaining over Working Conditions, does not change the analysis on the unconstitutionality of the Bill 22 Duplicative Provisions.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463</w:t>
      </w:r>
      <w:r>
        <w:rPr>
          <w:rFonts w:ascii="arial" w:eastAsia="arial" w:hAnsi="arial" w:cs="arial"/>
          <w:color w:val="000000"/>
          <w:sz w:val="20"/>
          <w:lang w:val="en-US" w:eastAsia="en-US" w:bidi="ar-SA"/>
        </w:rPr>
        <w:t xml:space="preserve">  The Bill 22 Duplicative Provisions constitute a substantial interference with the s. 2(d) </w:t>
      </w:r>
      <w:r>
        <w:rPr>
          <w:rFonts w:ascii="arial" w:eastAsia="arial" w:hAnsi="arial" w:cs="arial"/>
          <w:i/>
          <w:color w:val="000000"/>
          <w:sz w:val="20"/>
          <w:lang w:val="en-US" w:eastAsia="en-US" w:bidi="ar-SA"/>
        </w:rPr>
        <w:t>Charter</w:t>
      </w:r>
      <w:r>
        <w:rPr>
          <w:rFonts w:ascii="arial" w:eastAsia="arial" w:hAnsi="arial" w:cs="arial"/>
          <w:color w:val="000000"/>
          <w:sz w:val="20"/>
          <w:lang w:val="en-US" w:eastAsia="en-US" w:bidi="ar-SA"/>
        </w:rPr>
        <w:t xml:space="preserve"> rights of teachers for the same reasons the similar legislative prohibition on collective bargaining and deletion and prohibition of collective agreement terms was found to be substantial interference in the Bill 28 Decision.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 xml:space="preserve">Issue 5: Does s. 1 of the </w:t>
      </w:r>
      <w:r>
        <w:rPr>
          <w:rFonts w:ascii="arial" w:eastAsia="arial" w:hAnsi="arial" w:cs="arial"/>
          <w:b/>
          <w:i/>
          <w:color w:val="000000"/>
          <w:sz w:val="20"/>
          <w:u w:val="single"/>
          <w:lang w:val="en-US" w:eastAsia="en-US" w:bidi="ar-SA"/>
        </w:rPr>
        <w:t>Charter</w:t>
      </w:r>
      <w:r>
        <w:rPr>
          <w:rFonts w:ascii="arial" w:eastAsia="arial" w:hAnsi="arial" w:cs="arial"/>
          <w:b/>
          <w:color w:val="000000"/>
          <w:sz w:val="20"/>
          <w:u w:val="single"/>
          <w:lang w:val="en-US" w:eastAsia="en-US" w:bidi="ar-SA"/>
        </w:rPr>
        <w:t xml:space="preserve"> Apply to Save the Bill 22 Duplicate Provisions from a Finding of Unconstitutionality?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464</w:t>
      </w:r>
      <w:r>
        <w:rPr>
          <w:rFonts w:ascii="arial" w:eastAsia="arial" w:hAnsi="arial" w:cs="arial"/>
          <w:color w:val="000000"/>
          <w:sz w:val="20"/>
          <w:lang w:val="en-US" w:eastAsia="en-US" w:bidi="ar-SA"/>
        </w:rPr>
        <w:t xml:space="preserve">  I have found that the Bill 22 Duplicative Provisions offend the s. 2(d) </w:t>
      </w:r>
      <w:r>
        <w:rPr>
          <w:rFonts w:ascii="arial" w:eastAsia="arial" w:hAnsi="arial" w:cs="arial"/>
          <w:i/>
          <w:color w:val="000000"/>
          <w:sz w:val="20"/>
          <w:lang w:val="en-US" w:eastAsia="en-US" w:bidi="ar-SA"/>
        </w:rPr>
        <w:t>Charter</w:t>
      </w:r>
      <w:r>
        <w:rPr>
          <w:rFonts w:ascii="arial" w:eastAsia="arial" w:hAnsi="arial" w:cs="arial"/>
          <w:color w:val="000000"/>
          <w:sz w:val="20"/>
          <w:lang w:val="en-US" w:eastAsia="en-US" w:bidi="ar-SA"/>
        </w:rPr>
        <w:t xml:space="preserve"> guaranteed freedom of association of the BCTF members.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465</w:t>
      </w:r>
      <w:r>
        <w:rPr>
          <w:rFonts w:ascii="arial" w:eastAsia="arial" w:hAnsi="arial" w:cs="arial"/>
          <w:color w:val="000000"/>
          <w:sz w:val="20"/>
          <w:lang w:val="en-US" w:eastAsia="en-US" w:bidi="ar-SA"/>
        </w:rPr>
        <w:t xml:space="preserve">  However, the </w:t>
      </w:r>
      <w:r>
        <w:rPr>
          <w:rFonts w:ascii="arial" w:eastAsia="arial" w:hAnsi="arial" w:cs="arial"/>
          <w:i/>
          <w:color w:val="000000"/>
          <w:sz w:val="20"/>
          <w:lang w:val="en-US" w:eastAsia="en-US" w:bidi="ar-SA"/>
        </w:rPr>
        <w:t>Charter</w:t>
      </w:r>
      <w:r>
        <w:rPr>
          <w:rFonts w:ascii="arial" w:eastAsia="arial" w:hAnsi="arial" w:cs="arial"/>
          <w:color w:val="000000"/>
          <w:sz w:val="20"/>
          <w:lang w:val="en-US" w:eastAsia="en-US" w:bidi="ar-SA"/>
        </w:rPr>
        <w:t xml:space="preserve"> permits governments to pass laws infringing </w:t>
      </w:r>
      <w:r>
        <w:rPr>
          <w:rFonts w:ascii="arial" w:eastAsia="arial" w:hAnsi="arial" w:cs="arial"/>
          <w:i/>
          <w:color w:val="000000"/>
          <w:sz w:val="20"/>
          <w:lang w:val="en-US" w:eastAsia="en-US" w:bidi="ar-SA"/>
        </w:rPr>
        <w:t>Charter</w:t>
      </w:r>
      <w:r>
        <w:rPr>
          <w:rFonts w:ascii="arial" w:eastAsia="arial" w:hAnsi="arial" w:cs="arial"/>
          <w:color w:val="000000"/>
          <w:sz w:val="20"/>
          <w:lang w:val="en-US" w:eastAsia="en-US" w:bidi="ar-SA"/>
        </w:rPr>
        <w:t xml:space="preserve"> rights and freedoms if the test provided by s. 1 is met.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466</w:t>
      </w:r>
      <w:r>
        <w:rPr>
          <w:rFonts w:ascii="arial" w:eastAsia="arial" w:hAnsi="arial" w:cs="arial"/>
          <w:color w:val="000000"/>
          <w:sz w:val="20"/>
          <w:lang w:val="en-US" w:eastAsia="en-US" w:bidi="ar-SA"/>
        </w:rPr>
        <w:t>  The legal approach to the s. 1 test is set out in the Bill 28 Decision at paras. 317-322 and following.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467</w:t>
      </w:r>
      <w:r>
        <w:rPr>
          <w:rFonts w:ascii="arial" w:eastAsia="arial" w:hAnsi="arial" w:cs="arial"/>
          <w:color w:val="000000"/>
          <w:sz w:val="20"/>
          <w:lang w:val="en-US" w:eastAsia="en-US" w:bidi="ar-SA"/>
        </w:rPr>
        <w:t xml:space="preserve">  The government has the onus of establishing that its infringement of </w:t>
      </w:r>
      <w:r>
        <w:rPr>
          <w:rFonts w:ascii="arial" w:eastAsia="arial" w:hAnsi="arial" w:cs="arial"/>
          <w:i/>
          <w:color w:val="000000"/>
          <w:sz w:val="20"/>
          <w:lang w:val="en-US" w:eastAsia="en-US" w:bidi="ar-SA"/>
        </w:rPr>
        <w:t>Charter</w:t>
      </w:r>
      <w:r>
        <w:rPr>
          <w:rFonts w:ascii="arial" w:eastAsia="arial" w:hAnsi="arial" w:cs="arial"/>
          <w:color w:val="000000"/>
          <w:sz w:val="20"/>
          <w:lang w:val="en-US" w:eastAsia="en-US" w:bidi="ar-SA"/>
        </w:rPr>
        <w:t xml:space="preserve">-guaranteed rights is "demonstrably justified", meeting the requirements of s. 1 of the </w:t>
      </w:r>
      <w:r>
        <w:rPr>
          <w:rFonts w:ascii="arial" w:eastAsia="arial" w:hAnsi="arial" w:cs="arial"/>
          <w:i/>
          <w:color w:val="000000"/>
          <w:sz w:val="20"/>
          <w:lang w:val="en-US" w:eastAsia="en-US" w:bidi="ar-SA"/>
        </w:rPr>
        <w:t>Charter</w:t>
      </w:r>
      <w:r>
        <w:rPr>
          <w:rFonts w:ascii="arial" w:eastAsia="arial" w:hAnsi="arial" w:cs="arial"/>
          <w:color w:val="000000"/>
          <w:sz w:val="20"/>
          <w:lang w:val="en-US" w:eastAsia="en-US" w:bidi="ar-SA"/>
        </w:rPr>
        <w:t>. In brief:</w:t>
      </w:r>
      <w:r>
        <w:rPr>
          <w:rFonts w:ascii="arial" w:eastAsia="arial" w:hAnsi="arial" w:cs="arial"/>
          <w:sz w:val="20"/>
          <w:lang w:val="en-US" w:eastAsia="en-US" w:bidi="ar-SA"/>
        </w:rPr>
        <w:cr/>
      </w:r>
    </w:p>
    <w:p>
      <w:pPr>
        <w:numPr>
          <w:numId w:val="8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government must establish that the law has a pressing and substantial objective;</w:t>
      </w:r>
    </w:p>
    <w:p>
      <w:pPr>
        <w:numPr>
          <w:numId w:val="11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there must be a rational connection between the means adopted by the legislation and the pressing and substantial objective;</w:t>
      </w:r>
    </w:p>
    <w:p>
      <w:pPr>
        <w:numPr>
          <w:numId w:val="11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legislation must minimally impair the </w:t>
      </w:r>
      <w:r>
        <w:rPr>
          <w:rFonts w:ascii="arial" w:eastAsia="arial" w:hAnsi="arial" w:cs="arial"/>
          <w:i/>
          <w:color w:val="000000"/>
          <w:sz w:val="20"/>
          <w:lang w:val="en-US" w:eastAsia="en-US" w:bidi="ar-SA"/>
        </w:rPr>
        <w:t>Charter</w:t>
      </w:r>
      <w:r>
        <w:rPr>
          <w:rFonts w:ascii="arial" w:eastAsia="arial" w:hAnsi="arial" w:cs="arial"/>
          <w:color w:val="000000"/>
          <w:sz w:val="20"/>
          <w:lang w:val="en-US" w:eastAsia="en-US" w:bidi="ar-SA"/>
        </w:rPr>
        <w:t xml:space="preserve"> right;</w:t>
      </w:r>
    </w:p>
    <w:p>
      <w:pPr>
        <w:numPr>
          <w:numId w:val="11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there must be proportionality between the objective and its effects.</w:t>
      </w:r>
    </w:p>
    <w:p>
      <w:pPr>
        <w:spacing w:before="120" w:line="260" w:lineRule="atLeast"/>
        <w:ind w:left="1800"/>
        <w:rPr>
          <w:rFonts w:ascii="arial" w:eastAsia="arial" w:hAnsi="arial" w:cs="arial"/>
          <w:sz w:val="20"/>
          <w:lang w:val="en-US" w:eastAsia="en-US" w:bidi="ar-SA"/>
        </w:rPr>
      </w:pPr>
      <w:r>
        <w:rPr>
          <w:rFonts w:ascii="arial" w:eastAsia="arial" w:hAnsi="arial" w:cs="arial"/>
          <w:i/>
          <w:color w:val="000000"/>
          <w:sz w:val="20"/>
          <w:lang w:val="en-US" w:eastAsia="en-US" w:bidi="ar-SA"/>
        </w:rPr>
        <w:t>(Hutterian Brethren</w:t>
      </w:r>
      <w:r>
        <w:rPr>
          <w:rFonts w:ascii="arial" w:eastAsia="arial" w:hAnsi="arial" w:cs="arial"/>
          <w:color w:val="000000"/>
          <w:sz w:val="20"/>
          <w:lang w:val="en-US" w:eastAsia="en-US" w:bidi="ar-SA"/>
        </w:rPr>
        <w:t>, at para. 186.)</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468</w:t>
      </w:r>
      <w:r>
        <w:rPr>
          <w:rFonts w:ascii="arial" w:eastAsia="arial" w:hAnsi="arial" w:cs="arial"/>
          <w:color w:val="000000"/>
          <w:sz w:val="20"/>
          <w:lang w:val="en-US" w:eastAsia="en-US" w:bidi="ar-SA"/>
        </w:rPr>
        <w:t>  The government relies on the findings in the Bill 28 Decision that the government's policy objectives were pressing and substantial, and that the impugned legislation was rationally connected to those objectives.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469</w:t>
      </w:r>
      <w:r>
        <w:rPr>
          <w:rFonts w:ascii="arial" w:eastAsia="arial" w:hAnsi="arial" w:cs="arial"/>
          <w:color w:val="000000"/>
          <w:sz w:val="20"/>
          <w:lang w:val="en-US" w:eastAsia="en-US" w:bidi="ar-SA"/>
        </w:rPr>
        <w:t>  In the Bill 28 Decision this Court held:</w:t>
      </w:r>
      <w:r>
        <w:rPr>
          <w:rFonts w:ascii="arial" w:eastAsia="arial" w:hAnsi="arial" w:cs="arial"/>
          <w:sz w:val="20"/>
          <w:lang w:val="en-US" w:eastAsia="en-US" w:bidi="ar-SA"/>
        </w:rPr>
        <w:cr/>
      </w:r>
    </w:p>
    <w:p>
      <w:pPr>
        <w:numPr>
          <w:numId w:val="11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stated goal of the government with the legislation was to give school boards more flexibility to manage class size and composition issues and to respond to choices of parents and students and to make their own decisions on better use of facilities and human resources, and this was a pressing and substantial objective (at paras. 327, 331, 338-339);</w:t>
      </w:r>
    </w:p>
    <w:p>
      <w:pPr>
        <w:numPr>
          <w:numId w:val="11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this was rationally connected to the legislation because it gave power to school boards to decide these issues without needing to meet union demands in collective bargaining (at para. 343).</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470</w:t>
      </w:r>
      <w:r>
        <w:rPr>
          <w:rFonts w:ascii="arial" w:eastAsia="arial" w:hAnsi="arial" w:cs="arial"/>
          <w:color w:val="000000"/>
          <w:sz w:val="20"/>
          <w:lang w:val="en-US" w:eastAsia="en-US" w:bidi="ar-SA"/>
        </w:rPr>
        <w:t>  As I have noted, the government does not argue that there were any circumstances of exigency following the Bill 28 Decision in relation to Bill 22.</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471</w:t>
      </w:r>
      <w:r>
        <w:rPr>
          <w:rFonts w:ascii="arial" w:eastAsia="arial" w:hAnsi="arial" w:cs="arial"/>
          <w:color w:val="000000"/>
          <w:sz w:val="20"/>
          <w:lang w:val="en-US" w:eastAsia="en-US" w:bidi="ar-SA"/>
        </w:rPr>
        <w:t>  There was speculative reference in the evidence and submissions to the potential costs to school districts if the legislation deleting terms of the collective agreement was struck down, however neither party attempted to call direct evidence on those costs. Both parties agree that these costs are irrelevant to the s. 1 analysis here.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472</w:t>
      </w:r>
      <w:r>
        <w:rPr>
          <w:rFonts w:ascii="arial" w:eastAsia="arial" w:hAnsi="arial" w:cs="arial"/>
          <w:color w:val="000000"/>
          <w:sz w:val="20"/>
          <w:lang w:val="en-US" w:eastAsia="en-US" w:bidi="ar-SA"/>
        </w:rPr>
        <w:t xml:space="preserve">  Importantly, the government does not say that because the potential costs of restoring the deleted language will be so large, it was therefore justified pursuant to s. 1 of the </w:t>
      </w:r>
      <w:r>
        <w:rPr>
          <w:rFonts w:ascii="arial" w:eastAsia="arial" w:hAnsi="arial" w:cs="arial"/>
          <w:i/>
          <w:color w:val="000000"/>
          <w:sz w:val="20"/>
          <w:lang w:val="en-US" w:eastAsia="en-US" w:bidi="ar-SA"/>
        </w:rPr>
        <w:t>Charter</w:t>
      </w:r>
      <w:r>
        <w:rPr>
          <w:rFonts w:ascii="arial" w:eastAsia="arial" w:hAnsi="arial" w:cs="arial"/>
          <w:color w:val="000000"/>
          <w:sz w:val="20"/>
          <w:lang w:val="en-US" w:eastAsia="en-US" w:bidi="ar-SA"/>
        </w:rPr>
        <w:t xml:space="preserve"> in enacting the Bill 22 provisions.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473</w:t>
      </w:r>
      <w:r>
        <w:rPr>
          <w:rFonts w:ascii="arial" w:eastAsia="arial" w:hAnsi="arial" w:cs="arial"/>
          <w:color w:val="000000"/>
          <w:sz w:val="20"/>
          <w:lang w:val="en-US" w:eastAsia="en-US" w:bidi="ar-SA"/>
        </w:rPr>
        <w:t xml:space="preserve">  This is consistent with the authorities. As held in </w:t>
      </w:r>
      <w:r>
        <w:rPr>
          <w:rFonts w:ascii="arial" w:eastAsia="arial" w:hAnsi="arial" w:cs="arial"/>
          <w:i/>
          <w:color w:val="000000"/>
          <w:sz w:val="20"/>
          <w:lang w:val="en-US" w:eastAsia="en-US" w:bidi="ar-SA"/>
        </w:rPr>
        <w:t>Schachter</w:t>
      </w:r>
      <w:r>
        <w:rPr>
          <w:rFonts w:ascii="arial" w:eastAsia="arial" w:hAnsi="arial" w:cs="arial"/>
          <w:color w:val="000000"/>
          <w:sz w:val="20"/>
          <w:lang w:val="en-US" w:eastAsia="en-US" w:bidi="ar-SA"/>
        </w:rPr>
        <w:t xml:space="preserve"> at 709, "budgetary considerations cannot be used to justify a violation under s. 1".</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474</w:t>
      </w:r>
      <w:r>
        <w:rPr>
          <w:rFonts w:ascii="arial" w:eastAsia="arial" w:hAnsi="arial" w:cs="arial"/>
          <w:color w:val="000000"/>
          <w:sz w:val="20"/>
          <w:lang w:val="en-US" w:eastAsia="en-US" w:bidi="ar-SA"/>
        </w:rPr>
        <w:t>  Rather, under the s. 1 analysis, the government simply relies on the argument that the Bill 22 Duplicative Provisions constitute minimal impairment of the right because (a) there was pre-legislation consultation; and (b) the provision prohibiting collective bargaining is time restricted, such that the BCTF's right to collectively bargain these issues was restored after June 2013.</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475</w:t>
      </w:r>
      <w:r>
        <w:rPr>
          <w:rFonts w:ascii="arial" w:eastAsia="arial" w:hAnsi="arial" w:cs="arial"/>
          <w:color w:val="000000"/>
          <w:sz w:val="20"/>
          <w:lang w:val="en-US" w:eastAsia="en-US" w:bidi="ar-SA"/>
        </w:rPr>
        <w:t>  The BCTF argues firstly that the government cannot rely on the findings in the Bill 28 Decision as to the government having pressing and substantial policy objectives and the legislation being rationally connected to those objections. This is not only because the government was unsuccessful in upholding the challenged legislation. It is also because the Court in the Bill 28 Decision rejected the assertion that the government policy objectives could not be accomplished within the process of collective bargaining:</w:t>
      </w:r>
      <w:r>
        <w:rPr>
          <w:rFonts w:ascii="arial" w:eastAsia="arial" w:hAnsi="arial" w:cs="arial"/>
          <w:sz w:val="20"/>
          <w:lang w:val="en-US" w:eastAsia="en-US" w:bidi="ar-SA"/>
        </w:rPr>
        <w:cr/>
      </w:r>
    </w:p>
    <w:p>
      <w:pPr>
        <w:numPr>
          <w:numId w:val="11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Court found that the policy objectives of "flexibility" and "choice" could be accomplished within collective bargaining, and that many terms of the collective agreement provided flexibility and choice already (at para. 378).</w:t>
      </w:r>
    </w:p>
    <w:p>
      <w:pPr>
        <w:numPr>
          <w:numId w:val="12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Court was critical of the government for not pursuing other established labour solutions in the event of a collective bargaining impasse which would preserve the employees' freedom to associate to influence their Working Conditions (at para. 368).</w:t>
      </w:r>
    </w:p>
    <w:p>
      <w:pPr>
        <w:numPr>
          <w:numId w:val="12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Court was critical of the government goal of taking important Working Conditions out of the collective bargaining process (at para. 375).</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476</w:t>
      </w:r>
      <w:r>
        <w:rPr>
          <w:rFonts w:ascii="arial" w:eastAsia="arial" w:hAnsi="arial" w:cs="arial"/>
          <w:color w:val="000000"/>
          <w:sz w:val="20"/>
          <w:lang w:val="en-US" w:eastAsia="en-US" w:bidi="ar-SA"/>
        </w:rPr>
        <w:t>  I accept the BCTF argument that having learned the above results in the Bill 28 Decision, the government is not able to rest on the same legislative goals that it had for Bill 28 as the basis for the Bill 22 Duplicative Provisions.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477</w:t>
      </w:r>
      <w:r>
        <w:rPr>
          <w:rFonts w:ascii="arial" w:eastAsia="arial" w:hAnsi="arial" w:cs="arial"/>
          <w:color w:val="000000"/>
          <w:sz w:val="20"/>
          <w:lang w:val="en-US" w:eastAsia="en-US" w:bidi="ar-SA"/>
        </w:rPr>
        <w:t>  After the findings were made in the Bill 28 Decision I conclude:</w:t>
      </w:r>
      <w:r>
        <w:rPr>
          <w:rFonts w:ascii="arial" w:eastAsia="arial" w:hAnsi="arial" w:cs="arial"/>
          <w:sz w:val="20"/>
          <w:lang w:val="en-US" w:eastAsia="en-US" w:bidi="ar-SA"/>
        </w:rPr>
        <w:cr/>
      </w:r>
    </w:p>
    <w:p>
      <w:pPr>
        <w:numPr>
          <w:numId w:val="12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government goal of increasing the ability of school boards to decide issues regarding Working Conditions and better enhance management "flexibility" and "choice" by not having to engage in collective bargaining over these issues was no longer pressing and substantial; and,</w:t>
      </w:r>
    </w:p>
    <w:p>
      <w:pPr>
        <w:numPr>
          <w:numId w:val="12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it was no longer rational for the government to connect its goals of flexibility and choice to the Bill 22 Duplicative Provisions imposing broad limitations on collective bargaining.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478</w:t>
      </w:r>
      <w:r>
        <w:rPr>
          <w:rFonts w:ascii="arial" w:eastAsia="arial" w:hAnsi="arial" w:cs="arial"/>
          <w:color w:val="000000"/>
          <w:sz w:val="20"/>
          <w:lang w:val="en-US" w:eastAsia="en-US" w:bidi="ar-SA"/>
        </w:rPr>
        <w:t>  Nevertheless, I will go on to consider the government's argument that the Bill 22 Duplicative Provisions constitute minimal impairment of the right because of its discussions in advance of Bill 22, and because the prohibition on collective bargaining over Working Conditions is time limited.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479</w:t>
      </w:r>
      <w:r>
        <w:rPr>
          <w:rFonts w:ascii="arial" w:eastAsia="arial" w:hAnsi="arial" w:cs="arial"/>
          <w:color w:val="000000"/>
          <w:sz w:val="20"/>
          <w:lang w:val="en-US" w:eastAsia="en-US" w:bidi="ar-SA"/>
        </w:rPr>
        <w:t>  There were a number of options open to the government following the Bill 28 Decision. It was facing a situation where it had now been judicially recognized that the government had acted unconstitutionally in respect of the BCTF for nine years, since introducing Bill 28 in 2002. The relations between the BCTF and the government had no doubt deteriorated substantially during that time.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480</w:t>
      </w:r>
      <w:r>
        <w:rPr>
          <w:rFonts w:ascii="arial" w:eastAsia="arial" w:hAnsi="arial" w:cs="arial"/>
          <w:color w:val="000000"/>
          <w:sz w:val="20"/>
          <w:lang w:val="en-US" w:eastAsia="en-US" w:bidi="ar-SA"/>
        </w:rPr>
        <w:t>  The government consultation with the BCTF was not a search for a minimally impairing solution, for all of the same reasons that I have already found it not to amount to good faith consultation.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481</w:t>
      </w:r>
      <w:r>
        <w:rPr>
          <w:rFonts w:ascii="arial" w:eastAsia="arial" w:hAnsi="arial" w:cs="arial"/>
          <w:color w:val="000000"/>
          <w:sz w:val="20"/>
          <w:lang w:val="en-US" w:eastAsia="en-US" w:bidi="ar-SA"/>
        </w:rPr>
        <w:t>  The government proposals during the discussions with the BCTF combined the two positions: a refusal to restore the right to collectively bargain over Working Conditions, with a refusal to restore the deleted terms. This was so broad as to be unreasonable. It left the BCTF with virtually nothing to work with.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482</w:t>
      </w:r>
      <w:r>
        <w:rPr>
          <w:rFonts w:ascii="arial" w:eastAsia="arial" w:hAnsi="arial" w:cs="arial"/>
          <w:color w:val="000000"/>
          <w:sz w:val="20"/>
          <w:lang w:val="en-US" w:eastAsia="en-US" w:bidi="ar-SA"/>
        </w:rPr>
        <w:t>  Had the government not extended the prohibition on collective bargaining, and had the government not re-deleted terms of the collective agreement, collectively bargaining could have dealt with any management-side desire to change the substance of the Working Conditions clauses.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483</w:t>
      </w:r>
      <w:r>
        <w:rPr>
          <w:rFonts w:ascii="arial" w:eastAsia="arial" w:hAnsi="arial" w:cs="arial"/>
          <w:color w:val="000000"/>
          <w:sz w:val="20"/>
          <w:lang w:val="en-US" w:eastAsia="en-US" w:bidi="ar-SA"/>
        </w:rPr>
        <w:t>  If collected bargaining resulted in an impasse (and we do not know that it would) there are all sorts of tools available for resolving the impasse without infringing collective bargaining rights, as mentioned in the Bill 28 Decision (at para. 368), whether by mandatory arbitration, mediation, or otherwise.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484</w:t>
      </w:r>
      <w:r>
        <w:rPr>
          <w:rFonts w:ascii="arial" w:eastAsia="arial" w:hAnsi="arial" w:cs="arial"/>
          <w:color w:val="000000"/>
          <w:sz w:val="20"/>
          <w:lang w:val="en-US" w:eastAsia="en-US" w:bidi="ar-SA"/>
        </w:rPr>
        <w:t>  What was going to potentially cost the government coffers was the retroactive return of the Working Conditions clauses to the collective agreement and having those terms serve as the starting point for ongoing bargaining. There is no doubt that it is an important part of the government's legitimate function to manage these costs.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485</w:t>
      </w:r>
      <w:r>
        <w:rPr>
          <w:rFonts w:ascii="arial" w:eastAsia="arial" w:hAnsi="arial" w:cs="arial"/>
          <w:color w:val="000000"/>
          <w:sz w:val="20"/>
          <w:lang w:val="en-US" w:eastAsia="en-US" w:bidi="ar-SA"/>
        </w:rPr>
        <w:t xml:space="preserve">  It would have been an option for the government to hold out to BCTF and BCPSEA that it would make some additional funding available if the parties to the collective agreement were able to resolve all past class size and composition grievances and agree on new language relating to the Working Conditions in the collective agreements. The government had used the promise of funding in the past to influence the result of collective bargaining. This would have been similar to the settlement reached between the health services unions and employer associations after the </w:t>
      </w:r>
      <w:r>
        <w:rPr>
          <w:rFonts w:ascii="arial" w:eastAsia="arial" w:hAnsi="arial" w:cs="arial"/>
          <w:i/>
          <w:color w:val="000000"/>
          <w:sz w:val="20"/>
          <w:lang w:val="en-US" w:eastAsia="en-US" w:bidi="ar-SA"/>
        </w:rPr>
        <w:t>Health Services</w:t>
      </w:r>
      <w:r>
        <w:rPr>
          <w:rFonts w:ascii="arial" w:eastAsia="arial" w:hAnsi="arial" w:cs="arial"/>
          <w:color w:val="000000"/>
          <w:sz w:val="20"/>
          <w:lang w:val="en-US" w:eastAsia="en-US" w:bidi="ar-SA"/>
        </w:rPr>
        <w:t xml:space="preserve"> decision.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486</w:t>
      </w:r>
      <w:r>
        <w:rPr>
          <w:rFonts w:ascii="arial" w:eastAsia="arial" w:hAnsi="arial" w:cs="arial"/>
          <w:color w:val="000000"/>
          <w:sz w:val="20"/>
          <w:lang w:val="en-US" w:eastAsia="en-US" w:bidi="ar-SA"/>
        </w:rPr>
        <w:t>  The government did not choose to follow this path or anything similar. I do not suggest that this was the only path open to the government. However, I do wish to point out that the government had conciliatory paths open to it which were far less intrusive on s. 2(d) rights.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487</w:t>
      </w:r>
      <w:r>
        <w:rPr>
          <w:rFonts w:ascii="arial" w:eastAsia="arial" w:hAnsi="arial" w:cs="arial"/>
          <w:color w:val="000000"/>
          <w:sz w:val="20"/>
          <w:lang w:val="en-US" w:eastAsia="en-US" w:bidi="ar-SA"/>
        </w:rPr>
        <w:t>  Furthermore, the government representatives did not even read the deleted clauses until far too late in the process. Then, when they discussed which clauses they might not object to, they refused to provide the BCTF with the parameters they had used to review the clauses, making it impossible for the BCTF to meaningfully respond.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488</w:t>
      </w:r>
      <w:r>
        <w:rPr>
          <w:rFonts w:ascii="arial" w:eastAsia="arial" w:hAnsi="arial" w:cs="arial"/>
          <w:color w:val="000000"/>
          <w:sz w:val="20"/>
          <w:lang w:val="en-US" w:eastAsia="en-US" w:bidi="ar-SA"/>
        </w:rPr>
        <w:t>  The BCTF did show a willingness to negotiate the content of the deleted terms of the collective agreement and a willingness to discuss costs, but it insisted on maintaining the right to bargain over Working Conditions. The government team made it clear that it was not costs driving their motivation, but management rights.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489</w:t>
      </w:r>
      <w:r>
        <w:rPr>
          <w:rFonts w:ascii="arial" w:eastAsia="arial" w:hAnsi="arial" w:cs="arial"/>
          <w:color w:val="000000"/>
          <w:sz w:val="20"/>
          <w:lang w:val="en-US" w:eastAsia="en-US" w:bidi="ar-SA"/>
        </w:rPr>
        <w:t>  For the above reasons, I conclude that the government discussions with the BCTF post-the Bill 28 Decision do not satisfy the minimal impairment test. I also conclude that the time-limited nature of the continued prohibition on collective bargaining also does not satisfy the minimal impairment test.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490</w:t>
      </w:r>
      <w:r>
        <w:rPr>
          <w:rFonts w:ascii="arial" w:eastAsia="arial" w:hAnsi="arial" w:cs="arial"/>
          <w:color w:val="000000"/>
          <w:sz w:val="20"/>
          <w:lang w:val="en-US" w:eastAsia="en-US" w:bidi="ar-SA"/>
        </w:rPr>
        <w:t>  The following conclusion reached in the Bill 28 Decision at para. 380 applies equally here to the Bill 22 Duplicative Provisions: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legislation undoubtedly was seen by teachers as evidence that the government did not respect them or consider them to be valued contributors to the education system, having excluded them from any freedom to associate to influence their Working Conditions. This was a seriously deleterious effect of the legislation, one adversely disproportionate to any salutary effects revealed by the evidence.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491</w:t>
      </w:r>
      <w:r>
        <w:rPr>
          <w:rFonts w:ascii="arial" w:eastAsia="arial" w:hAnsi="arial" w:cs="arial"/>
          <w:color w:val="000000"/>
          <w:sz w:val="20"/>
          <w:lang w:val="en-US" w:eastAsia="en-US" w:bidi="ar-SA"/>
        </w:rPr>
        <w:t>  The harmful effects of the legislation were adversely disproportionate to any objectives of the legislation.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492</w:t>
      </w:r>
      <w:r>
        <w:rPr>
          <w:rFonts w:ascii="arial" w:eastAsia="arial" w:hAnsi="arial" w:cs="arial"/>
          <w:color w:val="000000"/>
          <w:sz w:val="20"/>
          <w:lang w:val="en-US" w:eastAsia="en-US" w:bidi="ar-SA"/>
        </w:rPr>
        <w:t xml:space="preserve">  I therefore find that the Bill 22 Duplicative Provisions are not saved by s. 1 of the </w:t>
      </w:r>
      <w:r>
        <w:rPr>
          <w:rFonts w:ascii="arial" w:eastAsia="arial" w:hAnsi="arial" w:cs="arial"/>
          <w:i/>
          <w:color w:val="000000"/>
          <w:sz w:val="20"/>
          <w:lang w:val="en-US" w:eastAsia="en-US" w:bidi="ar-SA"/>
        </w:rPr>
        <w:t>Charter</w:t>
      </w:r>
      <w:r>
        <w:rPr>
          <w:rFonts w:ascii="arial" w:eastAsia="arial" w:hAnsi="arial" w:cs="arial"/>
          <w:color w:val="000000"/>
          <w:sz w:val="20"/>
          <w:lang w:val="en-US" w:eastAsia="en-US" w:bidi="ar-SA"/>
        </w:rPr>
        <w:t>, and are unconstitutional.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Issue 6: Are Either or Both of the Two Regulations Unconstitutional?</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The Learning Improvement Fund Regulation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493</w:t>
      </w:r>
      <w:r>
        <w:rPr>
          <w:rFonts w:ascii="arial" w:eastAsia="arial" w:hAnsi="arial" w:cs="arial"/>
          <w:color w:val="000000"/>
          <w:sz w:val="20"/>
          <w:lang w:val="en-US" w:eastAsia="en-US" w:bidi="ar-SA"/>
        </w:rPr>
        <w:t xml:space="preserve">  Sections 18 and 19 of Bill 22 amended the </w:t>
      </w:r>
      <w:r>
        <w:rPr>
          <w:rFonts w:ascii="arial" w:eastAsia="arial" w:hAnsi="arial" w:cs="arial"/>
          <w:i/>
          <w:color w:val="000000"/>
          <w:sz w:val="20"/>
          <w:lang w:val="en-US" w:eastAsia="en-US" w:bidi="ar-SA"/>
        </w:rPr>
        <w:t>School Act</w:t>
      </w:r>
      <w:r>
        <w:rPr>
          <w:rFonts w:ascii="arial" w:eastAsia="arial" w:hAnsi="arial" w:cs="arial"/>
          <w:color w:val="000000"/>
          <w:sz w:val="20"/>
          <w:lang w:val="en-US" w:eastAsia="en-US" w:bidi="ar-SA"/>
        </w:rPr>
        <w:t xml:space="preserve"> at s. 115.2, to provide for the establishment of a learning improvement fund, funded by appropriation by the Legislature. It provides that the Minister of Education must make grants to school boards each year from the fund for the purpose of enabling the boards to "address learning improvement issues". Before the first grant each year, the Minister is required to "consult with the [BCTF] respecting the allocation among boards of grants from the learning improvement fund".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494</w:t>
      </w:r>
      <w:r>
        <w:rPr>
          <w:rFonts w:ascii="arial" w:eastAsia="arial" w:hAnsi="arial" w:cs="arial"/>
          <w:color w:val="000000"/>
          <w:sz w:val="20"/>
          <w:lang w:val="en-US" w:eastAsia="en-US" w:bidi="ar-SA"/>
        </w:rPr>
        <w:t>  The consultation with the BCTF is only to do with allocation of the fund to school districts, presumably on the basis of prioritizing which districts get the money. However, so far the process by the minister has been just to allocate the fund on a pro rata basis without considering any special problems in one district.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495</w:t>
      </w:r>
      <w:r>
        <w:rPr>
          <w:rFonts w:ascii="arial" w:eastAsia="arial" w:hAnsi="arial" w:cs="arial"/>
          <w:color w:val="000000"/>
          <w:sz w:val="20"/>
          <w:lang w:val="en-US" w:eastAsia="en-US" w:bidi="ar-SA"/>
        </w:rPr>
        <w:t>  The BCTF position has been that this type of funding encourages competition between schools with the worst problems and most need and is not the correct approach.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496</w:t>
      </w:r>
      <w:r>
        <w:rPr>
          <w:rFonts w:ascii="arial" w:eastAsia="arial" w:hAnsi="arial" w:cs="arial"/>
          <w:color w:val="000000"/>
          <w:sz w:val="20"/>
          <w:lang w:val="en-US" w:eastAsia="en-US" w:bidi="ar-SA"/>
        </w:rPr>
        <w:t>  The LIF regulation provides that school boards have to submit a spending plan to the Minister allocating any grants under the LIF to one or more of: additional staff, additional teaching time and service to students, professional development training of teaching staff to address challenging learning conditions, and a reserve fund for any of these needs.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497</w:t>
      </w:r>
      <w:r>
        <w:rPr>
          <w:rFonts w:ascii="arial" w:eastAsia="arial" w:hAnsi="arial" w:cs="arial"/>
          <w:color w:val="000000"/>
          <w:sz w:val="20"/>
          <w:lang w:val="en-US" w:eastAsia="en-US" w:bidi="ar-SA"/>
        </w:rPr>
        <w:t>  School boards are to consult with school administrators and teachers with no role for the BCTF as an organization, except that the local union president is one of the several parties to be consulted. This is clearly a process meant to dilute the influence and role of the BCTF.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498</w:t>
      </w:r>
      <w:r>
        <w:rPr>
          <w:rFonts w:ascii="arial" w:eastAsia="arial" w:hAnsi="arial" w:cs="arial"/>
          <w:color w:val="000000"/>
          <w:sz w:val="20"/>
          <w:lang w:val="en-US" w:eastAsia="en-US" w:bidi="ar-SA"/>
        </w:rPr>
        <w:t>  The LIF is not meant to address Working Conditions of teachers. The limited consultation with the BCTF with respect to allocation of the fund to school districts is not meant to address Working Conditions of teachers. This limited consultation is not part of any collective agreement or otherwise binds teachers' employers.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499</w:t>
      </w:r>
      <w:r>
        <w:rPr>
          <w:rFonts w:ascii="arial" w:eastAsia="arial" w:hAnsi="arial" w:cs="arial"/>
          <w:color w:val="000000"/>
          <w:sz w:val="20"/>
          <w:lang w:val="en-US" w:eastAsia="en-US" w:bidi="ar-SA"/>
        </w:rPr>
        <w:t>  The size of the fund appears to have been based on government's very rough assessment that it would address approximately 25% of the most serious situations where class composition was affecting learning conditions. For example, this might be a situation where there might be so many special needs students integrated into a class and not enough present resources to manage those students' needs and to still provide adequate learning conditions for other students in the class.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500</w:t>
      </w:r>
      <w:r>
        <w:rPr>
          <w:rFonts w:ascii="arial" w:eastAsia="arial" w:hAnsi="arial" w:cs="arial"/>
          <w:color w:val="000000"/>
          <w:sz w:val="20"/>
          <w:lang w:val="en-US" w:eastAsia="en-US" w:bidi="ar-SA"/>
        </w:rPr>
        <w:t>  Because the LIF has nothing to do with addressing teachers' Working Conditions, the government can allocate grants from it as it sees fit without changing teachers' Working Conditions. For example, the government can allocate grants to allow school districts to hire additional support staff with no decrease in the number of special needs students per class having to be taught by a single teacher who remains responsible for also teaching all the other students in a class.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501</w:t>
      </w:r>
      <w:r>
        <w:rPr>
          <w:rFonts w:ascii="arial" w:eastAsia="arial" w:hAnsi="arial" w:cs="arial"/>
          <w:color w:val="000000"/>
          <w:sz w:val="20"/>
          <w:lang w:val="en-US" w:eastAsia="en-US" w:bidi="ar-SA"/>
        </w:rPr>
        <w:t>  If the LIF was meant to provide a process to replace the collective bargaining rights taken away by the Bill 22 Duplicative Provisions, I would find that it does not come close to doing so. However, the government does not argue that this is the intention or effect of the legislation. It submits that the LIF is a separate part of the government's education policy agenda.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502</w:t>
      </w:r>
      <w:r>
        <w:rPr>
          <w:rFonts w:ascii="arial" w:eastAsia="arial" w:hAnsi="arial" w:cs="arial"/>
          <w:color w:val="000000"/>
          <w:sz w:val="20"/>
          <w:lang w:val="en-US" w:eastAsia="en-US" w:bidi="ar-SA"/>
        </w:rPr>
        <w:t xml:space="preserve">  Nevertheless, to be clear, I find that the LIF Regulation and associated provisions of the </w:t>
      </w:r>
      <w:r>
        <w:rPr>
          <w:rFonts w:ascii="arial" w:eastAsia="arial" w:hAnsi="arial" w:cs="arial"/>
          <w:i/>
          <w:color w:val="000000"/>
          <w:sz w:val="20"/>
          <w:lang w:val="en-US" w:eastAsia="en-US" w:bidi="ar-SA"/>
        </w:rPr>
        <w:t>EIA</w:t>
      </w:r>
      <w:r>
        <w:rPr>
          <w:rFonts w:ascii="arial" w:eastAsia="arial" w:hAnsi="arial" w:cs="arial"/>
          <w:color w:val="000000"/>
          <w:sz w:val="20"/>
          <w:lang w:val="en-US" w:eastAsia="en-US" w:bidi="ar-SA"/>
        </w:rPr>
        <w:t xml:space="preserve"> do not provide for a process in any way akin to collective bargaining, as these provisions do not provide for a meaningful opportunity for teachers to associate to make representations to their employers and to have their employers consider them in good faith.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503</w:t>
      </w:r>
      <w:r>
        <w:rPr>
          <w:rFonts w:ascii="arial" w:eastAsia="arial" w:hAnsi="arial" w:cs="arial"/>
          <w:color w:val="000000"/>
          <w:sz w:val="20"/>
          <w:lang w:val="en-US" w:eastAsia="en-US" w:bidi="ar-SA"/>
        </w:rPr>
        <w:t xml:space="preserve">  Despite this, I find that these provisions on their own do not amount to a substantial interference with the ability of the BCTF to attempt to influence teachers' employers' association, BCPSEA, on employment related matters and Working Conditions. As such they do not violate the BCTF members' s. 2(d) </w:t>
      </w:r>
      <w:r>
        <w:rPr>
          <w:rFonts w:ascii="arial" w:eastAsia="arial" w:hAnsi="arial" w:cs="arial"/>
          <w:i/>
          <w:color w:val="000000"/>
          <w:sz w:val="20"/>
          <w:lang w:val="en-US" w:eastAsia="en-US" w:bidi="ar-SA"/>
        </w:rPr>
        <w:t>Charter</w:t>
      </w:r>
      <w:r>
        <w:rPr>
          <w:rFonts w:ascii="arial" w:eastAsia="arial" w:hAnsi="arial" w:cs="arial"/>
          <w:color w:val="000000"/>
          <w:sz w:val="20"/>
          <w:lang w:val="en-US" w:eastAsia="en-US" w:bidi="ar-SA"/>
        </w:rPr>
        <w:t xml:space="preserve"> rights.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Class Size Compensation Regulation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504</w:t>
      </w:r>
      <w:r>
        <w:rPr>
          <w:rFonts w:ascii="arial" w:eastAsia="arial" w:hAnsi="arial" w:cs="arial"/>
          <w:color w:val="000000"/>
          <w:sz w:val="20"/>
          <w:lang w:val="en-US" w:eastAsia="en-US" w:bidi="ar-SA"/>
        </w:rPr>
        <w:t>  The Class Size Compensation Regulation provides for a formula to compensate teachers of grades 4 to 12 classes with additional preparation time, professional development, classroom supplies, or pay, where classes exceed thirty students, subject to exceptions.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505</w:t>
      </w:r>
      <w:r>
        <w:rPr>
          <w:rFonts w:ascii="arial" w:eastAsia="arial" w:hAnsi="arial" w:cs="arial"/>
          <w:color w:val="000000"/>
          <w:sz w:val="20"/>
          <w:lang w:val="en-US" w:eastAsia="en-US" w:bidi="ar-SA"/>
        </w:rPr>
        <w:t>  The government consulted with employers but not with the BCTF prior to introducing the legislation. The government says that this, like the LIF idea, are separate parts of its education policy agenda and it does not submit that the regulation ameliorates any of the Bill 22 Duplicative Provisions.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506</w:t>
      </w:r>
      <w:r>
        <w:rPr>
          <w:rFonts w:ascii="arial" w:eastAsia="arial" w:hAnsi="arial" w:cs="arial"/>
          <w:color w:val="000000"/>
          <w:sz w:val="20"/>
          <w:lang w:val="en-US" w:eastAsia="en-US" w:bidi="ar-SA"/>
        </w:rPr>
        <w:t>  The BCTF is opposed to the legislation, calling it "cash for kids".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507</w:t>
      </w:r>
      <w:r>
        <w:rPr>
          <w:rFonts w:ascii="arial" w:eastAsia="arial" w:hAnsi="arial" w:cs="arial"/>
          <w:color w:val="000000"/>
          <w:sz w:val="20"/>
          <w:lang w:val="en-US" w:eastAsia="en-US" w:bidi="ar-SA"/>
        </w:rPr>
        <w:t>  There is some irony in the positions of both parties regarding this regulation.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508</w:t>
      </w:r>
      <w:r>
        <w:rPr>
          <w:rFonts w:ascii="arial" w:eastAsia="arial" w:hAnsi="arial" w:cs="arial"/>
          <w:color w:val="000000"/>
          <w:sz w:val="20"/>
          <w:lang w:val="en-US" w:eastAsia="en-US" w:bidi="ar-SA"/>
        </w:rPr>
        <w:t>  Through this regulation the government enacted a rigid, inflexible formulaic approach to some class size issues. This would seem contrary to its repeated position that such issues need to be approached in a way that is flexible.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509</w:t>
      </w:r>
      <w:r>
        <w:rPr>
          <w:rFonts w:ascii="arial" w:eastAsia="arial" w:hAnsi="arial" w:cs="arial"/>
          <w:color w:val="000000"/>
          <w:sz w:val="20"/>
          <w:lang w:val="en-US" w:eastAsia="en-US" w:bidi="ar-SA"/>
        </w:rPr>
        <w:t>  For its part, the BCTF is complaining about legislation that will allow for increased compensation to teachers.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510</w:t>
      </w:r>
      <w:r>
        <w:rPr>
          <w:rFonts w:ascii="arial" w:eastAsia="arial" w:hAnsi="arial" w:cs="arial"/>
          <w:color w:val="000000"/>
          <w:sz w:val="20"/>
          <w:lang w:val="en-US" w:eastAsia="en-US" w:bidi="ar-SA"/>
        </w:rPr>
        <w:t>  But the BCTF argues that it is not the fact of additional compensation that it complains about, it is again the fact that it was left entirely out of the process. It argues that it is the exclusive bargaining agent to negotiate compensation for teachers. Its complaint is that by this regulation, the government bypassed the statutory collective bargaining process in order to provide compensation for teachers.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511</w:t>
      </w:r>
      <w:r>
        <w:rPr>
          <w:rFonts w:ascii="arial" w:eastAsia="arial" w:hAnsi="arial" w:cs="arial"/>
          <w:color w:val="000000"/>
          <w:sz w:val="20"/>
          <w:lang w:val="en-US" w:eastAsia="en-US" w:bidi="ar-SA"/>
        </w:rPr>
        <w:t>  There is some weight to the BCTF complaint.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512</w:t>
      </w:r>
      <w:r>
        <w:rPr>
          <w:rFonts w:ascii="arial" w:eastAsia="arial" w:hAnsi="arial" w:cs="arial"/>
          <w:color w:val="000000"/>
          <w:sz w:val="20"/>
          <w:lang w:val="en-US" w:eastAsia="en-US" w:bidi="ar-SA"/>
        </w:rPr>
        <w:t>  There is evidence that Rick Davis for the government was instrumental in developing the idea behind this regulation and that he saw it as serving a useful goal of driving a wedge between individual teachers and the BCTF. The regulation was seen as diminishing the influence of the union over its members.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513</w:t>
      </w:r>
      <w:r>
        <w:rPr>
          <w:rFonts w:ascii="arial" w:eastAsia="arial" w:hAnsi="arial" w:cs="arial"/>
          <w:color w:val="000000"/>
          <w:sz w:val="20"/>
          <w:lang w:val="en-US" w:eastAsia="en-US" w:bidi="ar-SA"/>
        </w:rPr>
        <w:t>  I accept the BCTF argument that the government bypassed collective bargaining by introduction of this regulation.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514</w:t>
      </w:r>
      <w:r>
        <w:rPr>
          <w:rFonts w:ascii="arial" w:eastAsia="arial" w:hAnsi="arial" w:cs="arial"/>
          <w:color w:val="000000"/>
          <w:sz w:val="20"/>
          <w:lang w:val="en-US" w:eastAsia="en-US" w:bidi="ar-SA"/>
        </w:rPr>
        <w:t>  Nevertheless, I do not accept that on its own, the legislation amounts to a substantial interference with s. 2(d) rights. The Class Size Compensation Regulation does not prevent employees from being able to associate together to attempt to influence their Working Conditions, including to argue that this legislated approach is insufficient to address class size issues.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Issue 7: Is the Government's Directive to Public Sector Employers Contained in Mandate 2010 Unconstitutional?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515</w:t>
      </w:r>
      <w:r>
        <w:rPr>
          <w:rFonts w:ascii="arial" w:eastAsia="arial" w:hAnsi="arial" w:cs="arial"/>
          <w:color w:val="000000"/>
          <w:sz w:val="20"/>
          <w:lang w:val="en-US" w:eastAsia="en-US" w:bidi="ar-SA"/>
        </w:rPr>
        <w:t>  The BCTF argues that in issuing Mandate 2010 to BCPSEA, and other directives to BCPSEA in the course of collective bargaining, the government interfered with collective bargaining on significant and fundamental Working Conditions.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516</w:t>
      </w:r>
      <w:r>
        <w:rPr>
          <w:rFonts w:ascii="arial" w:eastAsia="arial" w:hAnsi="arial" w:cs="arial"/>
          <w:color w:val="000000"/>
          <w:sz w:val="20"/>
          <w:lang w:val="en-US" w:eastAsia="en-US" w:bidi="ar-SA"/>
        </w:rPr>
        <w:t>  The BCTF also argues that the government does not have legal authority to impose such mandates.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517</w:t>
      </w:r>
      <w:r>
        <w:rPr>
          <w:rFonts w:ascii="arial" w:eastAsia="arial" w:hAnsi="arial" w:cs="arial"/>
          <w:color w:val="000000"/>
          <w:sz w:val="20"/>
          <w:lang w:val="en-US" w:eastAsia="en-US" w:bidi="ar-SA"/>
        </w:rPr>
        <w:t xml:space="preserve">  Dealing with the latter point first, the BCTF argues that the structure of the </w:t>
      </w:r>
      <w:r>
        <w:rPr>
          <w:rFonts w:ascii="arial" w:eastAsia="arial" w:hAnsi="arial" w:cs="arial"/>
          <w:i/>
          <w:color w:val="000000"/>
          <w:sz w:val="20"/>
          <w:lang w:val="en-US" w:eastAsia="en-US" w:bidi="ar-SA"/>
        </w:rPr>
        <w:t>Labour Relations Code</w:t>
      </w:r>
      <w:r>
        <w:rPr>
          <w:rFonts w:ascii="arial" w:eastAsia="arial" w:hAnsi="arial" w:cs="arial"/>
          <w:color w:val="000000"/>
          <w:sz w:val="20"/>
          <w:lang w:val="en-US" w:eastAsia="en-US" w:bidi="ar-SA"/>
        </w:rPr>
        <w:t xml:space="preserve"> and </w:t>
      </w:r>
      <w:r>
        <w:rPr>
          <w:rFonts w:ascii="arial" w:eastAsia="arial" w:hAnsi="arial" w:cs="arial"/>
          <w:i/>
          <w:color w:val="000000"/>
          <w:sz w:val="20"/>
          <w:lang w:val="en-US" w:eastAsia="en-US" w:bidi="ar-SA"/>
        </w:rPr>
        <w:t>PELRA</w:t>
      </w:r>
      <w:r>
        <w:rPr>
          <w:rFonts w:ascii="arial" w:eastAsia="arial" w:hAnsi="arial" w:cs="arial"/>
          <w:color w:val="000000"/>
          <w:sz w:val="20"/>
          <w:lang w:val="en-US" w:eastAsia="en-US" w:bidi="ar-SA"/>
        </w:rPr>
        <w:t xml:space="preserve"> is such that it means that BCTF and BCPSEA are the exclusive bargaining agents for teacher employees and employers respectively.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518</w:t>
      </w:r>
      <w:r>
        <w:rPr>
          <w:rFonts w:ascii="arial" w:eastAsia="arial" w:hAnsi="arial" w:cs="arial"/>
          <w:color w:val="000000"/>
          <w:sz w:val="20"/>
          <w:lang w:val="en-US" w:eastAsia="en-US" w:bidi="ar-SA"/>
        </w:rPr>
        <w:t>  I do not read the statutory structure of the collective bargaining relationship as prohibiting government from making its fiscal and policy parameters known to BCPSEA.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519</w:t>
      </w:r>
      <w:r>
        <w:rPr>
          <w:rFonts w:ascii="arial" w:eastAsia="arial" w:hAnsi="arial" w:cs="arial"/>
          <w:color w:val="000000"/>
          <w:sz w:val="20"/>
          <w:lang w:val="en-US" w:eastAsia="en-US" w:bidi="ar-SA"/>
        </w:rPr>
        <w:t xml:space="preserve">  I have earlier reviewed the provisions of </w:t>
      </w:r>
      <w:r>
        <w:rPr>
          <w:rFonts w:ascii="arial" w:eastAsia="arial" w:hAnsi="arial" w:cs="arial"/>
          <w:i/>
          <w:color w:val="000000"/>
          <w:sz w:val="20"/>
          <w:lang w:val="en-US" w:eastAsia="en-US" w:bidi="ar-SA"/>
        </w:rPr>
        <w:t>PSEA</w:t>
      </w:r>
      <w:r>
        <w:rPr>
          <w:rFonts w:ascii="arial" w:eastAsia="arial" w:hAnsi="arial" w:cs="arial"/>
          <w:color w:val="000000"/>
          <w:sz w:val="20"/>
          <w:lang w:val="en-US" w:eastAsia="en-US" w:bidi="ar-SA"/>
        </w:rPr>
        <w:t xml:space="preserve">, which came out of the Korbin commission and establishes the PSEC structure. This structure is populated with government representatives, and PSEC's function is to "set and coordinate strategic directions in human resource management and labour relations": s. 4(1) of </w:t>
      </w:r>
      <w:r>
        <w:rPr>
          <w:rFonts w:ascii="arial" w:eastAsia="arial" w:hAnsi="arial" w:cs="arial"/>
          <w:i/>
          <w:color w:val="000000"/>
          <w:sz w:val="20"/>
          <w:lang w:val="en-US" w:eastAsia="en-US" w:bidi="ar-SA"/>
        </w:rPr>
        <w:t>PSEA</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520</w:t>
      </w:r>
      <w:r>
        <w:rPr>
          <w:rFonts w:ascii="arial" w:eastAsia="arial" w:hAnsi="arial" w:cs="arial"/>
          <w:color w:val="000000"/>
          <w:sz w:val="20"/>
          <w:lang w:val="en-US" w:eastAsia="en-US" w:bidi="ar-SA"/>
        </w:rPr>
        <w:t>  I do not consider the fact that the government issues mandates to PSEC, which PSEC issues to the public sector employer associations, as contrary to law.</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521</w:t>
      </w:r>
      <w:r>
        <w:rPr>
          <w:rFonts w:ascii="arial" w:eastAsia="arial" w:hAnsi="arial" w:cs="arial"/>
          <w:color w:val="000000"/>
          <w:sz w:val="20"/>
          <w:lang w:val="en-US" w:eastAsia="en-US" w:bidi="ar-SA"/>
        </w:rPr>
        <w:t>  As explained in the government's submission, the mandates issued by government to PSEC have both a financial component, coming from cabinet, and a policy component, coming from the affected ministry. The employers' have input as well on the operational issues.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522</w:t>
      </w:r>
      <w:r>
        <w:rPr>
          <w:rFonts w:ascii="arial" w:eastAsia="arial" w:hAnsi="arial" w:cs="arial"/>
          <w:color w:val="000000"/>
          <w:sz w:val="20"/>
          <w:lang w:val="en-US" w:eastAsia="en-US" w:bidi="ar-SA"/>
        </w:rPr>
        <w:t>  The government has a public responsibility to properly manage and to develop policy in respect of publicly funded services such as education and health. One of the biggest public expenses which government funds are labour costs associated with the delivery of public services. It is therefore quite important and appropriate for the government to have a role in influencing collective bargaining between public sector employer associations and employees.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523</w:t>
      </w:r>
      <w:r>
        <w:rPr>
          <w:rFonts w:ascii="arial" w:eastAsia="arial" w:hAnsi="arial" w:cs="arial"/>
          <w:color w:val="000000"/>
          <w:sz w:val="20"/>
          <w:lang w:val="en-US" w:eastAsia="en-US" w:bidi="ar-SA"/>
        </w:rPr>
        <w:t>  The background to the development of Mandate 2010 was a global financial crisis in 2009. The government was predicting deficits for that year and the following years, and so issued a strong fiscal restraint policy.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524</w:t>
      </w:r>
      <w:r>
        <w:rPr>
          <w:rFonts w:ascii="arial" w:eastAsia="arial" w:hAnsi="arial" w:cs="arial"/>
          <w:color w:val="000000"/>
          <w:sz w:val="20"/>
          <w:lang w:val="en-US" w:eastAsia="en-US" w:bidi="ar-SA"/>
        </w:rPr>
        <w:t>  That part of that policy included a "net zero" mandate is not for this Court to question. That mandate provided that public sector employees would not be entitled to a net increase in overall compensation. As noted already, there could be trade-offs within the mandate.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525</w:t>
      </w:r>
      <w:r>
        <w:rPr>
          <w:rFonts w:ascii="arial" w:eastAsia="arial" w:hAnsi="arial" w:cs="arial"/>
          <w:color w:val="000000"/>
          <w:sz w:val="20"/>
          <w:lang w:val="en-US" w:eastAsia="en-US" w:bidi="ar-SA"/>
        </w:rPr>
        <w:t xml:space="preserve">  As held by the trial judge Harris J. as he then was in </w:t>
      </w:r>
      <w:r>
        <w:rPr>
          <w:rFonts w:ascii="arial" w:eastAsia="arial" w:hAnsi="arial" w:cs="arial"/>
          <w:i/>
          <w:color w:val="000000"/>
          <w:sz w:val="20"/>
          <w:lang w:val="en-US" w:eastAsia="en-US" w:bidi="ar-SA"/>
        </w:rPr>
        <w:t>Federal Dockyard</w:t>
      </w:r>
      <w:r>
        <w:rPr>
          <w:rFonts w:ascii="arial" w:eastAsia="arial" w:hAnsi="arial" w:cs="arial"/>
          <w:color w:val="000000"/>
          <w:sz w:val="20"/>
          <w:lang w:val="en-US" w:eastAsia="en-US" w:bidi="ar-SA"/>
        </w:rPr>
        <w:t xml:space="preserve"> at para. 245, it is not the role of the Court nor does the Court have the expertise to second-guess the legislature on policy issues such as overall fiscal restraint and spending priorities.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526</w:t>
      </w:r>
      <w:r>
        <w:rPr>
          <w:rFonts w:ascii="arial" w:eastAsia="arial" w:hAnsi="arial" w:cs="arial"/>
          <w:color w:val="000000"/>
          <w:sz w:val="20"/>
          <w:lang w:val="en-US" w:eastAsia="en-US" w:bidi="ar-SA"/>
        </w:rPr>
        <w:t>  This Court also does not have the role or expertise to second-guess government taxation choices and how these choices affect government revenues and the funding available for education.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527</w:t>
      </w:r>
      <w:r>
        <w:rPr>
          <w:rFonts w:ascii="arial" w:eastAsia="arial" w:hAnsi="arial" w:cs="arial"/>
          <w:color w:val="000000"/>
          <w:sz w:val="20"/>
          <w:lang w:val="en-US" w:eastAsia="en-US" w:bidi="ar-SA"/>
        </w:rPr>
        <w:t>  The Court's role in the present context is to determine if the government has acted within or contrary to the Constitution when carrying out policy choices.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528</w:t>
      </w:r>
      <w:r>
        <w:rPr>
          <w:rFonts w:ascii="arial" w:eastAsia="arial" w:hAnsi="arial" w:cs="arial"/>
          <w:color w:val="000000"/>
          <w:sz w:val="20"/>
          <w:lang w:val="en-US" w:eastAsia="en-US" w:bidi="ar-SA"/>
        </w:rPr>
        <w:t>  The net zero mandate was imposed on all public sector employees whose collective agreements expired between December 31, 2009, and March 31, 2012. Collective agreements covering many employees were concluded under this mandate.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529</w:t>
      </w:r>
      <w:r>
        <w:rPr>
          <w:rFonts w:ascii="arial" w:eastAsia="arial" w:hAnsi="arial" w:cs="arial"/>
          <w:color w:val="000000"/>
          <w:sz w:val="20"/>
          <w:lang w:val="en-US" w:eastAsia="en-US" w:bidi="ar-SA"/>
        </w:rPr>
        <w:t>  The British Columbia economy in 2011 was improving from the pessimistic pall affecting prognostications following a global financial crisis in 2009. Nevertheless, the government's perspective was that it still needed to exercise fiscal restraint and to work towards a balanced budget.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530</w:t>
      </w:r>
      <w:r>
        <w:rPr>
          <w:rFonts w:ascii="arial" w:eastAsia="arial" w:hAnsi="arial" w:cs="arial"/>
          <w:color w:val="000000"/>
          <w:sz w:val="20"/>
          <w:lang w:val="en-US" w:eastAsia="en-US" w:bidi="ar-SA"/>
        </w:rPr>
        <w:t>  The BCTF further argues that the government also interfered with collective bargaining with its policy directions to PSEC and BCPSEA. These policy directions included the direction that BCPSEA not give up material management rights, and the direction that BCPSEA seek significant concessions from the BCTF on certain matters, such as professional development and seniority rights.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531</w:t>
      </w:r>
      <w:r>
        <w:rPr>
          <w:rFonts w:ascii="arial" w:eastAsia="arial" w:hAnsi="arial" w:cs="arial"/>
          <w:color w:val="000000"/>
          <w:sz w:val="20"/>
          <w:lang w:val="en-US" w:eastAsia="en-US" w:bidi="ar-SA"/>
        </w:rPr>
        <w:t>  It is true that the evidence on this hearing contradicted the position taken by the government in the Bill 28 Action to the effect that it did not "direct" BCPSEA in collective bargaining.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532</w:t>
      </w:r>
      <w:r>
        <w:rPr>
          <w:rFonts w:ascii="arial" w:eastAsia="arial" w:hAnsi="arial" w:cs="arial"/>
          <w:color w:val="000000"/>
          <w:sz w:val="20"/>
          <w:lang w:val="en-US" w:eastAsia="en-US" w:bidi="ar-SA"/>
        </w:rPr>
        <w:t>  But the mere fact of the government issuing policy and fiscal parameters to the entity charged with collective bargaining is not in my view objectionable.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533</w:t>
      </w:r>
      <w:r>
        <w:rPr>
          <w:rFonts w:ascii="arial" w:eastAsia="arial" w:hAnsi="arial" w:cs="arial"/>
          <w:color w:val="000000"/>
          <w:sz w:val="20"/>
          <w:lang w:val="en-US" w:eastAsia="en-US" w:bidi="ar-SA"/>
        </w:rPr>
        <w:t>  It is true that the scope of bargaining was considerably narrowed by the government's directives to BCPSEA in 2011. This likely impeded the ability of the parties to reach agreement.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534</w:t>
      </w:r>
      <w:r>
        <w:rPr>
          <w:rFonts w:ascii="arial" w:eastAsia="arial" w:hAnsi="arial" w:cs="arial"/>
          <w:color w:val="000000"/>
          <w:sz w:val="20"/>
          <w:lang w:val="en-US" w:eastAsia="en-US" w:bidi="ar-SA"/>
        </w:rPr>
        <w:t>  But there was not a great deal of evidence on the hearing before me regarding the actual details of the collective bargaining in 2011, and the proposals exchanged between BCPSEA and the BCTF.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535</w:t>
      </w:r>
      <w:r>
        <w:rPr>
          <w:rFonts w:ascii="arial" w:eastAsia="arial" w:hAnsi="arial" w:cs="arial"/>
          <w:color w:val="000000"/>
          <w:sz w:val="20"/>
          <w:lang w:val="en-US" w:eastAsia="en-US" w:bidi="ar-SA"/>
        </w:rPr>
        <w:t>  Leaving aside the impact of the Bill 22 Duplicative Provisions, I am not satisfied on the evidence before me that the mandate, or collective bargaining directives, from government to the employer bargaining agent were so over-bearing or so narrow as to substantially interfere with the ability of the employees to associate to attempt to achieve their workplace goals. Or, to put it another way, I am not satisfied on the evidence that the bargaining parameters that the government put around the employer association, BCPSEA, prevented BCPSEA from considering and discussing the BCTF representations in good faith.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536</w:t>
      </w:r>
      <w:r>
        <w:rPr>
          <w:rFonts w:ascii="arial" w:eastAsia="arial" w:hAnsi="arial" w:cs="arial"/>
          <w:color w:val="000000"/>
          <w:sz w:val="20"/>
          <w:lang w:val="en-US" w:eastAsia="en-US" w:bidi="ar-SA"/>
        </w:rPr>
        <w:t>  As such, I do not find that the government mandate to BCPSEA was a violation of the teachers' s. 2(d) rights.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 xml:space="preserve">Issue 8: Is s. 6 of the </w:t>
      </w:r>
      <w:r>
        <w:rPr>
          <w:rFonts w:ascii="arial" w:eastAsia="arial" w:hAnsi="arial" w:cs="arial"/>
          <w:b/>
          <w:i/>
          <w:color w:val="000000"/>
          <w:sz w:val="20"/>
          <w:u w:val="single"/>
          <w:lang w:val="en-US" w:eastAsia="en-US" w:bidi="ar-SA"/>
        </w:rPr>
        <w:t>EIA</w:t>
      </w:r>
      <w:r>
        <w:rPr>
          <w:rFonts w:ascii="arial" w:eastAsia="arial" w:hAnsi="arial" w:cs="arial"/>
          <w:b/>
          <w:color w:val="000000"/>
          <w:sz w:val="20"/>
          <w:u w:val="single"/>
          <w:lang w:val="en-US" w:eastAsia="en-US" w:bidi="ar-SA"/>
        </w:rPr>
        <w:t>, which Provided for the Appointment of a Mediator to Settle the Terms of a Collective Agreement within Legislated Terms of Reference, Unconstitutional?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537</w:t>
      </w:r>
      <w:r>
        <w:rPr>
          <w:rFonts w:ascii="arial" w:eastAsia="arial" w:hAnsi="arial" w:cs="arial"/>
          <w:color w:val="000000"/>
          <w:sz w:val="20"/>
          <w:lang w:val="en-US" w:eastAsia="en-US" w:bidi="ar-SA"/>
        </w:rPr>
        <w:t xml:space="preserve">  As part of Bill 22, s. 6 of the </w:t>
      </w:r>
      <w:r>
        <w:rPr>
          <w:rFonts w:ascii="arial" w:eastAsia="arial" w:hAnsi="arial" w:cs="arial"/>
          <w:i/>
          <w:color w:val="000000"/>
          <w:sz w:val="20"/>
          <w:lang w:val="en-US" w:eastAsia="en-US" w:bidi="ar-SA"/>
        </w:rPr>
        <w:t>EIA</w:t>
      </w:r>
      <w:r>
        <w:rPr>
          <w:rFonts w:ascii="arial" w:eastAsia="arial" w:hAnsi="arial" w:cs="arial"/>
          <w:color w:val="000000"/>
          <w:sz w:val="20"/>
          <w:lang w:val="en-US" w:eastAsia="en-US" w:bidi="ar-SA"/>
        </w:rPr>
        <w:t xml:space="preserve"> required the appointment of a mediator to assist the BCTF and BCPSEA in settling the terms of a new collective agreement within narrow parameters. The narrow parameters included meeting the "net zero" mandate.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538</w:t>
      </w:r>
      <w:r>
        <w:rPr>
          <w:rFonts w:ascii="arial" w:eastAsia="arial" w:hAnsi="arial" w:cs="arial"/>
          <w:color w:val="000000"/>
          <w:sz w:val="20"/>
          <w:lang w:val="en-US" w:eastAsia="en-US" w:bidi="ar-SA"/>
        </w:rPr>
        <w:t>  The mediator who was appointed by the government, on March 29, 2012, was Dr. Charles Jago.</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539</w:t>
      </w:r>
      <w:r>
        <w:rPr>
          <w:rFonts w:ascii="arial" w:eastAsia="arial" w:hAnsi="arial" w:cs="arial"/>
          <w:color w:val="000000"/>
          <w:sz w:val="20"/>
          <w:lang w:val="en-US" w:eastAsia="en-US" w:bidi="ar-SA"/>
        </w:rPr>
        <w:t>  Although the BCTF initially objected to his appointment, the BCTF representatives met with Dr. Jago and participated in the mediation process.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540</w:t>
      </w:r>
      <w:r>
        <w:rPr>
          <w:rFonts w:ascii="arial" w:eastAsia="arial" w:hAnsi="arial" w:cs="arial"/>
          <w:color w:val="000000"/>
          <w:sz w:val="20"/>
          <w:lang w:val="en-US" w:eastAsia="en-US" w:bidi="ar-SA"/>
        </w:rPr>
        <w:t>  Ultimately Dr. Jago was able to advise the government that the BCTF and BCPSEA had reached an agreement with his assistance in late June 2012. That agreement was ratified by the BCTF and this was incorporated into the latest version of the collective agreement between the BCTF and BCPSEA.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541</w:t>
      </w:r>
      <w:r>
        <w:rPr>
          <w:rFonts w:ascii="arial" w:eastAsia="arial" w:hAnsi="arial" w:cs="arial"/>
          <w:color w:val="000000"/>
          <w:sz w:val="20"/>
          <w:lang w:val="en-US" w:eastAsia="en-US" w:bidi="ar-SA"/>
        </w:rPr>
        <w:t xml:space="preserve">  While the government by its legislation did impose narrow terms on the mediation process, beyond the fact of the Bill 22 Duplicative Provisions I am unable to conclude on the evidence that the imposed mediation process by itself violated the teachers' s. 2(d) </w:t>
      </w:r>
      <w:r>
        <w:rPr>
          <w:rFonts w:ascii="arial" w:eastAsia="arial" w:hAnsi="arial" w:cs="arial"/>
          <w:i/>
          <w:color w:val="000000"/>
          <w:sz w:val="20"/>
          <w:lang w:val="en-US" w:eastAsia="en-US" w:bidi="ar-SA"/>
        </w:rPr>
        <w:t>Charter</w:t>
      </w:r>
      <w:r>
        <w:rPr>
          <w:rFonts w:ascii="arial" w:eastAsia="arial" w:hAnsi="arial" w:cs="arial"/>
          <w:color w:val="000000"/>
          <w:sz w:val="20"/>
          <w:lang w:val="en-US" w:eastAsia="en-US" w:bidi="ar-SA"/>
        </w:rPr>
        <w:t xml:space="preserve"> rights.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Ongoing Relationship</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542</w:t>
      </w:r>
      <w:r>
        <w:rPr>
          <w:rFonts w:ascii="arial" w:eastAsia="arial" w:hAnsi="arial" w:cs="arial"/>
          <w:color w:val="000000"/>
          <w:sz w:val="20"/>
          <w:lang w:val="en-US" w:eastAsia="en-US" w:bidi="ar-SA"/>
        </w:rPr>
        <w:t>  Before I leave this aspect of the review of government conduct which was outside of the Bill 22 Duplicative Provisions, and which I have found not to infringe teachers' s. 2(d) rights, I will comment on the ongoing relationship between the BCTF, BCPSEA, and government's role in setting education and fiscal policy.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543</w:t>
      </w:r>
      <w:r>
        <w:rPr>
          <w:rFonts w:ascii="arial" w:eastAsia="arial" w:hAnsi="arial" w:cs="arial"/>
          <w:color w:val="000000"/>
          <w:sz w:val="20"/>
          <w:lang w:val="en-US" w:eastAsia="en-US" w:bidi="ar-SA"/>
        </w:rPr>
        <w:t>  There is evidence that one government motivation behind the establishment of the LIF and the Class Size Compensation Regulation was to diminish the influence of the BCTF.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544</w:t>
      </w:r>
      <w:r>
        <w:rPr>
          <w:rFonts w:ascii="arial" w:eastAsia="arial" w:hAnsi="arial" w:cs="arial"/>
          <w:color w:val="000000"/>
          <w:sz w:val="20"/>
          <w:lang w:val="en-US" w:eastAsia="en-US" w:bidi="ar-SA"/>
        </w:rPr>
        <w:t>  However, as they stand now, I have not concluded that either the LIF regulation and associated provisions of the EIA, or the Class Size Compensation Regulation, in fact diminish the opportunity for employees to associate to achieve workplace goals.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545</w:t>
      </w:r>
      <w:r>
        <w:rPr>
          <w:rFonts w:ascii="arial" w:eastAsia="arial" w:hAnsi="arial" w:cs="arial"/>
          <w:color w:val="000000"/>
          <w:sz w:val="20"/>
          <w:lang w:val="en-US" w:eastAsia="en-US" w:bidi="ar-SA"/>
        </w:rPr>
        <w:t xml:space="preserve">  I have also found that while government is entitled to state its policy and fiscal objectives by way of mandates for bargaining given to PSEC and BCPSEA, I note that the protection of s. 2(d) </w:t>
      </w:r>
      <w:r>
        <w:rPr>
          <w:rFonts w:ascii="arial" w:eastAsia="arial" w:hAnsi="arial" w:cs="arial"/>
          <w:i/>
          <w:color w:val="000000"/>
          <w:sz w:val="20"/>
          <w:lang w:val="en-US" w:eastAsia="en-US" w:bidi="ar-SA"/>
        </w:rPr>
        <w:t>Charter</w:t>
      </w:r>
      <w:r>
        <w:rPr>
          <w:rFonts w:ascii="arial" w:eastAsia="arial" w:hAnsi="arial" w:cs="arial"/>
          <w:color w:val="000000"/>
          <w:sz w:val="20"/>
          <w:lang w:val="en-US" w:eastAsia="en-US" w:bidi="ar-SA"/>
        </w:rPr>
        <w:t xml:space="preserve"> rights means that it must not draw the parameters of those objectives so narrowly that it means that the employer will not consider the BCTF representations in good faith. This would make it effectively impossible for the BCTF to attempt to influence workplace goals.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546</w:t>
      </w:r>
      <w:r>
        <w:rPr>
          <w:rFonts w:ascii="arial" w:eastAsia="arial" w:hAnsi="arial" w:cs="arial"/>
          <w:color w:val="000000"/>
          <w:sz w:val="20"/>
          <w:lang w:val="en-US" w:eastAsia="en-US" w:bidi="ar-SA"/>
        </w:rPr>
        <w:t>  It is permissible for government to draw a fence around the collective bargaining negotiations between the teachers' association and the employers' association which allows movement within the fenced area; it is not permissible for government to put the teachers' side of the table in a straitjacket.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547</w:t>
      </w:r>
      <w:r>
        <w:rPr>
          <w:rFonts w:ascii="arial" w:eastAsia="arial" w:hAnsi="arial" w:cs="arial"/>
          <w:color w:val="000000"/>
          <w:sz w:val="20"/>
          <w:lang w:val="en-US" w:eastAsia="en-US" w:bidi="ar-SA"/>
        </w:rPr>
        <w:t xml:space="preserve">  Given the evidence in this case, it is also necessary to observe that while individual government measures on their own may not constitute interference with s. 2(d) </w:t>
      </w:r>
      <w:r>
        <w:rPr>
          <w:rFonts w:ascii="arial" w:eastAsia="arial" w:hAnsi="arial" w:cs="arial"/>
          <w:i/>
          <w:color w:val="000000"/>
          <w:sz w:val="20"/>
          <w:lang w:val="en-US" w:eastAsia="en-US" w:bidi="ar-SA"/>
        </w:rPr>
        <w:t>Charter</w:t>
      </w:r>
      <w:r>
        <w:rPr>
          <w:rFonts w:ascii="arial" w:eastAsia="arial" w:hAnsi="arial" w:cs="arial"/>
          <w:color w:val="000000"/>
          <w:sz w:val="20"/>
          <w:lang w:val="en-US" w:eastAsia="en-US" w:bidi="ar-SA"/>
        </w:rPr>
        <w:t xml:space="preserve"> rights, the cumulative effect of these measures might do so.</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548</w:t>
      </w:r>
      <w:r>
        <w:rPr>
          <w:rFonts w:ascii="arial" w:eastAsia="arial" w:hAnsi="arial" w:cs="arial"/>
          <w:color w:val="000000"/>
          <w:sz w:val="20"/>
          <w:lang w:val="en-US" w:eastAsia="en-US" w:bidi="ar-SA"/>
        </w:rPr>
        <w:t>  The government measures challenged here -- the two regulations, the mandate to BCPSEA, and the narrow terms of mediation -- in total came close to the tipping point, especially given the evidence that the government was trying to provoke a strike so as to have public support for imposing legislation that might otherwise seem heavy-handed, and the evidence that one purpose behind its regulations was to undermine the influence of the union.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549</w:t>
      </w:r>
      <w:r>
        <w:rPr>
          <w:rFonts w:ascii="arial" w:eastAsia="arial" w:hAnsi="arial" w:cs="arial"/>
          <w:color w:val="000000"/>
          <w:sz w:val="20"/>
          <w:lang w:val="en-US" w:eastAsia="en-US" w:bidi="ar-SA"/>
        </w:rPr>
        <w:t xml:space="preserve">  It is difficult to know where the line is drawn on how many single steps of interference by government with collective bargaining rights will accumulate to amount to substantial interference and be contrary to s. 2(d) of the </w:t>
      </w:r>
      <w:r>
        <w:rPr>
          <w:rFonts w:ascii="arial" w:eastAsia="arial" w:hAnsi="arial" w:cs="arial"/>
          <w:i/>
          <w:color w:val="000000"/>
          <w:sz w:val="20"/>
          <w:lang w:val="en-US" w:eastAsia="en-US" w:bidi="ar-SA"/>
        </w:rPr>
        <w:t>Charter</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550</w:t>
      </w:r>
      <w:r>
        <w:rPr>
          <w:rFonts w:ascii="arial" w:eastAsia="arial" w:hAnsi="arial" w:cs="arial"/>
          <w:color w:val="000000"/>
          <w:sz w:val="20"/>
          <w:lang w:val="en-US" w:eastAsia="en-US" w:bidi="ar-SA"/>
        </w:rPr>
        <w:t xml:space="preserve">  If after a series of steps taken by the government the teachers are left without any real ability to associate together to attempt to achieve workplace goals and to have their employer consider their representations in good faith, then the government will remain at risk of a finding that it has violated teachers' s. 2(d) </w:t>
      </w:r>
      <w:r>
        <w:rPr>
          <w:rFonts w:ascii="arial" w:eastAsia="arial" w:hAnsi="arial" w:cs="arial"/>
          <w:i/>
          <w:color w:val="000000"/>
          <w:sz w:val="20"/>
          <w:lang w:val="en-US" w:eastAsia="en-US" w:bidi="ar-SA"/>
        </w:rPr>
        <w:t>Charter</w:t>
      </w:r>
      <w:r>
        <w:rPr>
          <w:rFonts w:ascii="arial" w:eastAsia="arial" w:hAnsi="arial" w:cs="arial"/>
          <w:color w:val="000000"/>
          <w:sz w:val="20"/>
          <w:lang w:val="en-US" w:eastAsia="en-US" w:bidi="ar-SA"/>
        </w:rPr>
        <w:t xml:space="preserve"> rights.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Issue 9: What Remedies are the Plaintiffs Entitled to, if at all, in the Two Actions?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551</w:t>
      </w:r>
      <w:r>
        <w:rPr>
          <w:rFonts w:ascii="arial" w:eastAsia="arial" w:hAnsi="arial" w:cs="arial"/>
          <w:color w:val="000000"/>
          <w:sz w:val="20"/>
          <w:lang w:val="en-US" w:eastAsia="en-US" w:bidi="ar-SA"/>
        </w:rPr>
        <w:t>  Before I address any additional remedies, I will first address the implications of the remedy already ordered in the Bill 28 Decision.</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Bill 28 Decision Declaration of Invalidity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552</w:t>
      </w:r>
      <w:r>
        <w:rPr>
          <w:rFonts w:ascii="arial" w:eastAsia="arial" w:hAnsi="arial" w:cs="arial"/>
          <w:color w:val="000000"/>
          <w:sz w:val="20"/>
          <w:lang w:val="en-US" w:eastAsia="en-US" w:bidi="ar-SA"/>
        </w:rPr>
        <w:t>  In the Bill 28 Action, the remedy the BCTF was seeking was to strike down the legislation, and to reserve its right to argue additional remedies such as damages. The government was defending the constitutionality of the legislation, but did not argue in the alternative that if it lost this argument, something other than striking down the legislation should follow (such as reading in words to the legislation for example). The parties in their submissions were agreeable to a twelve month suspension of invalidity if the court concluded that the legislation was invalid.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553</w:t>
      </w:r>
      <w:r>
        <w:rPr>
          <w:rFonts w:ascii="arial" w:eastAsia="arial" w:hAnsi="arial" w:cs="arial"/>
          <w:color w:val="000000"/>
          <w:sz w:val="20"/>
          <w:lang w:val="en-US" w:eastAsia="en-US" w:bidi="ar-SA"/>
        </w:rPr>
        <w:t>  In the Bill 28 Decision, the unconstitutional legislation was declared invalid, but the invalidity was suspended for a period of twelve months to allow the government time to address the repercussions of the decision. The terms of the April 13, 2011 Court order read:</w:t>
      </w:r>
      <w:r>
        <w:rPr>
          <w:rFonts w:ascii="arial" w:eastAsia="arial" w:hAnsi="arial" w:cs="arial"/>
          <w:sz w:val="20"/>
          <w:lang w:val="en-US" w:eastAsia="en-US" w:bidi="ar-SA"/>
        </w:rPr>
        <w:cr/>
      </w:r>
    </w:p>
    <w:p>
      <w:pPr>
        <w:numPr>
          <w:numId w:val="12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This Court Orders and Declares that in enacting ss. 8, 9 and s. 15 of the </w:t>
      </w:r>
      <w:r>
        <w:rPr>
          <w:rFonts w:ascii="arial" w:eastAsia="arial" w:hAnsi="arial" w:cs="arial"/>
          <w:i/>
          <w:color w:val="000000"/>
          <w:sz w:val="20"/>
          <w:lang w:val="en-US" w:eastAsia="en-US" w:bidi="ar-SA"/>
        </w:rPr>
        <w:t>Public Education Flexibility and Choice Act</w:t>
      </w:r>
      <w:r>
        <w:rPr>
          <w:rFonts w:ascii="arial" w:eastAsia="arial" w:hAnsi="arial" w:cs="arial"/>
          <w:color w:val="000000"/>
          <w:sz w:val="20"/>
          <w:lang w:val="en-US" w:eastAsia="en-US" w:bidi="ar-SA"/>
        </w:rPr>
        <w:t xml:space="preserve">, </w:t>
      </w:r>
      <w:hyperlink r:id="rId877" w:history="1">
        <w:r>
          <w:rPr>
            <w:rFonts w:ascii="arial" w:eastAsia="arial" w:hAnsi="arial" w:cs="arial"/>
            <w:i/>
            <w:color w:val="0077CC"/>
            <w:sz w:val="20"/>
            <w:u w:val="single"/>
            <w:shd w:val="clear" w:color="auto" w:fill="FFFFFF"/>
            <w:lang w:val="en-US" w:eastAsia="en-US" w:bidi="ar-SA"/>
          </w:rPr>
          <w:t>S.B.C. 2002, c. 3</w:t>
        </w:r>
      </w:hyperlink>
      <w:r>
        <w:rPr>
          <w:rFonts w:ascii="arial" w:eastAsia="arial" w:hAnsi="arial" w:cs="arial"/>
          <w:color w:val="000000"/>
          <w:sz w:val="20"/>
          <w:lang w:val="en-US" w:eastAsia="en-US" w:bidi="ar-SA"/>
        </w:rPr>
        <w:t xml:space="preserve"> and s. 5 of the </w:t>
      </w:r>
      <w:r>
        <w:rPr>
          <w:rFonts w:ascii="arial" w:eastAsia="arial" w:hAnsi="arial" w:cs="arial"/>
          <w:i/>
          <w:color w:val="000000"/>
          <w:sz w:val="20"/>
          <w:lang w:val="en-US" w:eastAsia="en-US" w:bidi="ar-SA"/>
        </w:rPr>
        <w:t>Education Services Collective Agreement Amendment Act,</w:t>
      </w:r>
      <w:r>
        <w:rPr>
          <w:rFonts w:ascii="arial" w:eastAsia="arial" w:hAnsi="arial" w:cs="arial"/>
          <w:color w:val="000000"/>
          <w:sz w:val="20"/>
          <w:lang w:val="en-US" w:eastAsia="en-US" w:bidi="ar-SA"/>
        </w:rPr>
        <w:t xml:space="preserve"> 2004, S.B.C. c. 16, the government infringed the Plaintiffs' freedom of association guaranteed by s. 2(d) of the </w:t>
      </w:r>
      <w:r>
        <w:rPr>
          <w:rFonts w:ascii="arial" w:eastAsia="arial" w:hAnsi="arial" w:cs="arial"/>
          <w:i/>
          <w:color w:val="000000"/>
          <w:sz w:val="20"/>
          <w:lang w:val="en-US" w:eastAsia="en-US" w:bidi="ar-SA"/>
        </w:rPr>
        <w:t>Charter</w:t>
      </w:r>
      <w:r>
        <w:rPr>
          <w:rFonts w:ascii="arial" w:eastAsia="arial" w:hAnsi="arial" w:cs="arial"/>
          <w:color w:val="000000"/>
          <w:sz w:val="20"/>
          <w:lang w:val="en-US" w:eastAsia="en-US" w:bidi="ar-SA"/>
        </w:rPr>
        <w:t xml:space="preserve"> and this infringement was not a reasonable limit demonstrably justified in a free and democratic society under s. 1 of the </w:t>
      </w:r>
      <w:r>
        <w:rPr>
          <w:rFonts w:ascii="arial" w:eastAsia="arial" w:hAnsi="arial" w:cs="arial"/>
          <w:i/>
          <w:color w:val="000000"/>
          <w:sz w:val="20"/>
          <w:lang w:val="en-US" w:eastAsia="en-US" w:bidi="ar-SA"/>
        </w:rPr>
        <w:t>Charter</w:t>
      </w:r>
      <w:r>
        <w:rPr>
          <w:rFonts w:ascii="arial" w:eastAsia="arial" w:hAnsi="arial" w:cs="arial"/>
          <w:color w:val="000000"/>
          <w:sz w:val="20"/>
          <w:lang w:val="en-US" w:eastAsia="en-US" w:bidi="ar-SA"/>
        </w:rPr>
        <w:t>;</w:t>
      </w:r>
    </w:p>
    <w:p>
      <w:pPr>
        <w:numPr>
          <w:numId w:val="12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And this Court Orders and Declares that ss. 8 and 15 of the </w:t>
      </w:r>
      <w:r>
        <w:rPr>
          <w:rFonts w:ascii="arial" w:eastAsia="arial" w:hAnsi="arial" w:cs="arial"/>
          <w:i/>
          <w:color w:val="000000"/>
          <w:sz w:val="20"/>
          <w:lang w:val="en-US" w:eastAsia="en-US" w:bidi="ar-SA"/>
        </w:rPr>
        <w:t>Public Education Flexibility and Choice Act,</w:t>
      </w:r>
      <w:r>
        <w:rPr>
          <w:rFonts w:ascii="arial" w:eastAsia="arial" w:hAnsi="arial" w:cs="arial"/>
          <w:color w:val="000000"/>
          <w:sz w:val="20"/>
          <w:lang w:val="en-US" w:eastAsia="en-US" w:bidi="ar-SA"/>
        </w:rPr>
        <w:t xml:space="preserve"> and section 5 of the </w:t>
      </w:r>
      <w:r>
        <w:rPr>
          <w:rFonts w:ascii="arial" w:eastAsia="arial" w:hAnsi="arial" w:cs="arial"/>
          <w:i/>
          <w:color w:val="000000"/>
          <w:sz w:val="20"/>
          <w:lang w:val="en-US" w:eastAsia="en-US" w:bidi="ar-SA"/>
        </w:rPr>
        <w:t>Education Services Collective Agreement Amendment Act</w:t>
      </w:r>
      <w:r>
        <w:rPr>
          <w:rFonts w:ascii="arial" w:eastAsia="arial" w:hAnsi="arial" w:cs="arial"/>
          <w:color w:val="000000"/>
          <w:sz w:val="20"/>
          <w:lang w:val="en-US" w:eastAsia="en-US" w:bidi="ar-SA"/>
        </w:rPr>
        <w:t xml:space="preserve"> are unconstitutional and invalid;</w:t>
      </w:r>
    </w:p>
    <w:p>
      <w:pPr>
        <w:numPr>
          <w:numId w:val="12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And this Court Orders that the declaration of invalidity is suspended for a period of twelve months to allow the government time to address the repercussions of this decision ...</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554</w:t>
      </w:r>
      <w:r>
        <w:rPr>
          <w:rFonts w:ascii="arial" w:eastAsia="arial" w:hAnsi="arial" w:cs="arial"/>
          <w:color w:val="000000"/>
          <w:sz w:val="20"/>
          <w:lang w:val="en-US" w:eastAsia="en-US" w:bidi="ar-SA"/>
        </w:rPr>
        <w:t xml:space="preserve">  When legislation is found invalid as being contrary to the Constitution, section 52(1) of the </w:t>
      </w:r>
      <w:r>
        <w:rPr>
          <w:rFonts w:ascii="arial" w:eastAsia="arial" w:hAnsi="arial" w:cs="arial"/>
          <w:i/>
          <w:color w:val="000000"/>
          <w:sz w:val="20"/>
          <w:lang w:val="en-US" w:eastAsia="en-US" w:bidi="ar-SA"/>
        </w:rPr>
        <w:t>Constitution Act</w:t>
      </w:r>
      <w:r>
        <w:rPr>
          <w:rFonts w:ascii="arial" w:eastAsia="arial" w:hAnsi="arial" w:cs="arial"/>
          <w:color w:val="000000"/>
          <w:sz w:val="20"/>
          <w:lang w:val="en-US" w:eastAsia="en-US" w:bidi="ar-SA"/>
        </w:rPr>
        <w:t xml:space="preserve"> provides: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52.(1) The Constitution of Canada is the supreme law of Canada, and any law that is inconsistent with the provisions of the Constitution is, to the extent of the inconsistency, of no force or effect.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555</w:t>
      </w:r>
      <w:r>
        <w:rPr>
          <w:rFonts w:ascii="arial" w:eastAsia="arial" w:hAnsi="arial" w:cs="arial"/>
          <w:color w:val="000000"/>
          <w:sz w:val="20"/>
          <w:lang w:val="en-US" w:eastAsia="en-US" w:bidi="ar-SA"/>
        </w:rPr>
        <w:t xml:space="preserve">  Section 52(1) is the supremacy clause of the Constitution and any law found to be </w:t>
      </w:r>
      <w:r>
        <w:rPr>
          <w:rFonts w:ascii="arial" w:eastAsia="arial" w:hAnsi="arial" w:cs="arial"/>
          <w:i/>
          <w:color w:val="000000"/>
          <w:sz w:val="20"/>
          <w:lang w:val="en-US" w:eastAsia="en-US" w:bidi="ar-SA"/>
        </w:rPr>
        <w:t>ultra vires</w:t>
      </w:r>
      <w:r>
        <w:rPr>
          <w:rFonts w:ascii="arial" w:eastAsia="arial" w:hAnsi="arial" w:cs="arial"/>
          <w:color w:val="000000"/>
          <w:sz w:val="20"/>
          <w:lang w:val="en-US" w:eastAsia="en-US" w:bidi="ar-SA"/>
        </w:rPr>
        <w:t xml:space="preserve"> to the Constitution is of no force or effect.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556</w:t>
      </w:r>
      <w:r>
        <w:rPr>
          <w:rFonts w:ascii="arial" w:eastAsia="arial" w:hAnsi="arial" w:cs="arial"/>
          <w:color w:val="000000"/>
          <w:sz w:val="20"/>
          <w:lang w:val="en-US" w:eastAsia="en-US" w:bidi="ar-SA"/>
        </w:rPr>
        <w:t xml:space="preserve">  Mr. Justice Gonthier in </w:t>
      </w:r>
      <w:r>
        <w:rPr>
          <w:rFonts w:ascii="arial" w:eastAsia="arial" w:hAnsi="arial" w:cs="arial"/>
          <w:i/>
          <w:color w:val="000000"/>
          <w:sz w:val="20"/>
          <w:lang w:val="en-US" w:eastAsia="en-US" w:bidi="ar-SA"/>
        </w:rPr>
        <w:t>Nova Scotia (Workers' Compensation Board) v. Martin; Nova Scotia (Workers' Compensation Board) v. Laseur</w:t>
      </w:r>
      <w:r>
        <w:rPr>
          <w:rFonts w:ascii="arial" w:eastAsia="arial" w:hAnsi="arial" w:cs="arial"/>
          <w:color w:val="000000"/>
          <w:sz w:val="20"/>
          <w:lang w:val="en-US" w:eastAsia="en-US" w:bidi="ar-SA"/>
        </w:rPr>
        <w:t xml:space="preserve">, </w:t>
      </w:r>
      <w:hyperlink r:id="rId869" w:history="1">
        <w:r>
          <w:rPr>
            <w:rFonts w:ascii="arial" w:eastAsia="arial" w:hAnsi="arial" w:cs="arial"/>
            <w:i/>
            <w:color w:val="0077CC"/>
            <w:sz w:val="20"/>
            <w:u w:val="single"/>
            <w:shd w:val="clear" w:color="auto" w:fill="FFFFFF"/>
            <w:lang w:val="en-US" w:eastAsia="en-US" w:bidi="ar-SA"/>
          </w:rPr>
          <w:t>2003 SCC 54</w:t>
        </w:r>
      </w:hyperlink>
      <w:r>
        <w:rPr>
          <w:rFonts w:ascii="arial" w:eastAsia="arial" w:hAnsi="arial" w:cs="arial"/>
          <w:color w:val="000000"/>
          <w:sz w:val="20"/>
          <w:lang w:val="en-US" w:eastAsia="en-US" w:bidi="ar-SA"/>
        </w:rPr>
        <w:t xml:space="preserve"> at para. 28 explained that this means that the legislation is invalid from the moment it is enacted: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First, and most importantly, the Constitution is, under s. 52(1) of the </w:t>
      </w:r>
      <w:r>
        <w:rPr>
          <w:rFonts w:ascii="arial" w:eastAsia="arial" w:hAnsi="arial" w:cs="arial"/>
          <w:i/>
          <w:color w:val="000000"/>
          <w:sz w:val="20"/>
          <w:lang w:val="en-US" w:eastAsia="en-US" w:bidi="ar-SA"/>
        </w:rPr>
        <w:t>Constitution Act, 1982</w:t>
      </w:r>
      <w:r>
        <w:rPr>
          <w:rFonts w:ascii="arial" w:eastAsia="arial" w:hAnsi="arial" w:cs="arial"/>
          <w:color w:val="000000"/>
          <w:sz w:val="20"/>
          <w:lang w:val="en-US" w:eastAsia="en-US" w:bidi="ar-SA"/>
        </w:rPr>
        <w:t xml:space="preserve">, "the supreme law of Canada, and any law that is inconsistent with the provisions of the Constitution is, to the extent of the inconsistency, of no force or effect". The invalidity of a legislative provision inconsistent with the </w:t>
      </w:r>
      <w:r>
        <w:rPr>
          <w:rFonts w:ascii="arial" w:eastAsia="arial" w:hAnsi="arial" w:cs="arial"/>
          <w:i/>
          <w:color w:val="000000"/>
          <w:sz w:val="20"/>
          <w:lang w:val="en-US" w:eastAsia="en-US" w:bidi="ar-SA"/>
        </w:rPr>
        <w:t>Charter</w:t>
      </w:r>
      <w:r>
        <w:rPr>
          <w:rFonts w:ascii="arial" w:eastAsia="arial" w:hAnsi="arial" w:cs="arial"/>
          <w:color w:val="000000"/>
          <w:sz w:val="20"/>
          <w:lang w:val="en-US" w:eastAsia="en-US" w:bidi="ar-SA"/>
        </w:rPr>
        <w:t xml:space="preserve"> does not arise from the fact of its being declared unconstitutional by a court, but from the operation of s. 52(1). </w:t>
      </w:r>
      <w:r>
        <w:rPr>
          <w:rFonts w:ascii="arial" w:eastAsia="arial" w:hAnsi="arial" w:cs="arial"/>
          <w:color w:val="000000"/>
          <w:sz w:val="20"/>
          <w:u w:val="single"/>
          <w:lang w:val="en-US" w:eastAsia="en-US" w:bidi="ar-SA"/>
        </w:rPr>
        <w:t>Thus, in principle, such a provision is invalid from the moment it is enacted, and a judicial declaration to this effect is but one remedy amongst others to protect those whom it adversely affects.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9410"/>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9216"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[Emphasis added.]</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557</w:t>
      </w:r>
      <w:r>
        <w:rPr>
          <w:rFonts w:ascii="arial" w:eastAsia="arial" w:hAnsi="arial" w:cs="arial"/>
          <w:color w:val="000000"/>
          <w:sz w:val="20"/>
          <w:lang w:val="en-US" w:eastAsia="en-US" w:bidi="ar-SA"/>
        </w:rPr>
        <w:t xml:space="preserve">  In relation to the same concept of constitutional supremacy, Mr. Justice Field of the United States Supreme Court said in </w:t>
      </w:r>
      <w:r>
        <w:rPr>
          <w:rFonts w:ascii="arial" w:eastAsia="arial" w:hAnsi="arial" w:cs="arial"/>
          <w:i/>
          <w:color w:val="000000"/>
          <w:sz w:val="20"/>
          <w:lang w:val="en-US" w:eastAsia="en-US" w:bidi="ar-SA"/>
        </w:rPr>
        <w:t>Norton v. Shelby County</w:t>
      </w:r>
      <w:r>
        <w:rPr>
          <w:rFonts w:ascii="arial" w:eastAsia="arial" w:hAnsi="arial" w:cs="arial"/>
          <w:color w:val="000000"/>
          <w:sz w:val="20"/>
          <w:lang w:val="en-US" w:eastAsia="en-US" w:bidi="ar-SA"/>
        </w:rPr>
        <w:t xml:space="preserve"> (1896), 118 U.S. 425 at 442: "An unconstitutional act is not a law; it confers no rights; it imposes no duties; it affords no protection; it creates no office; it is, in legal contemplation, as inoperative as though it has never been passed."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558</w:t>
      </w:r>
      <w:r>
        <w:rPr>
          <w:rFonts w:ascii="arial" w:eastAsia="arial" w:hAnsi="arial" w:cs="arial"/>
          <w:color w:val="000000"/>
          <w:sz w:val="20"/>
          <w:lang w:val="en-US" w:eastAsia="en-US" w:bidi="ar-SA"/>
        </w:rPr>
        <w:t>  Thus, where a court strikes down legislation as being unconstitutional that legislation is held to have been invalid and inoperative from the moment of its enactment.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559</w:t>
      </w:r>
      <w:r>
        <w:rPr>
          <w:rFonts w:ascii="arial" w:eastAsia="arial" w:hAnsi="arial" w:cs="arial"/>
          <w:color w:val="000000"/>
          <w:sz w:val="20"/>
          <w:lang w:val="en-US" w:eastAsia="en-US" w:bidi="ar-SA"/>
        </w:rPr>
        <w:t>  The government in this case does not argue otherwise.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560</w:t>
      </w:r>
      <w:r>
        <w:rPr>
          <w:rFonts w:ascii="arial" w:eastAsia="arial" w:hAnsi="arial" w:cs="arial"/>
          <w:color w:val="000000"/>
          <w:sz w:val="20"/>
          <w:lang w:val="en-US" w:eastAsia="en-US" w:bidi="ar-SA"/>
        </w:rPr>
        <w:t xml:space="preserve">  A suspension of a declaration of invalidity is a legal paradox, in that a law which is invalid from its start is nonetheless considered alive for a brief period, out of deference to the legislature so that the legislature has time to react to the repercussions of the invalidity: see </w:t>
      </w:r>
      <w:r>
        <w:rPr>
          <w:rFonts w:ascii="arial" w:eastAsia="arial" w:hAnsi="arial" w:cs="arial"/>
          <w:i/>
          <w:color w:val="000000"/>
          <w:sz w:val="20"/>
          <w:lang w:val="en-US" w:eastAsia="en-US" w:bidi="ar-SA"/>
        </w:rPr>
        <w:t>Schachter</w:t>
      </w:r>
      <w:r>
        <w:rPr>
          <w:rFonts w:ascii="arial" w:eastAsia="arial" w:hAnsi="arial" w:cs="arial"/>
          <w:color w:val="000000"/>
          <w:sz w:val="20"/>
          <w:lang w:val="en-US" w:eastAsia="en-US" w:bidi="ar-SA"/>
        </w:rPr>
        <w:t>, at 715-717.</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561</w:t>
      </w:r>
      <w:r>
        <w:rPr>
          <w:rFonts w:ascii="arial" w:eastAsia="arial" w:hAnsi="arial" w:cs="arial"/>
          <w:color w:val="000000"/>
          <w:sz w:val="20"/>
          <w:lang w:val="en-US" w:eastAsia="en-US" w:bidi="ar-SA"/>
        </w:rPr>
        <w:t>  It is obviously presumed and hoped that when there is a suspension of a declaration of invalidity of a law, the legislature will react lawfully, in accordance with the Constitution.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562</w:t>
      </w:r>
      <w:r>
        <w:rPr>
          <w:rFonts w:ascii="arial" w:eastAsia="arial" w:hAnsi="arial" w:cs="arial"/>
          <w:color w:val="000000"/>
          <w:sz w:val="20"/>
          <w:lang w:val="en-US" w:eastAsia="en-US" w:bidi="ar-SA"/>
        </w:rPr>
        <w:t>  Applying the usual constitutional principles to the Court's declaration in the Bill 28 Decision, after the twelve months suspension period expired from the date of the Bill 28 Decision, the unconstitutional legislation was then invalid from the date of its enactment.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563</w:t>
      </w:r>
      <w:r>
        <w:rPr>
          <w:rFonts w:ascii="arial" w:eastAsia="arial" w:hAnsi="arial" w:cs="arial"/>
          <w:color w:val="000000"/>
          <w:sz w:val="20"/>
          <w:lang w:val="en-US" w:eastAsia="en-US" w:bidi="ar-SA"/>
        </w:rPr>
        <w:t>  The twelve months expired at midnight on April 12, 2012.</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564</w:t>
      </w:r>
      <w:r>
        <w:rPr>
          <w:rFonts w:ascii="arial" w:eastAsia="arial" w:hAnsi="arial" w:cs="arial"/>
          <w:color w:val="000000"/>
          <w:sz w:val="20"/>
          <w:lang w:val="en-US" w:eastAsia="en-US" w:bidi="ar-SA"/>
        </w:rPr>
        <w:t>  This means that as of April 13, 2012, the laws declared unconstitutional in the Bill 28 Decision were no longer in effect from the date of their enactment. For clarity, an additional declaration to this effect is made in the Bill 28 Action as part of the application by the BCTF for additional remedies in that action.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565</w:t>
      </w:r>
      <w:r>
        <w:rPr>
          <w:rFonts w:ascii="arial" w:eastAsia="arial" w:hAnsi="arial" w:cs="arial"/>
          <w:color w:val="000000"/>
          <w:sz w:val="20"/>
          <w:lang w:val="en-US" w:eastAsia="en-US" w:bidi="ar-SA"/>
        </w:rPr>
        <w:t>  The result is that as of April 13, 2012, the BCTF had the right to engage in collective bargaining over the Working Conditions; it also means that as of July 2002 the Working Conditions clauses were returned to the collective agreement between the BCTF and BCPSEA. All, of course, later subject to the provisions of Bill 22 being brought into force the next day and this Court's findings regarding the constitutionality of those provisions.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Bill 22 Unconstitutionality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566</w:t>
      </w:r>
      <w:r>
        <w:rPr>
          <w:rFonts w:ascii="arial" w:eastAsia="arial" w:hAnsi="arial" w:cs="arial"/>
          <w:color w:val="000000"/>
          <w:sz w:val="20"/>
          <w:lang w:val="en-US" w:eastAsia="en-US" w:bidi="ar-SA"/>
        </w:rPr>
        <w:t xml:space="preserve">  While the government enacted Bill 22 on March 14, 2012, the Bill 22 Duplicative Provisions were not brought into force until April 14, 2012, pursuant to s. 26 of the </w:t>
      </w:r>
      <w:r>
        <w:rPr>
          <w:rFonts w:ascii="arial" w:eastAsia="arial" w:hAnsi="arial" w:cs="arial"/>
          <w:i/>
          <w:color w:val="000000"/>
          <w:sz w:val="20"/>
          <w:lang w:val="en-US" w:eastAsia="en-US" w:bidi="ar-SA"/>
        </w:rPr>
        <w:t>EIA</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567</w:t>
      </w:r>
      <w:r>
        <w:rPr>
          <w:rFonts w:ascii="arial" w:eastAsia="arial" w:hAnsi="arial" w:cs="arial"/>
          <w:color w:val="000000"/>
          <w:sz w:val="20"/>
          <w:lang w:val="en-US" w:eastAsia="en-US" w:bidi="ar-SA"/>
        </w:rPr>
        <w:t xml:space="preserve">  I have found that the Bill 22 Duplicative Provisions are also contrary to s. 2(d) of the </w:t>
      </w:r>
      <w:r>
        <w:rPr>
          <w:rFonts w:ascii="arial" w:eastAsia="arial" w:hAnsi="arial" w:cs="arial"/>
          <w:i/>
          <w:color w:val="000000"/>
          <w:sz w:val="20"/>
          <w:lang w:val="en-US" w:eastAsia="en-US" w:bidi="ar-SA"/>
        </w:rPr>
        <w:t>Charter</w:t>
      </w:r>
      <w:r>
        <w:rPr>
          <w:rFonts w:ascii="arial" w:eastAsia="arial" w:hAnsi="arial" w:cs="arial"/>
          <w:color w:val="000000"/>
          <w:sz w:val="20"/>
          <w:lang w:val="en-US" w:eastAsia="en-US" w:bidi="ar-SA"/>
        </w:rPr>
        <w:t xml:space="preserve"> and are not saved by s. 1 of the </w:t>
      </w:r>
      <w:r>
        <w:rPr>
          <w:rFonts w:ascii="arial" w:eastAsia="arial" w:hAnsi="arial" w:cs="arial"/>
          <w:i/>
          <w:color w:val="000000"/>
          <w:sz w:val="20"/>
          <w:lang w:val="en-US" w:eastAsia="en-US" w:bidi="ar-SA"/>
        </w:rPr>
        <w:t>Charter</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568</w:t>
      </w:r>
      <w:r>
        <w:rPr>
          <w:rFonts w:ascii="arial" w:eastAsia="arial" w:hAnsi="arial" w:cs="arial"/>
          <w:color w:val="000000"/>
          <w:sz w:val="20"/>
          <w:lang w:val="en-US" w:eastAsia="en-US" w:bidi="ar-SA"/>
        </w:rPr>
        <w:t>  The government argues that rather than declare the Bill 22 Duplicative Provisions invalid, this Court should simply order that the government re-engage the BCTF in consultation. I do not accept this as an appropriate remedy given s. 52(1) of the Constitution and the principles set out above.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569</w:t>
      </w:r>
      <w:r>
        <w:rPr>
          <w:rFonts w:ascii="arial" w:eastAsia="arial" w:hAnsi="arial" w:cs="arial"/>
          <w:color w:val="000000"/>
          <w:sz w:val="20"/>
          <w:lang w:val="en-US" w:eastAsia="en-US" w:bidi="ar-SA"/>
        </w:rPr>
        <w:t xml:space="preserve">  As of the time of the present hearing, s. 13 of the </w:t>
      </w:r>
      <w:r>
        <w:rPr>
          <w:rFonts w:ascii="arial" w:eastAsia="arial" w:hAnsi="arial" w:cs="arial"/>
          <w:i/>
          <w:color w:val="000000"/>
          <w:sz w:val="20"/>
          <w:lang w:val="en-US" w:eastAsia="en-US" w:bidi="ar-SA"/>
        </w:rPr>
        <w:t>EIA</w:t>
      </w:r>
      <w:r>
        <w:rPr>
          <w:rFonts w:ascii="arial" w:eastAsia="arial" w:hAnsi="arial" w:cs="arial"/>
          <w:color w:val="000000"/>
          <w:sz w:val="20"/>
          <w:lang w:val="en-US" w:eastAsia="en-US" w:bidi="ar-SA"/>
        </w:rPr>
        <w:t xml:space="preserve"> was already spent, the unconstitutional provisions having been automatically repealed as of June 30, 2013, fourteen months after it was enacted. Nevertheless, for clarity, I find that s. 13 of the </w:t>
      </w:r>
      <w:r>
        <w:rPr>
          <w:rFonts w:ascii="arial" w:eastAsia="arial" w:hAnsi="arial" w:cs="arial"/>
          <w:i/>
          <w:color w:val="000000"/>
          <w:sz w:val="20"/>
          <w:lang w:val="en-US" w:eastAsia="en-US" w:bidi="ar-SA"/>
        </w:rPr>
        <w:t>EIA</w:t>
      </w:r>
      <w:r>
        <w:rPr>
          <w:rFonts w:ascii="arial" w:eastAsia="arial" w:hAnsi="arial" w:cs="arial"/>
          <w:color w:val="000000"/>
          <w:sz w:val="20"/>
          <w:lang w:val="en-US" w:eastAsia="en-US" w:bidi="ar-SA"/>
        </w:rPr>
        <w:t xml:space="preserve">, which re-enacted the prohibitions on collective bargaining set out in s. 27(3)(d) to (j) of the </w:t>
      </w:r>
      <w:r>
        <w:rPr>
          <w:rFonts w:ascii="arial" w:eastAsia="arial" w:hAnsi="arial" w:cs="arial"/>
          <w:i/>
          <w:color w:val="000000"/>
          <w:sz w:val="20"/>
          <w:lang w:val="en-US" w:eastAsia="en-US" w:bidi="ar-SA"/>
        </w:rPr>
        <w:t>School Act</w:t>
      </w:r>
      <w:r>
        <w:rPr>
          <w:rFonts w:ascii="arial" w:eastAsia="arial" w:hAnsi="arial" w:cs="arial"/>
          <w:color w:val="000000"/>
          <w:sz w:val="20"/>
          <w:lang w:val="en-US" w:eastAsia="en-US" w:bidi="ar-SA"/>
        </w:rPr>
        <w:t>, was unconstitutional and invalid from the date of its enactment.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570</w:t>
      </w:r>
      <w:r>
        <w:rPr>
          <w:rFonts w:ascii="arial" w:eastAsia="arial" w:hAnsi="arial" w:cs="arial"/>
          <w:color w:val="000000"/>
          <w:sz w:val="20"/>
          <w:lang w:val="en-US" w:eastAsia="en-US" w:bidi="ar-SA"/>
        </w:rPr>
        <w:t xml:space="preserve">  I find that the Bill 22 Duplicative Provisions which re-deleted terms of the BCTF collective agreement, ss. 8 and 24 of the </w:t>
      </w:r>
      <w:r>
        <w:rPr>
          <w:rFonts w:ascii="arial" w:eastAsia="arial" w:hAnsi="arial" w:cs="arial"/>
          <w:i/>
          <w:color w:val="000000"/>
          <w:sz w:val="20"/>
          <w:lang w:val="en-US" w:eastAsia="en-US" w:bidi="ar-SA"/>
        </w:rPr>
        <w:t>EIA</w:t>
      </w:r>
      <w:r>
        <w:rPr>
          <w:rFonts w:ascii="arial" w:eastAsia="arial" w:hAnsi="arial" w:cs="arial"/>
          <w:color w:val="000000"/>
          <w:sz w:val="20"/>
          <w:lang w:val="en-US" w:eastAsia="en-US" w:bidi="ar-SA"/>
        </w:rPr>
        <w:t>, are also invalid. The government has advanced no argument that any declaration of invalidity that follows should be suspended. I find that there is no good reason to do so. These provisions are struck down effective from the date of their enactment. They are a nullity as of April 14, 2012.</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571</w:t>
      </w:r>
      <w:r>
        <w:rPr>
          <w:rFonts w:ascii="arial" w:eastAsia="arial" w:hAnsi="arial" w:cs="arial"/>
          <w:color w:val="000000"/>
          <w:sz w:val="20"/>
          <w:lang w:val="en-US" w:eastAsia="en-US" w:bidi="ar-SA"/>
        </w:rPr>
        <w:t>  The result of both the Bill 28 and Bill 22 Actions is that the Working Conditions clauses are returned to the collective agreement between the BCTF and BCPSEA as of July 1, 2002.</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Additional Remedies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572</w:t>
      </w:r>
      <w:r>
        <w:rPr>
          <w:rFonts w:ascii="arial" w:eastAsia="arial" w:hAnsi="arial" w:cs="arial"/>
          <w:color w:val="000000"/>
          <w:sz w:val="20"/>
          <w:lang w:val="en-US" w:eastAsia="en-US" w:bidi="ar-SA"/>
        </w:rPr>
        <w:t xml:space="preserve">  The position of the BCTF is that it should be awarded general damages pursuant to s. 24(1) of the </w:t>
      </w:r>
      <w:r>
        <w:rPr>
          <w:rFonts w:ascii="arial" w:eastAsia="arial" w:hAnsi="arial" w:cs="arial"/>
          <w:i/>
          <w:color w:val="000000"/>
          <w:sz w:val="20"/>
          <w:lang w:val="en-US" w:eastAsia="en-US" w:bidi="ar-SA"/>
        </w:rPr>
        <w:t>Charter</w:t>
      </w:r>
      <w:r>
        <w:rPr>
          <w:rFonts w:ascii="arial" w:eastAsia="arial" w:hAnsi="arial" w:cs="arial"/>
          <w:color w:val="000000"/>
          <w:sz w:val="20"/>
          <w:lang w:val="en-US" w:eastAsia="en-US" w:bidi="ar-SA"/>
        </w:rPr>
        <w:t xml:space="preserve"> commencing from the date when the Bill 28 legislation was passed, on January 28, 2002 to present. The BCTF advances alternative arguments as to whether the damages remedy should be awarded all or in part in the Bill 28 Action or the Bill 22 Action.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573</w:t>
      </w:r>
      <w:r>
        <w:rPr>
          <w:rFonts w:ascii="arial" w:eastAsia="arial" w:hAnsi="arial" w:cs="arial"/>
          <w:color w:val="000000"/>
          <w:sz w:val="20"/>
          <w:lang w:val="en-US" w:eastAsia="en-US" w:bidi="ar-SA"/>
        </w:rPr>
        <w:t>  The position of the government is that damages are not appropriate in either action.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574</w:t>
      </w:r>
      <w:r>
        <w:rPr>
          <w:rFonts w:ascii="arial" w:eastAsia="arial" w:hAnsi="arial" w:cs="arial"/>
          <w:color w:val="000000"/>
          <w:sz w:val="20"/>
          <w:lang w:val="en-US" w:eastAsia="en-US" w:bidi="ar-SA"/>
        </w:rPr>
        <w:t xml:space="preserve">  The </w:t>
      </w:r>
      <w:r>
        <w:rPr>
          <w:rFonts w:ascii="arial" w:eastAsia="arial" w:hAnsi="arial" w:cs="arial"/>
          <w:i/>
          <w:color w:val="000000"/>
          <w:sz w:val="20"/>
          <w:lang w:val="en-US" w:eastAsia="en-US" w:bidi="ar-SA"/>
        </w:rPr>
        <w:t>Charter</w:t>
      </w:r>
      <w:r>
        <w:rPr>
          <w:rFonts w:ascii="arial" w:eastAsia="arial" w:hAnsi="arial" w:cs="arial"/>
          <w:color w:val="000000"/>
          <w:sz w:val="20"/>
          <w:lang w:val="en-US" w:eastAsia="en-US" w:bidi="ar-SA"/>
        </w:rPr>
        <w:t xml:space="preserve"> provides in s. 24(1) as follows: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24.(1) </w:t>
      </w:r>
      <w:r>
        <w:rPr>
          <w:rFonts w:ascii="arial" w:eastAsia="arial" w:hAnsi="arial" w:cs="arial"/>
          <w:color w:val="000000"/>
          <w:sz w:val="20"/>
          <w:u w:val="single"/>
          <w:lang w:val="en-US" w:eastAsia="en-US" w:bidi="ar-SA"/>
        </w:rPr>
        <w:t>Anyone</w:t>
      </w:r>
      <w:r>
        <w:rPr>
          <w:rFonts w:ascii="arial" w:eastAsia="arial" w:hAnsi="arial" w:cs="arial"/>
          <w:color w:val="000000"/>
          <w:sz w:val="20"/>
          <w:lang w:val="en-US" w:eastAsia="en-US" w:bidi="ar-SA"/>
        </w:rPr>
        <w:t xml:space="preserve"> whose rights or freedoms, as guaranteed by this </w:t>
      </w:r>
      <w:r>
        <w:rPr>
          <w:rFonts w:ascii="arial" w:eastAsia="arial" w:hAnsi="arial" w:cs="arial"/>
          <w:i/>
          <w:color w:val="000000"/>
          <w:sz w:val="20"/>
          <w:lang w:val="en-US" w:eastAsia="en-US" w:bidi="ar-SA"/>
        </w:rPr>
        <w:t>Charter</w:t>
      </w:r>
      <w:r>
        <w:rPr>
          <w:rFonts w:ascii="arial" w:eastAsia="arial" w:hAnsi="arial" w:cs="arial"/>
          <w:color w:val="000000"/>
          <w:sz w:val="20"/>
          <w:lang w:val="en-US" w:eastAsia="en-US" w:bidi="ar-SA"/>
        </w:rPr>
        <w:t xml:space="preserve">, have been infringed or denied may apply to a court of competent jurisdiction to obtain </w:t>
      </w:r>
      <w:r>
        <w:rPr>
          <w:rFonts w:ascii="arial" w:eastAsia="arial" w:hAnsi="arial" w:cs="arial"/>
          <w:color w:val="000000"/>
          <w:sz w:val="20"/>
          <w:u w:val="single"/>
          <w:lang w:val="en-US" w:eastAsia="en-US" w:bidi="ar-SA"/>
        </w:rPr>
        <w:t>such remedy as the court considers appropriate and just in the circumstances</w:t>
      </w:r>
      <w:r>
        <w:rPr>
          <w:rFonts w:ascii="arial" w:eastAsia="arial" w:hAnsi="arial" w:cs="arial"/>
          <w:color w:val="000000"/>
          <w:sz w:val="20"/>
          <w:lang w:val="en-US" w:eastAsia="en-US" w:bidi="ar-SA"/>
        </w:rPr>
        <w:t>.</w:t>
      </w:r>
    </w:p>
    <w:p>
      <w:pPr>
        <w:spacing w:before="120" w:line="260" w:lineRule="atLeast"/>
        <w:ind w:left="3240"/>
        <w:rPr>
          <w:rFonts w:ascii="arial" w:eastAsia="arial" w:hAnsi="arial" w:cs="arial"/>
          <w:sz w:val="20"/>
          <w:lang w:val="en-US" w:eastAsia="en-US" w:bidi="ar-SA"/>
        </w:rPr>
      </w:pPr>
      <w:r>
        <w:rPr>
          <w:rFonts w:ascii="arial" w:eastAsia="arial" w:hAnsi="arial" w:cs="arial"/>
          <w:color w:val="000000"/>
          <w:sz w:val="20"/>
          <w:lang w:val="en-US" w:eastAsia="en-US" w:bidi="ar-SA"/>
        </w:rPr>
        <w:t>[Emphasis added.]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575</w:t>
      </w:r>
      <w:r>
        <w:rPr>
          <w:rFonts w:ascii="arial" w:eastAsia="arial" w:hAnsi="arial" w:cs="arial"/>
          <w:color w:val="000000"/>
          <w:sz w:val="20"/>
          <w:lang w:val="en-US" w:eastAsia="en-US" w:bidi="ar-SA"/>
        </w:rPr>
        <w:t xml:space="preserve">  Any consideration of damages has to consider the interplay between the remedy provided by s. 52(1) of the </w:t>
      </w:r>
      <w:r>
        <w:rPr>
          <w:rFonts w:ascii="arial" w:eastAsia="arial" w:hAnsi="arial" w:cs="arial"/>
          <w:i/>
          <w:color w:val="000000"/>
          <w:sz w:val="20"/>
          <w:lang w:val="en-US" w:eastAsia="en-US" w:bidi="ar-SA"/>
        </w:rPr>
        <w:t>Constitution Act</w:t>
      </w:r>
      <w:r>
        <w:rPr>
          <w:rFonts w:ascii="arial" w:eastAsia="arial" w:hAnsi="arial" w:cs="arial"/>
          <w:color w:val="000000"/>
          <w:sz w:val="20"/>
          <w:lang w:val="en-US" w:eastAsia="en-US" w:bidi="ar-SA"/>
        </w:rPr>
        <w:t xml:space="preserve">, which results in striking down the legislation and which has already been granted in this case, and the remedy provided by s. 24(1) of the </w:t>
      </w:r>
      <w:r>
        <w:rPr>
          <w:rFonts w:ascii="arial" w:eastAsia="arial" w:hAnsi="arial" w:cs="arial"/>
          <w:i/>
          <w:color w:val="000000"/>
          <w:sz w:val="20"/>
          <w:lang w:val="en-US" w:eastAsia="en-US" w:bidi="ar-SA"/>
        </w:rPr>
        <w:t>Charter</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576</w:t>
      </w:r>
      <w:r>
        <w:rPr>
          <w:rFonts w:ascii="arial" w:eastAsia="arial" w:hAnsi="arial" w:cs="arial"/>
          <w:color w:val="000000"/>
          <w:sz w:val="20"/>
          <w:lang w:val="en-US" w:eastAsia="en-US" w:bidi="ar-SA"/>
        </w:rPr>
        <w:t xml:space="preserve">  As mentioned earlier in this judgment in the context of exploring the relevance of pre-legislative consultation, and as explained in </w:t>
      </w:r>
      <w:r>
        <w:rPr>
          <w:rFonts w:ascii="arial" w:eastAsia="arial" w:hAnsi="arial" w:cs="arial"/>
          <w:i/>
          <w:color w:val="000000"/>
          <w:sz w:val="20"/>
          <w:lang w:val="en-US" w:eastAsia="en-US" w:bidi="ar-SA"/>
        </w:rPr>
        <w:t>Ferguson</w:t>
      </w:r>
      <w:r>
        <w:rPr>
          <w:rFonts w:ascii="arial" w:eastAsia="arial" w:hAnsi="arial" w:cs="arial"/>
          <w:color w:val="000000"/>
          <w:sz w:val="20"/>
          <w:lang w:val="en-US" w:eastAsia="en-US" w:bidi="ar-SA"/>
        </w:rPr>
        <w:t>, the remedy for unconstitutional legislation is the s. 52(1) remedy, a striking down or other modification of the legislation.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577</w:t>
      </w:r>
      <w:r>
        <w:rPr>
          <w:rFonts w:ascii="arial" w:eastAsia="arial" w:hAnsi="arial" w:cs="arial"/>
          <w:color w:val="000000"/>
          <w:sz w:val="20"/>
          <w:lang w:val="en-US" w:eastAsia="en-US" w:bidi="ar-SA"/>
        </w:rPr>
        <w:t xml:space="preserve">  The remedy provided by s. 24(1) of the </w:t>
      </w:r>
      <w:r>
        <w:rPr>
          <w:rFonts w:ascii="arial" w:eastAsia="arial" w:hAnsi="arial" w:cs="arial"/>
          <w:i/>
          <w:color w:val="000000"/>
          <w:sz w:val="20"/>
          <w:lang w:val="en-US" w:eastAsia="en-US" w:bidi="ar-SA"/>
        </w:rPr>
        <w:t>Charter</w:t>
      </w:r>
      <w:r>
        <w:rPr>
          <w:rFonts w:ascii="arial" w:eastAsia="arial" w:hAnsi="arial" w:cs="arial"/>
          <w:color w:val="000000"/>
          <w:sz w:val="20"/>
          <w:lang w:val="en-US" w:eastAsia="en-US" w:bidi="ar-SA"/>
        </w:rPr>
        <w:t xml:space="preserve"> is generally considered applicable to a different situation, where government conduct is challenged as opposed to legislation, as held in </w:t>
      </w:r>
      <w:r>
        <w:rPr>
          <w:rFonts w:ascii="arial" w:eastAsia="arial" w:hAnsi="arial" w:cs="arial"/>
          <w:i/>
          <w:color w:val="000000"/>
          <w:sz w:val="20"/>
          <w:lang w:val="en-US" w:eastAsia="en-US" w:bidi="ar-SA"/>
        </w:rPr>
        <w:t>Ferguson</w:t>
      </w:r>
      <w:r>
        <w:rPr>
          <w:rFonts w:ascii="arial" w:eastAsia="arial" w:hAnsi="arial" w:cs="arial"/>
          <w:color w:val="000000"/>
          <w:sz w:val="20"/>
          <w:lang w:val="en-US" w:eastAsia="en-US" w:bidi="ar-SA"/>
        </w:rPr>
        <w:t xml:space="preserve"> at para. 35.</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578</w:t>
      </w:r>
      <w:r>
        <w:rPr>
          <w:rFonts w:ascii="arial" w:eastAsia="arial" w:hAnsi="arial" w:cs="arial"/>
          <w:color w:val="000000"/>
          <w:sz w:val="20"/>
          <w:lang w:val="en-US" w:eastAsia="en-US" w:bidi="ar-SA"/>
        </w:rPr>
        <w:t xml:space="preserve">  The Supreme Court of Canada in </w:t>
      </w:r>
      <w:r>
        <w:rPr>
          <w:rFonts w:ascii="arial" w:eastAsia="arial" w:hAnsi="arial" w:cs="arial"/>
          <w:i/>
          <w:color w:val="000000"/>
          <w:sz w:val="20"/>
          <w:lang w:val="en-US" w:eastAsia="en-US" w:bidi="ar-SA"/>
        </w:rPr>
        <w:t>Ferguson</w:t>
      </w:r>
      <w:r>
        <w:rPr>
          <w:rFonts w:ascii="arial" w:eastAsia="arial" w:hAnsi="arial" w:cs="arial"/>
          <w:color w:val="000000"/>
          <w:sz w:val="20"/>
          <w:lang w:val="en-US" w:eastAsia="en-US" w:bidi="ar-SA"/>
        </w:rPr>
        <w:t xml:space="preserve"> did suggest that while usually the two remedies are not awarded together, a s. 24(1) </w:t>
      </w:r>
      <w:r>
        <w:rPr>
          <w:rFonts w:ascii="arial" w:eastAsia="arial" w:hAnsi="arial" w:cs="arial"/>
          <w:i/>
          <w:color w:val="000000"/>
          <w:sz w:val="20"/>
          <w:lang w:val="en-US" w:eastAsia="en-US" w:bidi="ar-SA"/>
        </w:rPr>
        <w:t>Charter</w:t>
      </w:r>
      <w:r>
        <w:rPr>
          <w:rFonts w:ascii="arial" w:eastAsia="arial" w:hAnsi="arial" w:cs="arial"/>
          <w:color w:val="000000"/>
          <w:sz w:val="20"/>
          <w:lang w:val="en-US" w:eastAsia="en-US" w:bidi="ar-SA"/>
        </w:rPr>
        <w:t xml:space="preserve"> remedy is not precluded by a s. 52(1) </w:t>
      </w:r>
      <w:r>
        <w:rPr>
          <w:rFonts w:ascii="arial" w:eastAsia="arial" w:hAnsi="arial" w:cs="arial"/>
          <w:i/>
          <w:color w:val="000000"/>
          <w:sz w:val="20"/>
          <w:lang w:val="en-US" w:eastAsia="en-US" w:bidi="ar-SA"/>
        </w:rPr>
        <w:t>Constitution Act</w:t>
      </w:r>
      <w:r>
        <w:rPr>
          <w:rFonts w:ascii="arial" w:eastAsia="arial" w:hAnsi="arial" w:cs="arial"/>
          <w:color w:val="000000"/>
          <w:sz w:val="20"/>
          <w:lang w:val="en-US" w:eastAsia="en-US" w:bidi="ar-SA"/>
        </w:rPr>
        <w:t xml:space="preserve"> remedy striking down legislation where the additional relief is needed to provide the claimant with an effective remedy. The Court made it clear however that this will be a rare circumstance: see paras. 61-66.</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579</w:t>
      </w:r>
      <w:r>
        <w:rPr>
          <w:rFonts w:ascii="arial" w:eastAsia="arial" w:hAnsi="arial" w:cs="arial"/>
          <w:color w:val="000000"/>
          <w:sz w:val="20"/>
          <w:lang w:val="en-US" w:eastAsia="en-US" w:bidi="ar-SA"/>
        </w:rPr>
        <w:t xml:space="preserve">  The Province relies on the Supreme Court of Canada decision in </w:t>
      </w:r>
      <w:r>
        <w:rPr>
          <w:rFonts w:ascii="arial" w:eastAsia="arial" w:hAnsi="arial" w:cs="arial"/>
          <w:i/>
          <w:color w:val="000000"/>
          <w:sz w:val="20"/>
          <w:lang w:val="en-US" w:eastAsia="en-US" w:bidi="ar-SA"/>
        </w:rPr>
        <w:t>Mackin</w:t>
      </w:r>
      <w:r>
        <w:rPr>
          <w:rFonts w:ascii="arial" w:eastAsia="arial" w:hAnsi="arial" w:cs="arial"/>
          <w:color w:val="000000"/>
          <w:sz w:val="20"/>
          <w:lang w:val="en-US" w:eastAsia="en-US" w:bidi="ar-SA"/>
        </w:rPr>
        <w:t xml:space="preserve"> to argue that a s. 24(1) </w:t>
      </w:r>
      <w:r>
        <w:rPr>
          <w:rFonts w:ascii="arial" w:eastAsia="arial" w:hAnsi="arial" w:cs="arial"/>
          <w:i/>
          <w:color w:val="000000"/>
          <w:sz w:val="20"/>
          <w:lang w:val="en-US" w:eastAsia="en-US" w:bidi="ar-SA"/>
        </w:rPr>
        <w:t>Charter</w:t>
      </w:r>
      <w:r>
        <w:rPr>
          <w:rFonts w:ascii="arial" w:eastAsia="arial" w:hAnsi="arial" w:cs="arial"/>
          <w:color w:val="000000"/>
          <w:sz w:val="20"/>
          <w:lang w:val="en-US" w:eastAsia="en-US" w:bidi="ar-SA"/>
        </w:rPr>
        <w:t xml:space="preserve"> remedy of damages should only be awarded against governments for actions taken under valid statutes subsequently declared invalid, where the government conduct is "clearly wrong, in bad faith or an abuse of power": </w:t>
      </w:r>
      <w:r>
        <w:rPr>
          <w:rFonts w:ascii="arial" w:eastAsia="arial" w:hAnsi="arial" w:cs="arial"/>
          <w:i/>
          <w:color w:val="000000"/>
          <w:sz w:val="20"/>
          <w:lang w:val="en-US" w:eastAsia="en-US" w:bidi="ar-SA"/>
        </w:rPr>
        <w:t>Mackin</w:t>
      </w:r>
      <w:r>
        <w:rPr>
          <w:rFonts w:ascii="arial" w:eastAsia="arial" w:hAnsi="arial" w:cs="arial"/>
          <w:color w:val="000000"/>
          <w:sz w:val="20"/>
          <w:lang w:val="en-US" w:eastAsia="en-US" w:bidi="ar-SA"/>
        </w:rPr>
        <w:t>, at para. 79.</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580</w:t>
      </w:r>
      <w:r>
        <w:rPr>
          <w:rFonts w:ascii="arial" w:eastAsia="arial" w:hAnsi="arial" w:cs="arial"/>
          <w:color w:val="000000"/>
          <w:sz w:val="20"/>
          <w:lang w:val="en-US" w:eastAsia="en-US" w:bidi="ar-SA"/>
        </w:rPr>
        <w:t xml:space="preserve">  The Court in </w:t>
      </w:r>
      <w:r>
        <w:rPr>
          <w:rFonts w:ascii="arial" w:eastAsia="arial" w:hAnsi="arial" w:cs="arial"/>
          <w:i/>
          <w:color w:val="000000"/>
          <w:sz w:val="20"/>
          <w:lang w:val="en-US" w:eastAsia="en-US" w:bidi="ar-SA"/>
        </w:rPr>
        <w:t>Mackin</w:t>
      </w:r>
      <w:r>
        <w:rPr>
          <w:rFonts w:ascii="arial" w:eastAsia="arial" w:hAnsi="arial" w:cs="arial"/>
          <w:color w:val="000000"/>
          <w:sz w:val="20"/>
          <w:lang w:val="en-US" w:eastAsia="en-US" w:bidi="ar-SA"/>
        </w:rPr>
        <w:t xml:space="preserve"> also listed as potential grounds for s. 24(1) </w:t>
      </w:r>
      <w:r>
        <w:rPr>
          <w:rFonts w:ascii="arial" w:eastAsia="arial" w:hAnsi="arial" w:cs="arial"/>
          <w:i/>
          <w:color w:val="000000"/>
          <w:sz w:val="20"/>
          <w:lang w:val="en-US" w:eastAsia="en-US" w:bidi="ar-SA"/>
        </w:rPr>
        <w:t>Charter</w:t>
      </w:r>
      <w:r>
        <w:rPr>
          <w:rFonts w:ascii="arial" w:eastAsia="arial" w:hAnsi="arial" w:cs="arial"/>
          <w:color w:val="000000"/>
          <w:sz w:val="20"/>
          <w:lang w:val="en-US" w:eastAsia="en-US" w:bidi="ar-SA"/>
        </w:rPr>
        <w:t xml:space="preserve"> damages, even where legislation is found unconstitutional and struck down, such situations as: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or "wilful blindness" by the government with respect to its constitutional obligations; and where the government enacted legislation for "ulterior motives or with knowledge of its unconstitutionality" (at paras. 82-83).</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581</w:t>
      </w:r>
      <w:r>
        <w:rPr>
          <w:rFonts w:ascii="arial" w:eastAsia="arial" w:hAnsi="arial" w:cs="arial"/>
          <w:color w:val="000000"/>
          <w:sz w:val="20"/>
          <w:lang w:val="en-US" w:eastAsia="en-US" w:bidi="ar-SA"/>
        </w:rPr>
        <w:t xml:space="preserve">  The </w:t>
      </w:r>
      <w:r>
        <w:rPr>
          <w:rFonts w:ascii="arial" w:eastAsia="arial" w:hAnsi="arial" w:cs="arial"/>
          <w:i/>
          <w:color w:val="000000"/>
          <w:sz w:val="20"/>
          <w:lang w:val="en-US" w:eastAsia="en-US" w:bidi="ar-SA"/>
        </w:rPr>
        <w:t>Mackin</w:t>
      </w:r>
      <w:r>
        <w:rPr>
          <w:rFonts w:ascii="arial" w:eastAsia="arial" w:hAnsi="arial" w:cs="arial"/>
          <w:color w:val="000000"/>
          <w:sz w:val="20"/>
          <w:lang w:val="en-US" w:eastAsia="en-US" w:bidi="ar-SA"/>
        </w:rPr>
        <w:t xml:space="preserve"> principle has been cited as a reason for denying an individual a s. 24(1) </w:t>
      </w:r>
      <w:r>
        <w:rPr>
          <w:rFonts w:ascii="arial" w:eastAsia="arial" w:hAnsi="arial" w:cs="arial"/>
          <w:i/>
          <w:color w:val="000000"/>
          <w:sz w:val="20"/>
          <w:lang w:val="en-US" w:eastAsia="en-US" w:bidi="ar-SA"/>
        </w:rPr>
        <w:t>Charter</w:t>
      </w:r>
      <w:r>
        <w:rPr>
          <w:rFonts w:ascii="arial" w:eastAsia="arial" w:hAnsi="arial" w:cs="arial"/>
          <w:color w:val="000000"/>
          <w:sz w:val="20"/>
          <w:lang w:val="en-US" w:eastAsia="en-US" w:bidi="ar-SA"/>
        </w:rPr>
        <w:t xml:space="preserve"> remedy during a period of suspended invalidity of a statute: </w:t>
      </w:r>
      <w:r>
        <w:rPr>
          <w:rFonts w:ascii="arial" w:eastAsia="arial" w:hAnsi="arial" w:cs="arial"/>
          <w:i/>
          <w:color w:val="000000"/>
          <w:sz w:val="20"/>
          <w:lang w:val="en-US" w:eastAsia="en-US" w:bidi="ar-SA"/>
        </w:rPr>
        <w:t>R. v. Demers</w:t>
      </w:r>
      <w:r>
        <w:rPr>
          <w:rFonts w:ascii="arial" w:eastAsia="arial" w:hAnsi="arial" w:cs="arial"/>
          <w:color w:val="000000"/>
          <w:sz w:val="20"/>
          <w:lang w:val="en-US" w:eastAsia="en-US" w:bidi="ar-SA"/>
        </w:rPr>
        <w:t xml:space="preserve">, </w:t>
      </w:r>
      <w:hyperlink r:id="rId871" w:history="1">
        <w:r>
          <w:rPr>
            <w:rFonts w:ascii="arial" w:eastAsia="arial" w:hAnsi="arial" w:cs="arial"/>
            <w:i/>
            <w:color w:val="0077CC"/>
            <w:sz w:val="20"/>
            <w:u w:val="single"/>
            <w:shd w:val="clear" w:color="auto" w:fill="FFFFFF"/>
            <w:lang w:val="en-US" w:eastAsia="en-US" w:bidi="ar-SA"/>
          </w:rPr>
          <w:t>2004 SCC 46</w:t>
        </w:r>
      </w:hyperlink>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582</w:t>
      </w:r>
      <w:r>
        <w:rPr>
          <w:rFonts w:ascii="arial" w:eastAsia="arial" w:hAnsi="arial" w:cs="arial"/>
          <w:color w:val="000000"/>
          <w:sz w:val="20"/>
          <w:lang w:val="en-US" w:eastAsia="en-US" w:bidi="ar-SA"/>
        </w:rPr>
        <w:t xml:space="preserve">  The rationale underlying this limited government immunity to a damages claim is that it would interfere with good governance if government officials were deterred from enforcing the law by the possibility of liability for future damages awards in the event the law was subsequently declared invalid: </w:t>
      </w:r>
      <w:r>
        <w:rPr>
          <w:rFonts w:ascii="arial" w:eastAsia="arial" w:hAnsi="arial" w:cs="arial"/>
          <w:i/>
          <w:color w:val="000000"/>
          <w:sz w:val="20"/>
          <w:lang w:val="en-US" w:eastAsia="en-US" w:bidi="ar-SA"/>
        </w:rPr>
        <w:t>Vancouver (City) v. Ward</w:t>
      </w:r>
      <w:r>
        <w:rPr>
          <w:rFonts w:ascii="arial" w:eastAsia="arial" w:hAnsi="arial" w:cs="arial"/>
          <w:color w:val="000000"/>
          <w:sz w:val="20"/>
          <w:lang w:val="en-US" w:eastAsia="en-US" w:bidi="ar-SA"/>
        </w:rPr>
        <w:t xml:space="preserve">, </w:t>
      </w:r>
      <w:hyperlink r:id="rId876" w:history="1">
        <w:r>
          <w:rPr>
            <w:rFonts w:ascii="arial" w:eastAsia="arial" w:hAnsi="arial" w:cs="arial"/>
            <w:i/>
            <w:color w:val="0077CC"/>
            <w:sz w:val="20"/>
            <w:u w:val="single"/>
            <w:shd w:val="clear" w:color="auto" w:fill="FFFFFF"/>
            <w:lang w:val="en-US" w:eastAsia="en-US" w:bidi="ar-SA"/>
          </w:rPr>
          <w:t>2010 SCC 27</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Ward</w:t>
      </w:r>
      <w:r>
        <w:rPr>
          <w:rFonts w:ascii="arial" w:eastAsia="arial" w:hAnsi="arial" w:cs="arial"/>
          <w:color w:val="000000"/>
          <w:sz w:val="20"/>
          <w:lang w:val="en-US" w:eastAsia="en-US" w:bidi="ar-SA"/>
        </w:rPr>
        <w:t>] at para. 39.</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583</w:t>
      </w:r>
      <w:r>
        <w:rPr>
          <w:rFonts w:ascii="arial" w:eastAsia="arial" w:hAnsi="arial" w:cs="arial"/>
          <w:color w:val="000000"/>
          <w:sz w:val="20"/>
          <w:lang w:val="en-US" w:eastAsia="en-US" w:bidi="ar-SA"/>
        </w:rPr>
        <w:t xml:space="preserve">  The Supreme Court of Canada in </w:t>
      </w:r>
      <w:r>
        <w:rPr>
          <w:rFonts w:ascii="arial" w:eastAsia="arial" w:hAnsi="arial" w:cs="arial"/>
          <w:i/>
          <w:color w:val="000000"/>
          <w:sz w:val="20"/>
          <w:lang w:val="en-US" w:eastAsia="en-US" w:bidi="ar-SA"/>
        </w:rPr>
        <w:t>Ward</w:t>
      </w:r>
      <w:r>
        <w:rPr>
          <w:rFonts w:ascii="arial" w:eastAsia="arial" w:hAnsi="arial" w:cs="arial"/>
          <w:color w:val="000000"/>
          <w:sz w:val="20"/>
          <w:lang w:val="en-US" w:eastAsia="en-US" w:bidi="ar-SA"/>
        </w:rPr>
        <w:t xml:space="preserve"> did not attempt to describe the parameters of when s. 24(1) </w:t>
      </w:r>
      <w:r>
        <w:rPr>
          <w:rFonts w:ascii="arial" w:eastAsia="arial" w:hAnsi="arial" w:cs="arial"/>
          <w:i/>
          <w:color w:val="000000"/>
          <w:sz w:val="20"/>
          <w:lang w:val="en-US" w:eastAsia="en-US" w:bidi="ar-SA"/>
        </w:rPr>
        <w:t>Charter</w:t>
      </w:r>
      <w:r>
        <w:rPr>
          <w:rFonts w:ascii="arial" w:eastAsia="arial" w:hAnsi="arial" w:cs="arial"/>
          <w:color w:val="000000"/>
          <w:sz w:val="20"/>
          <w:lang w:val="en-US" w:eastAsia="en-US" w:bidi="ar-SA"/>
        </w:rPr>
        <w:t xml:space="preserve"> damages might be available against a state in relation to unconstitutional legislation which is struck down, other than setting out that some "threshold misconduct" is required, also described as a "minimum threshold of gravity": at para. 39.</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584</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Ward</w:t>
      </w:r>
      <w:r>
        <w:rPr>
          <w:rFonts w:ascii="arial" w:eastAsia="arial" w:hAnsi="arial" w:cs="arial"/>
          <w:color w:val="000000"/>
          <w:sz w:val="20"/>
          <w:lang w:val="en-US" w:eastAsia="en-US" w:bidi="ar-SA"/>
        </w:rPr>
        <w:t>, the plaintiff was detained by the Vancouver Police Department ("VPD") on the basis of information that an unknown individual intended to throw a pie at Prime Minister Jean Chretien while he was in attendance at a ceremony in Vancouver. Mr. Ward was mistakenly identified as the putative-pie-thrower, chased down, handcuffed, and later strip searched by corrections officers after being arrested by the VPD for breaching the peace for protesting his detainment.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585</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Ward</w:t>
      </w:r>
      <w:r>
        <w:rPr>
          <w:rFonts w:ascii="arial" w:eastAsia="arial" w:hAnsi="arial" w:cs="arial"/>
          <w:color w:val="000000"/>
          <w:sz w:val="20"/>
          <w:lang w:val="en-US" w:eastAsia="en-US" w:bidi="ar-SA"/>
        </w:rPr>
        <w:t>, the Court noted that the case did not involve a challenge to legislation, but rather, a challenge to government conduct.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586</w:t>
      </w:r>
      <w:r>
        <w:rPr>
          <w:rFonts w:ascii="arial" w:eastAsia="arial" w:hAnsi="arial" w:cs="arial"/>
          <w:color w:val="000000"/>
          <w:sz w:val="20"/>
          <w:lang w:val="en-US" w:eastAsia="en-US" w:bidi="ar-SA"/>
        </w:rPr>
        <w:t xml:space="preserve">  The Supreme Court of Canada in </w:t>
      </w:r>
      <w:r>
        <w:rPr>
          <w:rFonts w:ascii="arial" w:eastAsia="arial" w:hAnsi="arial" w:cs="arial"/>
          <w:i/>
          <w:color w:val="000000"/>
          <w:sz w:val="20"/>
          <w:lang w:val="en-US" w:eastAsia="en-US" w:bidi="ar-SA"/>
        </w:rPr>
        <w:t>Ward</w:t>
      </w:r>
      <w:r>
        <w:rPr>
          <w:rFonts w:ascii="arial" w:eastAsia="arial" w:hAnsi="arial" w:cs="arial"/>
          <w:color w:val="000000"/>
          <w:sz w:val="20"/>
          <w:lang w:val="en-US" w:eastAsia="en-US" w:bidi="ar-SA"/>
        </w:rPr>
        <w:t xml:space="preserve"> held that the language of s. 24(1) of the </w:t>
      </w:r>
      <w:r>
        <w:rPr>
          <w:rFonts w:ascii="arial" w:eastAsia="arial" w:hAnsi="arial" w:cs="arial"/>
          <w:i/>
          <w:color w:val="000000"/>
          <w:sz w:val="20"/>
          <w:lang w:val="en-US" w:eastAsia="en-US" w:bidi="ar-SA"/>
        </w:rPr>
        <w:t>Charter</w:t>
      </w:r>
      <w:r>
        <w:rPr>
          <w:rFonts w:ascii="arial" w:eastAsia="arial" w:hAnsi="arial" w:cs="arial"/>
          <w:color w:val="000000"/>
          <w:sz w:val="20"/>
          <w:lang w:val="en-US" w:eastAsia="en-US" w:bidi="ar-SA"/>
        </w:rPr>
        <w:t xml:space="preserve"> was sufficiently broad to include a remedy of constitutional damages for a breach of a claimant's </w:t>
      </w:r>
      <w:r>
        <w:rPr>
          <w:rFonts w:ascii="arial" w:eastAsia="arial" w:hAnsi="arial" w:cs="arial"/>
          <w:i/>
          <w:color w:val="000000"/>
          <w:sz w:val="20"/>
          <w:lang w:val="en-US" w:eastAsia="en-US" w:bidi="ar-SA"/>
        </w:rPr>
        <w:t>Charter</w:t>
      </w:r>
      <w:r>
        <w:rPr>
          <w:rFonts w:ascii="arial" w:eastAsia="arial" w:hAnsi="arial" w:cs="arial"/>
          <w:color w:val="000000"/>
          <w:sz w:val="20"/>
          <w:lang w:val="en-US" w:eastAsia="en-US" w:bidi="ar-SA"/>
        </w:rPr>
        <w:t xml:space="preserve"> rights if such a remedy was found to be appropriate and just in the circumstances of a particular case (</w:t>
      </w:r>
      <w:r>
        <w:rPr>
          <w:rFonts w:ascii="arial" w:eastAsia="arial" w:hAnsi="arial" w:cs="arial"/>
          <w:i/>
          <w:color w:val="000000"/>
          <w:sz w:val="20"/>
          <w:lang w:val="en-US" w:eastAsia="en-US" w:bidi="ar-SA"/>
        </w:rPr>
        <w:t>Ward</w:t>
      </w:r>
      <w:r>
        <w:rPr>
          <w:rFonts w:ascii="arial" w:eastAsia="arial" w:hAnsi="arial" w:cs="arial"/>
          <w:color w:val="000000"/>
          <w:sz w:val="20"/>
          <w:lang w:val="en-US" w:eastAsia="en-US" w:bidi="ar-SA"/>
        </w:rPr>
        <w:t xml:space="preserve">, at para. 21). The Court created a three-step test for establishing when damages may be "appropriate and just" under s. 24(1) of the </w:t>
      </w:r>
      <w:r>
        <w:rPr>
          <w:rFonts w:ascii="arial" w:eastAsia="arial" w:hAnsi="arial" w:cs="arial"/>
          <w:i/>
          <w:color w:val="000000"/>
          <w:sz w:val="20"/>
          <w:lang w:val="en-US" w:eastAsia="en-US" w:bidi="ar-SA"/>
        </w:rPr>
        <w:t>Charter</w:t>
      </w:r>
      <w:r>
        <w:rPr>
          <w:rFonts w:ascii="arial" w:eastAsia="arial" w:hAnsi="arial" w:cs="arial"/>
          <w:color w:val="000000"/>
          <w:sz w:val="20"/>
          <w:lang w:val="en-US" w:eastAsia="en-US" w:bidi="ar-SA"/>
        </w:rPr>
        <w:t>:</w:t>
      </w:r>
      <w:r>
        <w:rPr>
          <w:rFonts w:ascii="arial" w:eastAsia="arial" w:hAnsi="arial" w:cs="arial"/>
          <w:sz w:val="20"/>
          <w:lang w:val="en-US" w:eastAsia="en-US" w:bidi="ar-SA"/>
        </w:rPr>
        <w:cr/>
      </w:r>
    </w:p>
    <w:p>
      <w:pPr>
        <w:numPr>
          <w:numId w:val="12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First, the claimant must establish a </w:t>
      </w:r>
      <w:r>
        <w:rPr>
          <w:rFonts w:ascii="arial" w:eastAsia="arial" w:hAnsi="arial" w:cs="arial"/>
          <w:i/>
          <w:color w:val="000000"/>
          <w:sz w:val="20"/>
          <w:lang w:val="en-US" w:eastAsia="en-US" w:bidi="ar-SA"/>
        </w:rPr>
        <w:t>Charter</w:t>
      </w:r>
      <w:r>
        <w:rPr>
          <w:rFonts w:ascii="arial" w:eastAsia="arial" w:hAnsi="arial" w:cs="arial"/>
          <w:color w:val="000000"/>
          <w:sz w:val="20"/>
          <w:lang w:val="en-US" w:eastAsia="en-US" w:bidi="ar-SA"/>
        </w:rPr>
        <w:t xml:space="preserve"> breach as this is the wrong on which the claim for damages is based.</w:t>
      </w:r>
    </w:p>
    <w:p>
      <w:pPr>
        <w:numPr>
          <w:numId w:val="12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Second, for damages to be awarded, they must further the general objects of the </w:t>
      </w:r>
      <w:r>
        <w:rPr>
          <w:rFonts w:ascii="arial" w:eastAsia="arial" w:hAnsi="arial" w:cs="arial"/>
          <w:i/>
          <w:color w:val="000000"/>
          <w:sz w:val="20"/>
          <w:lang w:val="en-US" w:eastAsia="en-US" w:bidi="ar-SA"/>
        </w:rPr>
        <w:t>Charter</w:t>
      </w:r>
      <w:r>
        <w:rPr>
          <w:rFonts w:ascii="arial" w:eastAsia="arial" w:hAnsi="arial" w:cs="arial"/>
          <w:color w:val="000000"/>
          <w:sz w:val="20"/>
          <w:lang w:val="en-US" w:eastAsia="en-US" w:bidi="ar-SA"/>
        </w:rPr>
        <w:t>; reflecting one or more of three interrelated functions that damages may serve, specifically, compensation, vindication, and deterrence.</w:t>
      </w:r>
    </w:p>
    <w:p>
      <w:pPr>
        <w:numPr>
          <w:numId w:val="12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Third, even where a claimant establishes that damages are functionally justified, the state may establish that countervailing factors defeat the functional considerations and render s. 24(1) damages inappropriate or unjust.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587</w:t>
      </w:r>
      <w:r>
        <w:rPr>
          <w:rFonts w:ascii="arial" w:eastAsia="arial" w:hAnsi="arial" w:cs="arial"/>
          <w:color w:val="000000"/>
          <w:sz w:val="20"/>
          <w:lang w:val="en-US" w:eastAsia="en-US" w:bidi="ar-SA"/>
        </w:rPr>
        <w:t xml:space="preserve">  The Court in </w:t>
      </w:r>
      <w:r>
        <w:rPr>
          <w:rFonts w:ascii="arial" w:eastAsia="arial" w:hAnsi="arial" w:cs="arial"/>
          <w:i/>
          <w:color w:val="000000"/>
          <w:sz w:val="20"/>
          <w:lang w:val="en-US" w:eastAsia="en-US" w:bidi="ar-SA"/>
        </w:rPr>
        <w:t>Ward</w:t>
      </w:r>
      <w:r>
        <w:rPr>
          <w:rFonts w:ascii="arial" w:eastAsia="arial" w:hAnsi="arial" w:cs="arial"/>
          <w:color w:val="000000"/>
          <w:sz w:val="20"/>
          <w:lang w:val="en-US" w:eastAsia="en-US" w:bidi="ar-SA"/>
        </w:rPr>
        <w:t xml:space="preserve"> noted that the availability of other remedies may meet the need for compensation, vindication and/or deterrence, and may support a conclusion that s. 24(1) </w:t>
      </w:r>
      <w:r>
        <w:rPr>
          <w:rFonts w:ascii="arial" w:eastAsia="arial" w:hAnsi="arial" w:cs="arial"/>
          <w:i/>
          <w:color w:val="000000"/>
          <w:sz w:val="20"/>
          <w:lang w:val="en-US" w:eastAsia="en-US" w:bidi="ar-SA"/>
        </w:rPr>
        <w:t>Charter</w:t>
      </w:r>
      <w:r>
        <w:rPr>
          <w:rFonts w:ascii="arial" w:eastAsia="arial" w:hAnsi="arial" w:cs="arial"/>
          <w:color w:val="000000"/>
          <w:sz w:val="20"/>
          <w:lang w:val="en-US" w:eastAsia="en-US" w:bidi="ar-SA"/>
        </w:rPr>
        <w:t xml:space="preserve"> remedies are not appropriate and just: para. 34. This of course is consistent with the notion that because s. 52(1) of the </w:t>
      </w:r>
      <w:r>
        <w:rPr>
          <w:rFonts w:ascii="arial" w:eastAsia="arial" w:hAnsi="arial" w:cs="arial"/>
          <w:i/>
          <w:color w:val="000000"/>
          <w:sz w:val="20"/>
          <w:lang w:val="en-US" w:eastAsia="en-US" w:bidi="ar-SA"/>
        </w:rPr>
        <w:t>Constitution Act</w:t>
      </w:r>
      <w:r>
        <w:rPr>
          <w:rFonts w:ascii="arial" w:eastAsia="arial" w:hAnsi="arial" w:cs="arial"/>
          <w:color w:val="000000"/>
          <w:sz w:val="20"/>
          <w:lang w:val="en-US" w:eastAsia="en-US" w:bidi="ar-SA"/>
        </w:rPr>
        <w:t xml:space="preserve"> already provides a remedy in cases where legislation is struck down, in those cases it usually is not appropriate and just to also award s. 24(1) </w:t>
      </w:r>
      <w:r>
        <w:rPr>
          <w:rFonts w:ascii="arial" w:eastAsia="arial" w:hAnsi="arial" w:cs="arial"/>
          <w:i/>
          <w:color w:val="000000"/>
          <w:sz w:val="20"/>
          <w:lang w:val="en-US" w:eastAsia="en-US" w:bidi="ar-SA"/>
        </w:rPr>
        <w:t>Charter</w:t>
      </w:r>
      <w:r>
        <w:rPr>
          <w:rFonts w:ascii="arial" w:eastAsia="arial" w:hAnsi="arial" w:cs="arial"/>
          <w:color w:val="000000"/>
          <w:sz w:val="20"/>
          <w:lang w:val="en-US" w:eastAsia="en-US" w:bidi="ar-SA"/>
        </w:rPr>
        <w:t xml:space="preserve"> 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588</w:t>
      </w:r>
      <w:r>
        <w:rPr>
          <w:rFonts w:ascii="arial" w:eastAsia="arial" w:hAnsi="arial" w:cs="arial"/>
          <w:color w:val="000000"/>
          <w:sz w:val="20"/>
          <w:lang w:val="en-US" w:eastAsia="en-US" w:bidi="ar-SA"/>
        </w:rPr>
        <w:t xml:space="preserve">  With regard to determining the quantum of s. 24(1) </w:t>
      </w:r>
      <w:r>
        <w:rPr>
          <w:rFonts w:ascii="arial" w:eastAsia="arial" w:hAnsi="arial" w:cs="arial"/>
          <w:i/>
          <w:color w:val="000000"/>
          <w:sz w:val="20"/>
          <w:lang w:val="en-US" w:eastAsia="en-US" w:bidi="ar-SA"/>
        </w:rPr>
        <w:t>Charter</w:t>
      </w:r>
      <w:r>
        <w:rPr>
          <w:rFonts w:ascii="arial" w:eastAsia="arial" w:hAnsi="arial" w:cs="arial"/>
          <w:color w:val="000000"/>
          <w:sz w:val="20"/>
          <w:lang w:val="en-US" w:eastAsia="en-US" w:bidi="ar-SA"/>
        </w:rPr>
        <w:t xml:space="preserve"> damages, the Court in </w:t>
      </w:r>
      <w:r>
        <w:rPr>
          <w:rFonts w:ascii="arial" w:eastAsia="arial" w:hAnsi="arial" w:cs="arial"/>
          <w:i/>
          <w:color w:val="000000"/>
          <w:sz w:val="20"/>
          <w:lang w:val="en-US" w:eastAsia="en-US" w:bidi="ar-SA"/>
        </w:rPr>
        <w:t>Ward</w:t>
      </w:r>
      <w:r>
        <w:rPr>
          <w:rFonts w:ascii="arial" w:eastAsia="arial" w:hAnsi="arial" w:cs="arial"/>
          <w:color w:val="000000"/>
          <w:sz w:val="20"/>
          <w:lang w:val="en-US" w:eastAsia="en-US" w:bidi="ar-SA"/>
        </w:rPr>
        <w:t xml:space="preserve"> found that "[g]enerally, compensation will be the most important object, and vindication and deterrence will play supporting roles" (at para. 47).</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589</w:t>
      </w:r>
      <w:r>
        <w:rPr>
          <w:rFonts w:ascii="arial" w:eastAsia="arial" w:hAnsi="arial" w:cs="arial"/>
          <w:color w:val="000000"/>
          <w:sz w:val="20"/>
          <w:lang w:val="en-US" w:eastAsia="en-US" w:bidi="ar-SA"/>
        </w:rPr>
        <w:t xml:space="preserve">  However, at para. 29 of </w:t>
      </w:r>
      <w:r>
        <w:rPr>
          <w:rFonts w:ascii="arial" w:eastAsia="arial" w:hAnsi="arial" w:cs="arial"/>
          <w:i/>
          <w:color w:val="000000"/>
          <w:sz w:val="20"/>
          <w:lang w:val="en-US" w:eastAsia="en-US" w:bidi="ar-SA"/>
        </w:rPr>
        <w:t>Ward</w:t>
      </w:r>
      <w:r>
        <w:rPr>
          <w:rFonts w:ascii="arial" w:eastAsia="arial" w:hAnsi="arial" w:cs="arial"/>
          <w:color w:val="000000"/>
          <w:sz w:val="20"/>
          <w:lang w:val="en-US" w:eastAsia="en-US" w:bidi="ar-SA"/>
        </w:rPr>
        <w:t xml:space="preserve"> the Court discussed the importance of deterrence in the awarding of </w:t>
      </w:r>
      <w:r>
        <w:rPr>
          <w:rFonts w:ascii="arial" w:eastAsia="arial" w:hAnsi="arial" w:cs="arial"/>
          <w:i/>
          <w:color w:val="000000"/>
          <w:sz w:val="20"/>
          <w:lang w:val="en-US" w:eastAsia="en-US" w:bidi="ar-SA"/>
        </w:rPr>
        <w:t>Charter</w:t>
      </w:r>
      <w:r>
        <w:rPr>
          <w:rFonts w:ascii="arial" w:eastAsia="arial" w:hAnsi="arial" w:cs="arial"/>
          <w:color w:val="000000"/>
          <w:sz w:val="20"/>
          <w:lang w:val="en-US" w:eastAsia="en-US" w:bidi="ar-SA"/>
        </w:rPr>
        <w:t xml:space="preserve"> damages: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Finally, deterrence of future breaches of the right has also been widely recognized as a valid object of public law damages: e.g., </w:t>
      </w:r>
      <w:r>
        <w:rPr>
          <w:rFonts w:ascii="arial" w:eastAsia="arial" w:hAnsi="arial" w:cs="arial"/>
          <w:i/>
          <w:color w:val="000000"/>
          <w:sz w:val="20"/>
          <w:lang w:val="en-US" w:eastAsia="en-US" w:bidi="ar-SA"/>
        </w:rPr>
        <w:t>Attorney General of Trinidad and Tobago v. Ramanoop</w:t>
      </w:r>
      <w:r>
        <w:rPr>
          <w:rFonts w:ascii="arial" w:eastAsia="arial" w:hAnsi="arial" w:cs="arial"/>
          <w:color w:val="000000"/>
          <w:sz w:val="20"/>
          <w:lang w:val="en-US" w:eastAsia="en-US" w:bidi="ar-SA"/>
        </w:rPr>
        <w:t xml:space="preserve">, [2005] UKPC 15, [2006] 1 A.C. 328, at para. 19; Taunoa, at para. 259; Fose, at para. 96; </w:t>
      </w:r>
      <w:r>
        <w:rPr>
          <w:rFonts w:ascii="arial" w:eastAsia="arial" w:hAnsi="arial" w:cs="arial"/>
          <w:i/>
          <w:color w:val="000000"/>
          <w:sz w:val="20"/>
          <w:lang w:val="en-US" w:eastAsia="en-US" w:bidi="ar-SA"/>
        </w:rPr>
        <w:t>Smith v. Wade</w:t>
      </w:r>
      <w:r>
        <w:rPr>
          <w:rFonts w:ascii="arial" w:eastAsia="arial" w:hAnsi="arial" w:cs="arial"/>
          <w:color w:val="000000"/>
          <w:sz w:val="20"/>
          <w:lang w:val="en-US" w:eastAsia="en-US" w:bidi="ar-SA"/>
        </w:rPr>
        <w:t xml:space="preserve">, 461 U.S. 30 (1983), at p. 49. Deterrence, like vindication, has a societal purpose. </w:t>
      </w:r>
      <w:r>
        <w:rPr>
          <w:rFonts w:ascii="arial" w:eastAsia="arial" w:hAnsi="arial" w:cs="arial"/>
          <w:color w:val="000000"/>
          <w:sz w:val="20"/>
          <w:u w:val="single"/>
          <w:lang w:val="en-US" w:eastAsia="en-US" w:bidi="ar-SA"/>
        </w:rPr>
        <w:t>Deterrence seeks to regulate government behaviour, generally, in order to achieve compliance with the Constitution.</w:t>
      </w:r>
      <w:r>
        <w:rPr>
          <w:rFonts w:ascii="arial" w:eastAsia="arial" w:hAnsi="arial" w:cs="arial"/>
          <w:color w:val="000000"/>
          <w:sz w:val="20"/>
          <w:lang w:val="en-US" w:eastAsia="en-US" w:bidi="ar-SA"/>
        </w:rPr>
        <w:t xml:space="preserve"> This purpose is similar to the criminal sentencing object of "general deterrence", which holds that the example provided by the punishment imposed on a particular offender will dissuade potential criminals from engaging in criminal activity. When general deterrence is factored in the determination of the sentence, the offender is punished more severely, not because he or she deserves it, but because the court decides to send a message to others who may be inclined to engage in similar criminal activity: </w:t>
      </w:r>
      <w:r>
        <w:rPr>
          <w:rFonts w:ascii="arial" w:eastAsia="arial" w:hAnsi="arial" w:cs="arial"/>
          <w:i/>
          <w:color w:val="000000"/>
          <w:sz w:val="20"/>
          <w:lang w:val="en-US" w:eastAsia="en-US" w:bidi="ar-SA"/>
        </w:rPr>
        <w:t>R. v. B.W.P.,</w:t>
      </w:r>
      <w:r>
        <w:rPr>
          <w:rFonts w:ascii="arial" w:eastAsia="arial" w:hAnsi="arial" w:cs="arial"/>
          <w:color w:val="000000"/>
          <w:sz w:val="20"/>
          <w:lang w:val="en-US" w:eastAsia="en-US" w:bidi="ar-SA"/>
        </w:rPr>
        <w:t xml:space="preserve"> </w:t>
      </w:r>
      <w:hyperlink r:id="rId882" w:history="1">
        <w:r>
          <w:rPr>
            <w:rFonts w:ascii="arial" w:eastAsia="arial" w:hAnsi="arial" w:cs="arial"/>
            <w:i/>
            <w:color w:val="0077CC"/>
            <w:sz w:val="20"/>
            <w:u w:val="single"/>
            <w:shd w:val="clear" w:color="auto" w:fill="FFFFFF"/>
            <w:lang w:val="en-US" w:eastAsia="en-US" w:bidi="ar-SA"/>
          </w:rPr>
          <w:t>2006 SCC 27</w:t>
        </w:r>
      </w:hyperlink>
      <w:r>
        <w:rPr>
          <w:rFonts w:ascii="arial" w:eastAsia="arial" w:hAnsi="arial" w:cs="arial"/>
          <w:color w:val="000000"/>
          <w:sz w:val="20"/>
          <w:lang w:val="en-US" w:eastAsia="en-US" w:bidi="ar-SA"/>
        </w:rPr>
        <w:t xml:space="preserve"> (CanLII), </w:t>
      </w:r>
      <w:hyperlink r:id="rId882" w:history="1">
        <w:r>
          <w:rPr>
            <w:rFonts w:ascii="arial" w:eastAsia="arial" w:hAnsi="arial" w:cs="arial"/>
            <w:i/>
            <w:color w:val="0077CC"/>
            <w:sz w:val="20"/>
            <w:u w:val="single"/>
            <w:shd w:val="clear" w:color="auto" w:fill="FFFFFF"/>
            <w:lang w:val="en-US" w:eastAsia="en-US" w:bidi="ar-SA"/>
          </w:rPr>
          <w:t>2006 SCC 27</w:t>
        </w:r>
      </w:hyperlink>
      <w:r>
        <w:rPr>
          <w:rFonts w:ascii="arial" w:eastAsia="arial" w:hAnsi="arial" w:cs="arial"/>
          <w:color w:val="000000"/>
          <w:sz w:val="20"/>
          <w:lang w:val="en-US" w:eastAsia="en-US" w:bidi="ar-SA"/>
        </w:rPr>
        <w:t xml:space="preserve">, </w:t>
      </w:r>
      <w:hyperlink r:id="rId882" w:history="1">
        <w:r>
          <w:rPr>
            <w:rFonts w:ascii="arial" w:eastAsia="arial" w:hAnsi="arial" w:cs="arial"/>
            <w:i/>
            <w:color w:val="0077CC"/>
            <w:sz w:val="20"/>
            <w:u w:val="single"/>
            <w:shd w:val="clear" w:color="auto" w:fill="FFFFFF"/>
            <w:lang w:val="en-US" w:eastAsia="en-US" w:bidi="ar-SA"/>
          </w:rPr>
          <w:t>[2006] 1 S.C.R. 941</w:t>
        </w:r>
      </w:hyperlink>
      <w:r>
        <w:rPr>
          <w:rFonts w:ascii="arial" w:eastAsia="arial" w:hAnsi="arial" w:cs="arial"/>
          <w:color w:val="000000"/>
          <w:sz w:val="20"/>
          <w:lang w:val="en-US" w:eastAsia="en-US" w:bidi="ar-SA"/>
        </w:rPr>
        <w:t xml:space="preserve">. Similarly, </w:t>
      </w:r>
      <w:r>
        <w:rPr>
          <w:rFonts w:ascii="arial" w:eastAsia="arial" w:hAnsi="arial" w:cs="arial"/>
          <w:color w:val="000000"/>
          <w:sz w:val="20"/>
          <w:u w:val="single"/>
          <w:lang w:val="en-US" w:eastAsia="en-US" w:bidi="ar-SA"/>
        </w:rPr>
        <w:t xml:space="preserve">deterrence as an object of </w:t>
      </w:r>
      <w:r>
        <w:rPr>
          <w:rFonts w:ascii="arial" w:eastAsia="arial" w:hAnsi="arial" w:cs="arial"/>
          <w:i/>
          <w:color w:val="000000"/>
          <w:sz w:val="20"/>
          <w:u w:val="single"/>
          <w:lang w:val="en-US" w:eastAsia="en-US" w:bidi="ar-SA"/>
        </w:rPr>
        <w:t>Charter</w:t>
      </w:r>
      <w:r>
        <w:rPr>
          <w:rFonts w:ascii="arial" w:eastAsia="arial" w:hAnsi="arial" w:cs="arial"/>
          <w:color w:val="000000"/>
          <w:sz w:val="20"/>
          <w:u w:val="single"/>
          <w:lang w:val="en-US" w:eastAsia="en-US" w:bidi="ar-SA"/>
        </w:rPr>
        <w:t xml:space="preserve"> damages is not aimed at deterring the specific wrongdoer, but rather at influencing government behaviour in order to secure state compliance with the </w:t>
      </w:r>
      <w:r>
        <w:rPr>
          <w:rFonts w:ascii="arial" w:eastAsia="arial" w:hAnsi="arial" w:cs="arial"/>
          <w:i/>
          <w:color w:val="000000"/>
          <w:sz w:val="20"/>
          <w:u w:val="single"/>
          <w:lang w:val="en-US" w:eastAsia="en-US" w:bidi="ar-SA"/>
        </w:rPr>
        <w:t>Charter</w:t>
      </w:r>
      <w:r>
        <w:rPr>
          <w:rFonts w:ascii="arial" w:eastAsia="arial" w:hAnsi="arial" w:cs="arial"/>
          <w:color w:val="000000"/>
          <w:sz w:val="20"/>
          <w:u w:val="single"/>
          <w:lang w:val="en-US" w:eastAsia="en-US" w:bidi="ar-SA"/>
        </w:rPr>
        <w:t xml:space="preserve"> in the future.</w:t>
      </w:r>
    </w:p>
    <w:p>
      <w:pPr>
        <w:spacing w:before="120" w:line="260" w:lineRule="atLeast"/>
        <w:ind w:left="3240"/>
        <w:rPr>
          <w:rFonts w:ascii="arial" w:eastAsia="arial" w:hAnsi="arial" w:cs="arial"/>
          <w:sz w:val="20"/>
          <w:lang w:val="en-US" w:eastAsia="en-US" w:bidi="ar-SA"/>
        </w:rPr>
      </w:pPr>
      <w:r>
        <w:rPr>
          <w:rFonts w:ascii="arial" w:eastAsia="arial" w:hAnsi="arial" w:cs="arial"/>
          <w:color w:val="000000"/>
          <w:sz w:val="20"/>
          <w:lang w:val="en-US" w:eastAsia="en-US" w:bidi="ar-SA"/>
        </w:rPr>
        <w:t>[Emphasis added.]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590</w:t>
      </w:r>
      <w:r>
        <w:rPr>
          <w:rFonts w:ascii="arial" w:eastAsia="arial" w:hAnsi="arial" w:cs="arial"/>
          <w:color w:val="000000"/>
          <w:sz w:val="20"/>
          <w:lang w:val="en-US" w:eastAsia="en-US" w:bidi="ar-SA"/>
        </w:rPr>
        <w:t xml:space="preserve">  In determining quantum of damages, the Court in </w:t>
      </w:r>
      <w:r>
        <w:rPr>
          <w:rFonts w:ascii="arial" w:eastAsia="arial" w:hAnsi="arial" w:cs="arial"/>
          <w:i/>
          <w:color w:val="000000"/>
          <w:sz w:val="20"/>
          <w:lang w:val="en-US" w:eastAsia="en-US" w:bidi="ar-SA"/>
        </w:rPr>
        <w:t>Ward</w:t>
      </w:r>
      <w:r>
        <w:rPr>
          <w:rFonts w:ascii="arial" w:eastAsia="arial" w:hAnsi="arial" w:cs="arial"/>
          <w:color w:val="000000"/>
          <w:sz w:val="20"/>
          <w:lang w:val="en-US" w:eastAsia="en-US" w:bidi="ar-SA"/>
        </w:rPr>
        <w:t xml:space="preserve"> stressed that the damages must take into account the seriousness of the breach and be fair to the claimant and the state. In respect of the latter, the quantum of damages must "take into account the public interest in good governance, the danger of deterring government from undertaking beneficial new policies and programs, and the need to avoid diverting large sums of funds from public programs to private interests" (at paras. 52-53).</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591</w:t>
      </w:r>
      <w:r>
        <w:rPr>
          <w:rFonts w:ascii="arial" w:eastAsia="arial" w:hAnsi="arial" w:cs="arial"/>
          <w:color w:val="000000"/>
          <w:sz w:val="20"/>
          <w:lang w:val="en-US" w:eastAsia="en-US" w:bidi="ar-SA"/>
        </w:rPr>
        <w:t xml:space="preserve">  The trial judge awarded the plaintiff in </w:t>
      </w:r>
      <w:r>
        <w:rPr>
          <w:rFonts w:ascii="arial" w:eastAsia="arial" w:hAnsi="arial" w:cs="arial"/>
          <w:i/>
          <w:color w:val="000000"/>
          <w:sz w:val="20"/>
          <w:lang w:val="en-US" w:eastAsia="en-US" w:bidi="ar-SA"/>
        </w:rPr>
        <w:t>Ward</w:t>
      </w:r>
      <w:r>
        <w:rPr>
          <w:rFonts w:ascii="arial" w:eastAsia="arial" w:hAnsi="arial" w:cs="arial"/>
          <w:color w:val="000000"/>
          <w:sz w:val="20"/>
          <w:lang w:val="en-US" w:eastAsia="en-US" w:bidi="ar-SA"/>
        </w:rPr>
        <w:t xml:space="preserve"> damages of $5,000 in relation to the strip search which violated his constitutional rights. The Supreme Court of Canada reviewed the nature of the strip search (which did not involve removal of underwear, exposure of genitals, or touching) and considered that it did not involve the most serious conduct, but did justify a moderate damages award (at para. 71). It found that the trial judge's award of $5,000 was appropriate.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592</w:t>
      </w:r>
      <w:r>
        <w:rPr>
          <w:rFonts w:ascii="arial" w:eastAsia="arial" w:hAnsi="arial" w:cs="arial"/>
          <w:color w:val="000000"/>
          <w:sz w:val="20"/>
          <w:lang w:val="en-US" w:eastAsia="en-US" w:bidi="ar-SA"/>
        </w:rPr>
        <w:t>  The trial judge in Ward made an additional award of $5,000 damages in relation to the plaintiff's wrongful imprisonment. The wrongful imprisonment was for a period of 3 1/2 to 4 hours. This damages award was not appealed.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593</w:t>
      </w:r>
      <w:r>
        <w:rPr>
          <w:rFonts w:ascii="arial" w:eastAsia="arial" w:hAnsi="arial" w:cs="arial"/>
          <w:color w:val="000000"/>
          <w:sz w:val="20"/>
          <w:lang w:val="en-US" w:eastAsia="en-US" w:bidi="ar-SA"/>
        </w:rPr>
        <w:t xml:space="preserve">  The trial judge also awarded the plaintiff in </w:t>
      </w:r>
      <w:r>
        <w:rPr>
          <w:rFonts w:ascii="arial" w:eastAsia="arial" w:hAnsi="arial" w:cs="arial"/>
          <w:i/>
          <w:color w:val="000000"/>
          <w:sz w:val="20"/>
          <w:lang w:val="en-US" w:eastAsia="en-US" w:bidi="ar-SA"/>
        </w:rPr>
        <w:t>Ward</w:t>
      </w:r>
      <w:r>
        <w:rPr>
          <w:rFonts w:ascii="arial" w:eastAsia="arial" w:hAnsi="arial" w:cs="arial"/>
          <w:color w:val="000000"/>
          <w:sz w:val="20"/>
          <w:lang w:val="en-US" w:eastAsia="en-US" w:bidi="ar-SA"/>
        </w:rPr>
        <w:t xml:space="preserve">$100 for violation of his </w:t>
      </w:r>
      <w:r>
        <w:rPr>
          <w:rFonts w:ascii="arial" w:eastAsia="arial" w:hAnsi="arial" w:cs="arial"/>
          <w:i/>
          <w:color w:val="000000"/>
          <w:sz w:val="20"/>
          <w:lang w:val="en-US" w:eastAsia="en-US" w:bidi="ar-SA"/>
        </w:rPr>
        <w:t>Charter</w:t>
      </w:r>
      <w:r>
        <w:rPr>
          <w:rFonts w:ascii="arial" w:eastAsia="arial" w:hAnsi="arial" w:cs="arial"/>
          <w:color w:val="000000"/>
          <w:sz w:val="20"/>
          <w:lang w:val="en-US" w:eastAsia="en-US" w:bidi="ar-SA"/>
        </w:rPr>
        <w:t xml:space="preserve"> rights in relation to the seizure and towing of his car. The Supreme Court of Canada overturned this award. The Supreme Court of Canada found that the breach of Mr. Ward's </w:t>
      </w:r>
      <w:r>
        <w:rPr>
          <w:rFonts w:ascii="arial" w:eastAsia="arial" w:hAnsi="arial" w:cs="arial"/>
          <w:i/>
          <w:color w:val="000000"/>
          <w:sz w:val="20"/>
          <w:lang w:val="en-US" w:eastAsia="en-US" w:bidi="ar-SA"/>
        </w:rPr>
        <w:t>Charter</w:t>
      </w:r>
      <w:r>
        <w:rPr>
          <w:rFonts w:ascii="arial" w:eastAsia="arial" w:hAnsi="arial" w:cs="arial"/>
          <w:color w:val="000000"/>
          <w:sz w:val="20"/>
          <w:lang w:val="en-US" w:eastAsia="en-US" w:bidi="ar-SA"/>
        </w:rPr>
        <w:t xml:space="preserve"> rights in this regard was not so serious as to justify damages under s. 24(1), and that a mere declaration that the conduct violated his </w:t>
      </w:r>
      <w:r>
        <w:rPr>
          <w:rFonts w:ascii="arial" w:eastAsia="arial" w:hAnsi="arial" w:cs="arial"/>
          <w:i/>
          <w:color w:val="000000"/>
          <w:sz w:val="20"/>
          <w:lang w:val="en-US" w:eastAsia="en-US" w:bidi="ar-SA"/>
        </w:rPr>
        <w:t>Charter</w:t>
      </w:r>
      <w:r>
        <w:rPr>
          <w:rFonts w:ascii="arial" w:eastAsia="arial" w:hAnsi="arial" w:cs="arial"/>
          <w:color w:val="000000"/>
          <w:sz w:val="20"/>
          <w:lang w:val="en-US" w:eastAsia="en-US" w:bidi="ar-SA"/>
        </w:rPr>
        <w:t xml:space="preserve"> rights was sufficient to serve the goals of vindication and deterrence.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i/>
          <w:color w:val="000000"/>
          <w:sz w:val="20"/>
          <w:lang w:val="en-US" w:eastAsia="en-US" w:bidi="ar-SA"/>
        </w:rPr>
        <w:t>Bill 28 Action Additional Remedies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594</w:t>
      </w:r>
      <w:r>
        <w:rPr>
          <w:rFonts w:ascii="arial" w:eastAsia="arial" w:hAnsi="arial" w:cs="arial"/>
          <w:color w:val="000000"/>
          <w:sz w:val="20"/>
          <w:lang w:val="en-US" w:eastAsia="en-US" w:bidi="ar-SA"/>
        </w:rPr>
        <w:t>  In considering whether or not striking down the legislation in the Bill 28 Action provides an effective remedy, I note that the effect was to, after one year, return the right to collectively bargain over the Working Conditions, and to return the Working Conditions terms to the collective agreement between the BCTF and BCPSEA, effective back to July 1, 2002.</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595</w:t>
      </w:r>
      <w:r>
        <w:rPr>
          <w:rFonts w:ascii="arial" w:eastAsia="arial" w:hAnsi="arial" w:cs="arial"/>
          <w:color w:val="000000"/>
          <w:sz w:val="20"/>
          <w:lang w:val="en-US" w:eastAsia="en-US" w:bidi="ar-SA"/>
        </w:rPr>
        <w:t>  Over the years that the unconstitutional legislation was in place, teachers claim to have suffered overcrowded and unmanageable classrooms, for example due to integration in a large class of too many students requiring special supports without the corresponding supports being provided. The BCTF suggests that many teachers may have lost their jobs, or quit the profession or decided to take early retirement based on a feeling that in these working conditions they could not fulfill their professional aspirations to teach students. Without making any specific findings of fact in this regard, I accept the argument that a return of the Working Conditions clauses to the collective agreement retroactively will not be a complete remedy as not every teacher affected by the legislation will necessarily be still teaching.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596</w:t>
      </w:r>
      <w:r>
        <w:rPr>
          <w:rFonts w:ascii="arial" w:eastAsia="arial" w:hAnsi="arial" w:cs="arial"/>
          <w:color w:val="000000"/>
          <w:sz w:val="20"/>
          <w:lang w:val="en-US" w:eastAsia="en-US" w:bidi="ar-SA"/>
        </w:rPr>
        <w:t>  The BCTF urges the Court to order a global damages award in the several hundreds of millions of dollars to put the teachers in the place they would have been if their rights had not been breached. It seems that the BCTF considers such an award could serve as a rough replacement to the bringing of thousands of labour relations claims by its members on the basis of breach of the now-restored Working Conditions clauses in the collective agreement.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597</w:t>
      </w:r>
      <w:r>
        <w:rPr>
          <w:rFonts w:ascii="arial" w:eastAsia="arial" w:hAnsi="arial" w:cs="arial"/>
          <w:color w:val="000000"/>
          <w:sz w:val="20"/>
          <w:lang w:val="en-US" w:eastAsia="en-US" w:bidi="ar-SA"/>
        </w:rPr>
        <w:t xml:space="preserve">  The government argues that no damages are warranted because at the time the Bill 28 package of legislation was enacted, in 2002, the present scope of the s. 2(d) </w:t>
      </w:r>
      <w:r>
        <w:rPr>
          <w:rFonts w:ascii="arial" w:eastAsia="arial" w:hAnsi="arial" w:cs="arial"/>
          <w:i/>
          <w:color w:val="000000"/>
          <w:sz w:val="20"/>
          <w:lang w:val="en-US" w:eastAsia="en-US" w:bidi="ar-SA"/>
        </w:rPr>
        <w:t>Charter</w:t>
      </w:r>
      <w:r>
        <w:rPr>
          <w:rFonts w:ascii="arial" w:eastAsia="arial" w:hAnsi="arial" w:cs="arial"/>
          <w:color w:val="000000"/>
          <w:sz w:val="20"/>
          <w:lang w:val="en-US" w:eastAsia="en-US" w:bidi="ar-SA"/>
        </w:rPr>
        <w:t xml:space="preserve"> right was not recognized. This was not recognized until the landmark </w:t>
      </w:r>
      <w:r>
        <w:rPr>
          <w:rFonts w:ascii="arial" w:eastAsia="arial" w:hAnsi="arial" w:cs="arial"/>
          <w:i/>
          <w:color w:val="000000"/>
          <w:sz w:val="20"/>
          <w:lang w:val="en-US" w:eastAsia="en-US" w:bidi="ar-SA"/>
        </w:rPr>
        <w:t>Health Services</w:t>
      </w:r>
      <w:r>
        <w:rPr>
          <w:rFonts w:ascii="arial" w:eastAsia="arial" w:hAnsi="arial" w:cs="arial"/>
          <w:color w:val="000000"/>
          <w:sz w:val="20"/>
          <w:lang w:val="en-US" w:eastAsia="en-US" w:bidi="ar-SA"/>
        </w:rPr>
        <w:t xml:space="preserve"> decision by the Supreme Court of Canada, which was rendered on June 8, 2007.</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598</w:t>
      </w:r>
      <w:r>
        <w:rPr>
          <w:rFonts w:ascii="arial" w:eastAsia="arial" w:hAnsi="arial" w:cs="arial"/>
          <w:color w:val="000000"/>
          <w:sz w:val="20"/>
          <w:lang w:val="en-US" w:eastAsia="en-US" w:bidi="ar-SA"/>
        </w:rPr>
        <w:t xml:space="preserve">  This government argument has some force but less so after the </w:t>
      </w:r>
      <w:r>
        <w:rPr>
          <w:rFonts w:ascii="arial" w:eastAsia="arial" w:hAnsi="arial" w:cs="arial"/>
          <w:i/>
          <w:color w:val="000000"/>
          <w:sz w:val="20"/>
          <w:lang w:val="en-US" w:eastAsia="en-US" w:bidi="ar-SA"/>
        </w:rPr>
        <w:t>Health Services</w:t>
      </w:r>
      <w:r>
        <w:rPr>
          <w:rFonts w:ascii="arial" w:eastAsia="arial" w:hAnsi="arial" w:cs="arial"/>
          <w:color w:val="000000"/>
          <w:sz w:val="20"/>
          <w:lang w:val="en-US" w:eastAsia="en-US" w:bidi="ar-SA"/>
        </w:rPr>
        <w:t xml:space="preserve"> decision. Once it had that decision in hand, the government understood the risks of continuing to rely on Bill 28 given that it had been modelled on Bill 29 and contained the same structure: a legislative override of existing collective agreement terms, and prohibitions on bargaining over those subject matters in the future. The government from 2007 on had four years prior to the Bill 28 Decision to do something to rectify its legislation, but it did not.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599</w:t>
      </w:r>
      <w:r>
        <w:rPr>
          <w:rFonts w:ascii="arial" w:eastAsia="arial" w:hAnsi="arial" w:cs="arial"/>
          <w:color w:val="000000"/>
          <w:sz w:val="20"/>
          <w:lang w:val="en-US" w:eastAsia="en-US" w:bidi="ar-SA"/>
        </w:rPr>
        <w:t xml:space="preserve">  Internal documents of the government reveal that when discussing the ramifications of the </w:t>
      </w:r>
      <w:r>
        <w:rPr>
          <w:rFonts w:ascii="arial" w:eastAsia="arial" w:hAnsi="arial" w:cs="arial"/>
          <w:i/>
          <w:color w:val="000000"/>
          <w:sz w:val="20"/>
          <w:lang w:val="en-US" w:eastAsia="en-US" w:bidi="ar-SA"/>
        </w:rPr>
        <w:t>Health Services</w:t>
      </w:r>
      <w:r>
        <w:rPr>
          <w:rFonts w:ascii="arial" w:eastAsia="arial" w:hAnsi="arial" w:cs="arial"/>
          <w:color w:val="000000"/>
          <w:sz w:val="20"/>
          <w:lang w:val="en-US" w:eastAsia="en-US" w:bidi="ar-SA"/>
        </w:rPr>
        <w:t xml:space="preserve"> decision in August 2007, the government considered whether or not to engage the BCTF in discussions. It decided not to do so, in full appreciation of the risk that the legislation affecting the BCTF would be subsequently found by a court to be unconstitutional.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600</w:t>
      </w:r>
      <w:r>
        <w:rPr>
          <w:rFonts w:ascii="arial" w:eastAsia="arial" w:hAnsi="arial" w:cs="arial"/>
          <w:color w:val="000000"/>
          <w:sz w:val="20"/>
          <w:lang w:val="en-US" w:eastAsia="en-US" w:bidi="ar-SA"/>
        </w:rPr>
        <w:t>  I thus conclude that from at least August 2007, the government understood that there was a risk that the Bill 28 legislation could be unconstitutional and that there would be financial ramifications that would flow from a court deciding this. It decided to maintain the legislation nonetheless.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601</w:t>
      </w:r>
      <w:r>
        <w:rPr>
          <w:rFonts w:ascii="arial" w:eastAsia="arial" w:hAnsi="arial" w:cs="arial"/>
          <w:color w:val="000000"/>
          <w:sz w:val="20"/>
          <w:lang w:val="en-US" w:eastAsia="en-US" w:bidi="ar-SA"/>
        </w:rPr>
        <w:t xml:space="preserve">  But although the government conduct in maintaining the legislation after 2007 was constitutionally suspect, I find it did not reach such a threshold of gravity equivalent to being clearly wrong at the time. The Bill 28 legislation was very similar in structure but did have some differences in content and context from the legislation at issue in the </w:t>
      </w:r>
      <w:r>
        <w:rPr>
          <w:rFonts w:ascii="arial" w:eastAsia="arial" w:hAnsi="arial" w:cs="arial"/>
          <w:i/>
          <w:color w:val="000000"/>
          <w:sz w:val="20"/>
          <w:lang w:val="en-US" w:eastAsia="en-US" w:bidi="ar-SA"/>
        </w:rPr>
        <w:t>Health Services</w:t>
      </w:r>
      <w:r>
        <w:rPr>
          <w:rFonts w:ascii="arial" w:eastAsia="arial" w:hAnsi="arial" w:cs="arial"/>
          <w:color w:val="000000"/>
          <w:sz w:val="20"/>
          <w:lang w:val="en-US" w:eastAsia="en-US" w:bidi="ar-SA"/>
        </w:rPr>
        <w:t xml:space="preserve"> decision.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602</w:t>
      </w:r>
      <w:r>
        <w:rPr>
          <w:rFonts w:ascii="arial" w:eastAsia="arial" w:hAnsi="arial" w:cs="arial"/>
          <w:color w:val="000000"/>
          <w:sz w:val="20"/>
          <w:lang w:val="en-US" w:eastAsia="en-US" w:bidi="ar-SA"/>
        </w:rPr>
        <w:t>  The government also argues that the BCTF was provided an additional remedy after the Bill 28 Decision by the fact of the government negotiating in good faith with the BCTF. I have already found that this process of meetings did not amount to good faith negotiations.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603</w:t>
      </w:r>
      <w:r>
        <w:rPr>
          <w:rFonts w:ascii="arial" w:eastAsia="arial" w:hAnsi="arial" w:cs="arial"/>
          <w:color w:val="000000"/>
          <w:sz w:val="20"/>
          <w:lang w:val="en-US" w:eastAsia="en-US" w:bidi="ar-SA"/>
        </w:rPr>
        <w:t>  The BCTF has also been unlawfully deprived of the right to collectively bargain over the Working Conditions from 2002 until the Bill 28 Decision in 2011. The loss of that right is not completely remedied by striking down the legislation because time cannot be turned back. Collective bargaining between the BCTF and BCPSEA occurred in the 2002 to 2011 timeframe, and whatever gains, set-backs or trade-offs were made would have been while the BCTF had its hands tied in being unable to bargain over the Working Conditions. But just as it is possible that this disadvantaged members of the union, it is possible that the union made other bargaining gains during this period.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604</w:t>
      </w:r>
      <w:r>
        <w:rPr>
          <w:rFonts w:ascii="arial" w:eastAsia="arial" w:hAnsi="arial" w:cs="arial"/>
          <w:color w:val="000000"/>
          <w:sz w:val="20"/>
          <w:lang w:val="en-US" w:eastAsia="en-US" w:bidi="ar-SA"/>
        </w:rPr>
        <w:t>  The result of returning the Working Conditions clauses to the BCTF and BCPSEA collective agreement means that members of the BCTF will be able to bring labour relations grievances if these clauses were violated in the past. Highly speculative numbers as to the cost of these claims have been bandied about in the evidence in this case but no substantive evidence was called in this regard. Nevertheless, the thrust of the evidence makes it clear that it will be in the interests of the BCTF and BCPSEA to negotiate an overall resolution to these claims through bargaining.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605</w:t>
      </w:r>
      <w:r>
        <w:rPr>
          <w:rFonts w:ascii="arial" w:eastAsia="arial" w:hAnsi="arial" w:cs="arial"/>
          <w:color w:val="000000"/>
          <w:sz w:val="20"/>
          <w:lang w:val="en-US" w:eastAsia="en-US" w:bidi="ar-SA"/>
        </w:rPr>
        <w:t>  While not a perfect remedy, I conclude that the return of the Working Conditions clauses to the BCTF and BCPSEA collective agreement, which will have retroactive effect, is the most appropriate remedy in the Bill 28 Action.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606</w:t>
      </w:r>
      <w:r>
        <w:rPr>
          <w:rFonts w:ascii="arial" w:eastAsia="arial" w:hAnsi="arial" w:cs="arial"/>
          <w:color w:val="000000"/>
          <w:sz w:val="20"/>
          <w:lang w:val="en-US" w:eastAsia="en-US" w:bidi="ar-SA"/>
        </w:rPr>
        <w:t>  I do not find that by passing the legislation in 2002, and then not taking steps to repeal it prior to the Bill 28 Decision in 2011, that the government acted in such a way as to warrant a damages remedy in addition to a declaration of invalidity.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607</w:t>
      </w:r>
      <w:r>
        <w:rPr>
          <w:rFonts w:ascii="arial" w:eastAsia="arial" w:hAnsi="arial" w:cs="arial"/>
          <w:color w:val="000000"/>
          <w:sz w:val="20"/>
          <w:lang w:val="en-US" w:eastAsia="en-US" w:bidi="ar-SA"/>
        </w:rPr>
        <w:t xml:space="preserve">  In conclusion on this point, considering all of the circumstances I am not persuaded that a s. 24(1) </w:t>
      </w:r>
      <w:r>
        <w:rPr>
          <w:rFonts w:ascii="arial" w:eastAsia="arial" w:hAnsi="arial" w:cs="arial"/>
          <w:i/>
          <w:color w:val="000000"/>
          <w:sz w:val="20"/>
          <w:lang w:val="en-US" w:eastAsia="en-US" w:bidi="ar-SA"/>
        </w:rPr>
        <w:t>Charter</w:t>
      </w:r>
      <w:r>
        <w:rPr>
          <w:rFonts w:ascii="arial" w:eastAsia="arial" w:hAnsi="arial" w:cs="arial"/>
          <w:color w:val="000000"/>
          <w:sz w:val="20"/>
          <w:lang w:val="en-US" w:eastAsia="en-US" w:bidi="ar-SA"/>
        </w:rPr>
        <w:t xml:space="preserve"> remedy is appropriate and just in the Bill 28 Action. I find that the effect of s. 52(1) of the </w:t>
      </w:r>
      <w:r>
        <w:rPr>
          <w:rFonts w:ascii="arial" w:eastAsia="arial" w:hAnsi="arial" w:cs="arial"/>
          <w:i/>
          <w:color w:val="000000"/>
          <w:sz w:val="20"/>
          <w:lang w:val="en-US" w:eastAsia="en-US" w:bidi="ar-SA"/>
        </w:rPr>
        <w:t>Constitution Act</w:t>
      </w:r>
      <w:r>
        <w:rPr>
          <w:rFonts w:ascii="arial" w:eastAsia="arial" w:hAnsi="arial" w:cs="arial"/>
          <w:color w:val="000000"/>
          <w:sz w:val="20"/>
          <w:lang w:val="en-US" w:eastAsia="en-US" w:bidi="ar-SA"/>
        </w:rPr>
        <w:t>, which results in striking down the unconstitutional sections of the legislation, provides an effective remedy.</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i/>
          <w:color w:val="000000"/>
          <w:sz w:val="20"/>
          <w:lang w:val="en-US" w:eastAsia="en-US" w:bidi="ar-SA"/>
        </w:rPr>
        <w:t>Bill 22 Action Additional Remedies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608</w:t>
      </w:r>
      <w:r>
        <w:rPr>
          <w:rFonts w:ascii="arial" w:eastAsia="arial" w:hAnsi="arial" w:cs="arial"/>
          <w:color w:val="000000"/>
          <w:sz w:val="20"/>
          <w:lang w:val="en-US" w:eastAsia="en-US" w:bidi="ar-SA"/>
        </w:rPr>
        <w:t>  I turn now to the Bill 22 Action.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609</w:t>
      </w:r>
      <w:r>
        <w:rPr>
          <w:rFonts w:ascii="arial" w:eastAsia="arial" w:hAnsi="arial" w:cs="arial"/>
          <w:color w:val="000000"/>
          <w:sz w:val="20"/>
          <w:lang w:val="en-US" w:eastAsia="en-US" w:bidi="ar-SA"/>
        </w:rPr>
        <w:t>  The primary remedy in the Bill 22 Action, again, is the s. 52(1) Constitutional remedy of striking down the Bill 22 Duplicative Provisions to the extent they remain in force.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610</w:t>
      </w:r>
      <w:r>
        <w:rPr>
          <w:rFonts w:ascii="arial" w:eastAsia="arial" w:hAnsi="arial" w:cs="arial"/>
          <w:color w:val="000000"/>
          <w:sz w:val="20"/>
          <w:lang w:val="en-US" w:eastAsia="en-US" w:bidi="ar-SA"/>
        </w:rPr>
        <w:t xml:space="preserve">  This provides a remedy with respect to the provisions which re-deleted the Working Conditions clauses from the collective agreement, namely ss. 8 and 24 of the </w:t>
      </w:r>
      <w:r>
        <w:rPr>
          <w:rFonts w:ascii="arial" w:eastAsia="arial" w:hAnsi="arial" w:cs="arial"/>
          <w:i/>
          <w:color w:val="000000"/>
          <w:sz w:val="20"/>
          <w:lang w:val="en-US" w:eastAsia="en-US" w:bidi="ar-SA"/>
        </w:rPr>
        <w:t>EIA</w:t>
      </w:r>
      <w:r>
        <w:rPr>
          <w:rFonts w:ascii="arial" w:eastAsia="arial" w:hAnsi="arial" w:cs="arial"/>
          <w:color w:val="000000"/>
          <w:sz w:val="20"/>
          <w:lang w:val="en-US" w:eastAsia="en-US" w:bidi="ar-SA"/>
        </w:rPr>
        <w:t>. The result will be to return the Working Conditions clauses to the collective agreement effective as of July 1, 2002, as already noted, and I find that whatever labour relations grievances and remedies flow from this will be a sufficient remedy in respect of that piece of the legislation.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611</w:t>
      </w:r>
      <w:r>
        <w:rPr>
          <w:rFonts w:ascii="arial" w:eastAsia="arial" w:hAnsi="arial" w:cs="arial"/>
          <w:color w:val="000000"/>
          <w:sz w:val="20"/>
          <w:lang w:val="en-US" w:eastAsia="en-US" w:bidi="ar-SA"/>
        </w:rPr>
        <w:t>  With respect to the Bill 22 Duplicative Provisions extending the prohibition on collective bargaining for another fourteen months, to June 30, 2013, that section of the legislation, s. 13, had expired by the time of the hearing of the Bill 22 Action and these Reasons for Judgment.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612</w:t>
      </w:r>
      <w:r>
        <w:rPr>
          <w:rFonts w:ascii="arial" w:eastAsia="arial" w:hAnsi="arial" w:cs="arial"/>
          <w:color w:val="000000"/>
          <w:sz w:val="20"/>
          <w:lang w:val="en-US" w:eastAsia="en-US" w:bidi="ar-SA"/>
        </w:rPr>
        <w:t>  A declaration that the legislation was unconstitutional when enacted has some element of vindication, but it has little deterrent effect here.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613</w:t>
      </w:r>
      <w:r>
        <w:rPr>
          <w:rFonts w:ascii="arial" w:eastAsia="arial" w:hAnsi="arial" w:cs="arial"/>
          <w:color w:val="000000"/>
          <w:sz w:val="20"/>
          <w:lang w:val="en-US" w:eastAsia="en-US" w:bidi="ar-SA"/>
        </w:rPr>
        <w:t>  By the time of the introduction of s. 13 of Bill 22, there had already been a judicial finding that the virtually identical legislation was invalid. The government had a number of other options open to it, other than unilaterally extending the unconstitutional legislation. There was no case law suggesting that the mere fact of consultation after legislation is declared invalid can save substantially similar legislation if it is re-enacted.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614</w:t>
      </w:r>
      <w:r>
        <w:rPr>
          <w:rFonts w:ascii="arial" w:eastAsia="arial" w:hAnsi="arial" w:cs="arial"/>
          <w:color w:val="000000"/>
          <w:sz w:val="20"/>
          <w:lang w:val="en-US" w:eastAsia="en-US" w:bidi="ar-SA"/>
        </w:rPr>
        <w:t>  In the discussions following Bill 28, the government representatives maintained with the BCTF that the government was not going to repeal the unconstitutional legislation. It was clear that the government representatives were trying to use the threat of continuing the legislation as leverage in their negotiations with the BCTF, in efforts to gain agreement from the BCTF to forgo the rights which had just been vindicated. These meetings did not ameliorate the subsequent re-introduction of legislation found unconstitutional.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615</w:t>
      </w:r>
      <w:r>
        <w:rPr>
          <w:rFonts w:ascii="arial" w:eastAsia="arial" w:hAnsi="arial" w:cs="arial"/>
          <w:color w:val="000000"/>
          <w:sz w:val="20"/>
          <w:lang w:val="en-US" w:eastAsia="en-US" w:bidi="ar-SA"/>
        </w:rPr>
        <w:t xml:space="preserve">  The government has a short-term financial incentive to interfere with public sector workers' freedom of association that is not present with respect to private sector employees: a government in the short-term may be able to substantially reduce its expenses if it violates public sector employees' </w:t>
      </w:r>
      <w:r>
        <w:rPr>
          <w:rFonts w:ascii="arial" w:eastAsia="arial" w:hAnsi="arial" w:cs="arial"/>
          <w:i/>
          <w:color w:val="000000"/>
          <w:sz w:val="20"/>
          <w:lang w:val="en-US" w:eastAsia="en-US" w:bidi="ar-SA"/>
        </w:rPr>
        <w:t>Charter</w:t>
      </w:r>
      <w:r>
        <w:rPr>
          <w:rFonts w:ascii="arial" w:eastAsia="arial" w:hAnsi="arial" w:cs="arial"/>
          <w:color w:val="000000"/>
          <w:sz w:val="20"/>
          <w:lang w:val="en-US" w:eastAsia="en-US" w:bidi="ar-SA"/>
        </w:rPr>
        <w:t xml:space="preserve"> rights. Given its desire to achieve policy goals unfettered by employee rights, the government also has a self-interest in strengthening management rights and weakening employee rights of public sector workers.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616</w:t>
      </w:r>
      <w:r>
        <w:rPr>
          <w:rFonts w:ascii="arial" w:eastAsia="arial" w:hAnsi="arial" w:cs="arial"/>
          <w:color w:val="000000"/>
          <w:sz w:val="20"/>
          <w:lang w:val="en-US" w:eastAsia="en-US" w:bidi="ar-SA"/>
        </w:rPr>
        <w:t xml:space="preserve">  Any student of history or human nature recognizes that a natural tendency and desire of any political force is to attempt to consolidate and gather more power and to seek to diminish any restraint on that power. A democratic system has institutional checks to counter that tendency and to safeguard against tyranny. In Canada, as one of those institutional checks, Parliament in its wisdom enacted the </w:t>
      </w:r>
      <w:r>
        <w:rPr>
          <w:rFonts w:ascii="arial" w:eastAsia="arial" w:hAnsi="arial" w:cs="arial"/>
          <w:i/>
          <w:color w:val="000000"/>
          <w:sz w:val="20"/>
          <w:lang w:val="en-US" w:eastAsia="en-US" w:bidi="ar-SA"/>
        </w:rPr>
        <w:t>Charter</w:t>
      </w:r>
      <w:r>
        <w:rPr>
          <w:rFonts w:ascii="arial" w:eastAsia="arial" w:hAnsi="arial" w:cs="arial"/>
          <w:color w:val="000000"/>
          <w:sz w:val="20"/>
          <w:lang w:val="en-US" w:eastAsia="en-US" w:bidi="ar-SA"/>
        </w:rPr>
        <w:t xml:space="preserve"> as the supreme law of the country and a safeguard of certain rights and freedoms seen by Canadians as fundamental to Canadian democratic values.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617</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Health Services</w:t>
      </w:r>
      <w:r>
        <w:rPr>
          <w:rFonts w:ascii="arial" w:eastAsia="arial" w:hAnsi="arial" w:cs="arial"/>
          <w:color w:val="000000"/>
          <w:sz w:val="20"/>
          <w:lang w:val="en-US" w:eastAsia="en-US" w:bidi="ar-SA"/>
        </w:rPr>
        <w:t xml:space="preserve">, the Supreme Court of Canada noted the importance of collective bargaining to democracy. The values of "[h]uman dignity, equality, liberty, respect for the autonomy of the person and the enhancement of democracy" are all promoted by the protection of collective bargaining in s. 2(d) of the </w:t>
      </w:r>
      <w:r>
        <w:rPr>
          <w:rFonts w:ascii="arial" w:eastAsia="arial" w:hAnsi="arial" w:cs="arial"/>
          <w:i/>
          <w:color w:val="000000"/>
          <w:sz w:val="20"/>
          <w:lang w:val="en-US" w:eastAsia="en-US" w:bidi="ar-SA"/>
        </w:rPr>
        <w:t>Charter</w:t>
      </w:r>
      <w:r>
        <w:rPr>
          <w:rFonts w:ascii="arial" w:eastAsia="arial" w:hAnsi="arial" w:cs="arial"/>
          <w:color w:val="000000"/>
          <w:sz w:val="20"/>
          <w:lang w:val="en-US" w:eastAsia="en-US" w:bidi="ar-SA"/>
        </w:rPr>
        <w:t xml:space="preserve"> (at para. 81).</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618</w:t>
      </w:r>
      <w:r>
        <w:rPr>
          <w:rFonts w:ascii="arial" w:eastAsia="arial" w:hAnsi="arial" w:cs="arial"/>
          <w:color w:val="000000"/>
          <w:sz w:val="20"/>
          <w:lang w:val="en-US" w:eastAsia="en-US" w:bidi="ar-SA"/>
        </w:rPr>
        <w:t>  The activity of collective bargaining itself, whatever the outcome, has an intrinsic value by allowing the workers to gain some influence and control over a major aspect of their lives, their employment (</w:t>
      </w:r>
      <w:r>
        <w:rPr>
          <w:rFonts w:ascii="arial" w:eastAsia="arial" w:hAnsi="arial" w:cs="arial"/>
          <w:i/>
          <w:color w:val="000000"/>
          <w:sz w:val="20"/>
          <w:lang w:val="en-US" w:eastAsia="en-US" w:bidi="ar-SA"/>
        </w:rPr>
        <w:t>Health Services</w:t>
      </w:r>
      <w:r>
        <w:rPr>
          <w:rFonts w:ascii="arial" w:eastAsia="arial" w:hAnsi="arial" w:cs="arial"/>
          <w:color w:val="000000"/>
          <w:sz w:val="20"/>
          <w:lang w:val="en-US" w:eastAsia="en-US" w:bidi="ar-SA"/>
        </w:rPr>
        <w:t xml:space="preserve"> at para. 82).</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619</w:t>
      </w:r>
      <w:r>
        <w:rPr>
          <w:rFonts w:ascii="arial" w:eastAsia="arial" w:hAnsi="arial" w:cs="arial"/>
          <w:color w:val="000000"/>
          <w:sz w:val="20"/>
          <w:lang w:val="en-US" w:eastAsia="en-US" w:bidi="ar-SA"/>
        </w:rPr>
        <w:t>  Democratic institutions and democratic philosophy are at their root based on a belief that society should be structured in a way that is fair.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620</w:t>
      </w:r>
      <w:r>
        <w:rPr>
          <w:rFonts w:ascii="arial" w:eastAsia="arial" w:hAnsi="arial" w:cs="arial"/>
          <w:color w:val="000000"/>
          <w:sz w:val="20"/>
          <w:lang w:val="en-US" w:eastAsia="en-US" w:bidi="ar-SA"/>
        </w:rPr>
        <w:t>  It was fundamentally unfair for the government to extend the unconstitutional legislation by way of Bill 22, after the union had already prosecuted and won a Court decision declaring that the legislation was unconstitutional. The government here was strongly influenced to continue the unconstitutional legislation because of its desire to gain the upper-hand in negotiations with the union and not in pursuit of any valid policy objective.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621</w:t>
      </w:r>
      <w:r>
        <w:rPr>
          <w:rFonts w:ascii="arial" w:eastAsia="arial" w:hAnsi="arial" w:cs="arial"/>
          <w:color w:val="000000"/>
          <w:sz w:val="20"/>
          <w:lang w:val="en-US" w:eastAsia="en-US" w:bidi="ar-SA"/>
        </w:rPr>
        <w:t>  The evidence is that the government knew, following the Bill 28 Decision, that the legislative prohibition on bargaining over Working Conditions was unconstitutional, and so must have known that continuing the prohibition was also unconstitutional.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622</w:t>
      </w:r>
      <w:r>
        <w:rPr>
          <w:rFonts w:ascii="arial" w:eastAsia="arial" w:hAnsi="arial" w:cs="arial"/>
          <w:color w:val="000000"/>
          <w:sz w:val="20"/>
          <w:lang w:val="en-US" w:eastAsia="en-US" w:bidi="ar-SA"/>
        </w:rPr>
        <w:t xml:space="preserve">  As noted in </w:t>
      </w:r>
      <w:r>
        <w:rPr>
          <w:rFonts w:ascii="arial" w:eastAsia="arial" w:hAnsi="arial" w:cs="arial"/>
          <w:i/>
          <w:color w:val="000000"/>
          <w:sz w:val="20"/>
          <w:lang w:val="en-US" w:eastAsia="en-US" w:bidi="ar-SA"/>
        </w:rPr>
        <w:t>Ward</w:t>
      </w:r>
      <w:r>
        <w:rPr>
          <w:rFonts w:ascii="arial" w:eastAsia="arial" w:hAnsi="arial" w:cs="arial"/>
          <w:color w:val="000000"/>
          <w:sz w:val="20"/>
          <w:lang w:val="en-US" w:eastAsia="en-US" w:bidi="ar-SA"/>
        </w:rPr>
        <w:t xml:space="preserve">, the awarding of </w:t>
      </w:r>
      <w:r>
        <w:rPr>
          <w:rFonts w:ascii="arial" w:eastAsia="arial" w:hAnsi="arial" w:cs="arial"/>
          <w:i/>
          <w:color w:val="000000"/>
          <w:sz w:val="20"/>
          <w:lang w:val="en-US" w:eastAsia="en-US" w:bidi="ar-SA"/>
        </w:rPr>
        <w:t>Charter</w:t>
      </w:r>
      <w:r>
        <w:rPr>
          <w:rFonts w:ascii="arial" w:eastAsia="arial" w:hAnsi="arial" w:cs="arial"/>
          <w:color w:val="000000"/>
          <w:sz w:val="20"/>
          <w:lang w:val="en-US" w:eastAsia="en-US" w:bidi="ar-SA"/>
        </w:rPr>
        <w:t xml:space="preserve"> damages on the basis of deterring government conduct is meant to deter the government from engaging in conduct that is not in compliance with the Constitution. Furthermore, this deterrence is not aimed at influencing the errant behaviour of a specific government actor but is meant to serve a much broader purpose: to influence government behaviour in general, in order to ensure government compliance with the </w:t>
      </w:r>
      <w:r>
        <w:rPr>
          <w:rFonts w:ascii="arial" w:eastAsia="arial" w:hAnsi="arial" w:cs="arial"/>
          <w:i/>
          <w:color w:val="000000"/>
          <w:sz w:val="20"/>
          <w:lang w:val="en-US" w:eastAsia="en-US" w:bidi="ar-SA"/>
        </w:rPr>
        <w:t>Charter</w:t>
      </w:r>
      <w:r>
        <w:rPr>
          <w:rFonts w:ascii="arial" w:eastAsia="arial" w:hAnsi="arial" w:cs="arial"/>
          <w:color w:val="000000"/>
          <w:sz w:val="20"/>
          <w:lang w:val="en-US" w:eastAsia="en-US" w:bidi="ar-SA"/>
        </w:rPr>
        <w:t xml:space="preserve"> in the future.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623</w:t>
      </w:r>
      <w:r>
        <w:rPr>
          <w:rFonts w:ascii="arial" w:eastAsia="arial" w:hAnsi="arial" w:cs="arial"/>
          <w:color w:val="000000"/>
          <w:sz w:val="20"/>
          <w:lang w:val="en-US" w:eastAsia="en-US" w:bidi="ar-SA"/>
        </w:rPr>
        <w:t xml:space="preserve">  I conclude that unless there is a sufficient deterrent, and some significant cost to a government if it violates s. 2(d) </w:t>
      </w:r>
      <w:r>
        <w:rPr>
          <w:rFonts w:ascii="arial" w:eastAsia="arial" w:hAnsi="arial" w:cs="arial"/>
          <w:i/>
          <w:color w:val="000000"/>
          <w:sz w:val="20"/>
          <w:lang w:val="en-US" w:eastAsia="en-US" w:bidi="ar-SA"/>
        </w:rPr>
        <w:t>Charter</w:t>
      </w:r>
      <w:r>
        <w:rPr>
          <w:rFonts w:ascii="arial" w:eastAsia="arial" w:hAnsi="arial" w:cs="arial"/>
          <w:color w:val="000000"/>
          <w:sz w:val="20"/>
          <w:lang w:val="en-US" w:eastAsia="en-US" w:bidi="ar-SA"/>
        </w:rPr>
        <w:t xml:space="preserve"> rights even temporarily, the motivation to act unconstitutionally by substantially interfering with the freedom of association of public sector workers can simply be too tempting on the part of governments.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624</w:t>
      </w:r>
      <w:r>
        <w:rPr>
          <w:rFonts w:ascii="arial" w:eastAsia="arial" w:hAnsi="arial" w:cs="arial"/>
          <w:color w:val="000000"/>
          <w:sz w:val="20"/>
          <w:lang w:val="en-US" w:eastAsia="en-US" w:bidi="ar-SA"/>
        </w:rPr>
        <w:t xml:space="preserve">  As for the seriousness of the </w:t>
      </w:r>
      <w:r>
        <w:rPr>
          <w:rFonts w:ascii="arial" w:eastAsia="arial" w:hAnsi="arial" w:cs="arial"/>
          <w:i/>
          <w:color w:val="000000"/>
          <w:sz w:val="20"/>
          <w:lang w:val="en-US" w:eastAsia="en-US" w:bidi="ar-SA"/>
        </w:rPr>
        <w:t>Charter</w:t>
      </w:r>
      <w:r>
        <w:rPr>
          <w:rFonts w:ascii="arial" w:eastAsia="arial" w:hAnsi="arial" w:cs="arial"/>
          <w:color w:val="000000"/>
          <w:sz w:val="20"/>
          <w:lang w:val="en-US" w:eastAsia="en-US" w:bidi="ar-SA"/>
        </w:rPr>
        <w:t xml:space="preserve"> violation, the fourteen month extension of the legislative prohibition on collective bargaining over Working Conditions has to be viewed in context. It was not simply a one-off temporary suspension of rights. It was a continuation of unlawful conduct which had been then on-going for ten years. Further, when combined with the unlimited continuing legislative deletion and prohibition on including certain terms on Working Conditions in the collective agreement, the right to collective bargain over Working Conditions would still not be fully restored even after the fourteen months prohibition on bargaining expired. This </w:t>
      </w:r>
      <w:r>
        <w:rPr>
          <w:rFonts w:ascii="arial" w:eastAsia="arial" w:hAnsi="arial" w:cs="arial"/>
          <w:i/>
          <w:color w:val="000000"/>
          <w:sz w:val="20"/>
          <w:lang w:val="en-US" w:eastAsia="en-US" w:bidi="ar-SA"/>
        </w:rPr>
        <w:t>Charter</w:t>
      </w:r>
      <w:r>
        <w:rPr>
          <w:rFonts w:ascii="arial" w:eastAsia="arial" w:hAnsi="arial" w:cs="arial"/>
          <w:color w:val="000000"/>
          <w:sz w:val="20"/>
          <w:lang w:val="en-US" w:eastAsia="en-US" w:bidi="ar-SA"/>
        </w:rPr>
        <w:t xml:space="preserve"> breach was more than slight or moderate.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625</w:t>
      </w:r>
      <w:r>
        <w:rPr>
          <w:rFonts w:ascii="arial" w:eastAsia="arial" w:hAnsi="arial" w:cs="arial"/>
          <w:color w:val="000000"/>
          <w:sz w:val="20"/>
          <w:lang w:val="en-US" w:eastAsia="en-US" w:bidi="ar-SA"/>
        </w:rPr>
        <w:t xml:space="preserve">  I conclude that the unique circumstances of this case, where the government temporarily re-enacted legislation it knew to be constitutionally invalid, but the legislation had expired by the time of the hearing of the ensuing court action, makes it appropriate and just to award damages against the government pursuant to s. 24(1) of the </w:t>
      </w:r>
      <w:r>
        <w:rPr>
          <w:rFonts w:ascii="arial" w:eastAsia="arial" w:hAnsi="arial" w:cs="arial"/>
          <w:i/>
          <w:color w:val="000000"/>
          <w:sz w:val="20"/>
          <w:lang w:val="en-US" w:eastAsia="en-US" w:bidi="ar-SA"/>
        </w:rPr>
        <w:t>Charter</w:t>
      </w:r>
      <w:r>
        <w:rPr>
          <w:rFonts w:ascii="arial" w:eastAsia="arial" w:hAnsi="arial" w:cs="arial"/>
          <w:color w:val="000000"/>
          <w:sz w:val="20"/>
          <w:lang w:val="en-US" w:eastAsia="en-US" w:bidi="ar-SA"/>
        </w:rPr>
        <w:t>, in relation to the fourteen months from the enactment of s. 13 of Bill 22 until the expiry of the extended prohibition on collective bargaining over Working Conditions, June 30, 2013.</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626</w:t>
      </w:r>
      <w:r>
        <w:rPr>
          <w:rFonts w:ascii="arial" w:eastAsia="arial" w:hAnsi="arial" w:cs="arial"/>
          <w:color w:val="000000"/>
          <w:sz w:val="20"/>
          <w:lang w:val="en-US" w:eastAsia="en-US" w:bidi="ar-SA"/>
        </w:rPr>
        <w:t xml:space="preserve">  There is one remaining issue, however. Section 24(1) of the </w:t>
      </w:r>
      <w:r>
        <w:rPr>
          <w:rFonts w:ascii="arial" w:eastAsia="arial" w:hAnsi="arial" w:cs="arial"/>
          <w:i/>
          <w:color w:val="000000"/>
          <w:sz w:val="20"/>
          <w:lang w:val="en-US" w:eastAsia="en-US" w:bidi="ar-SA"/>
        </w:rPr>
        <w:t>Charter</w:t>
      </w:r>
      <w:r>
        <w:rPr>
          <w:rFonts w:ascii="arial" w:eastAsia="arial" w:hAnsi="arial" w:cs="arial"/>
          <w:color w:val="000000"/>
          <w:sz w:val="20"/>
          <w:lang w:val="en-US" w:eastAsia="en-US" w:bidi="ar-SA"/>
        </w:rPr>
        <w:t xml:space="preserve"> allows "anyone" whose rights or freedoms have been infringed to apply to a court for a remedy. The Bill 22 Action was brought by the BCTF as plaintiff but styled as being "on behalf of all members of the BCTF".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627</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Health Services</w:t>
      </w:r>
      <w:r>
        <w:rPr>
          <w:rFonts w:ascii="arial" w:eastAsia="arial" w:hAnsi="arial" w:cs="arial"/>
          <w:color w:val="000000"/>
          <w:sz w:val="20"/>
          <w:lang w:val="en-US" w:eastAsia="en-US" w:bidi="ar-SA"/>
        </w:rPr>
        <w:t xml:space="preserve">, the Court rejected the argument that the freedom of association guarantee provided by s. 2(d) of the </w:t>
      </w:r>
      <w:r>
        <w:rPr>
          <w:rFonts w:ascii="arial" w:eastAsia="arial" w:hAnsi="arial" w:cs="arial"/>
          <w:i/>
          <w:color w:val="000000"/>
          <w:sz w:val="20"/>
          <w:lang w:val="en-US" w:eastAsia="en-US" w:bidi="ar-SA"/>
        </w:rPr>
        <w:t>Charter</w:t>
      </w:r>
      <w:r>
        <w:rPr>
          <w:rFonts w:ascii="arial" w:eastAsia="arial" w:hAnsi="arial" w:cs="arial"/>
          <w:color w:val="000000"/>
          <w:sz w:val="20"/>
          <w:lang w:val="en-US" w:eastAsia="en-US" w:bidi="ar-SA"/>
        </w:rPr>
        <w:t xml:space="preserve"> applies only to activities that can be carried out by individuals. The Court at para. 28 affirmed its previous judgment in </w:t>
      </w:r>
      <w:r>
        <w:rPr>
          <w:rFonts w:ascii="arial" w:eastAsia="arial" w:hAnsi="arial" w:cs="arial"/>
          <w:i/>
          <w:color w:val="000000"/>
          <w:sz w:val="20"/>
          <w:lang w:val="en-US" w:eastAsia="en-US" w:bidi="ar-SA"/>
        </w:rPr>
        <w:t>Dunmore v. Ontario (Attorney General)</w:t>
      </w:r>
      <w:r>
        <w:rPr>
          <w:rFonts w:ascii="arial" w:eastAsia="arial" w:hAnsi="arial" w:cs="arial"/>
          <w:color w:val="000000"/>
          <w:sz w:val="20"/>
          <w:lang w:val="en-US" w:eastAsia="en-US" w:bidi="ar-SA"/>
        </w:rPr>
        <w:t xml:space="preserve">, </w:t>
      </w:r>
      <w:hyperlink r:id="rId858" w:history="1">
        <w:r>
          <w:rPr>
            <w:rFonts w:ascii="arial" w:eastAsia="arial" w:hAnsi="arial" w:cs="arial"/>
            <w:i/>
            <w:color w:val="0077CC"/>
            <w:sz w:val="20"/>
            <w:u w:val="single"/>
            <w:shd w:val="clear" w:color="auto" w:fill="FFFFFF"/>
            <w:lang w:val="en-US" w:eastAsia="en-US" w:bidi="ar-SA"/>
          </w:rPr>
          <w:t>2001 SCC 94</w:t>
        </w:r>
      </w:hyperlink>
      <w:r>
        <w:rPr>
          <w:rFonts w:ascii="arial" w:eastAsia="arial" w:hAnsi="arial" w:cs="arial"/>
          <w:color w:val="000000"/>
          <w:sz w:val="20"/>
          <w:lang w:val="en-US" w:eastAsia="en-US" w:bidi="ar-SA"/>
        </w:rPr>
        <w:t>, which held that the freedom of association right also protects certain collective activities undertaken by a union, which would be incapable of being performed by an individual, as follows: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As I see it, the very notion of "association" recognizes the qualitative differences between individuals and collectivities. It recognizes that the press differs qualitatively from the journalist, the language community from the language speaker, the union from the worker. In all cases, the community assumes a life of its own and develops needs and priorities that differ from those of its individual members. ... [B]ecause trade unions develop needs and priorities that are distinct from those of their members individually, they cannot function if the law protects exclusively what might be "the lawful activities of individuals". Rather, </w:t>
      </w:r>
      <w:r>
        <w:rPr>
          <w:rFonts w:ascii="arial" w:eastAsia="arial" w:hAnsi="arial" w:cs="arial"/>
          <w:color w:val="000000"/>
          <w:sz w:val="20"/>
          <w:u w:val="single"/>
          <w:lang w:val="en-US" w:eastAsia="en-US" w:bidi="ar-SA"/>
        </w:rPr>
        <w:t>the law must recognize that certain union activities -- making collective representations to an employer, adopting a majority political platform, federating with other unions -- may be central to freedom of association even though they are inconceivable on the individual level</w:t>
      </w:r>
      <w:r>
        <w:rPr>
          <w:rFonts w:ascii="arial" w:eastAsia="arial" w:hAnsi="arial" w:cs="arial"/>
          <w:color w:val="000000"/>
          <w:sz w:val="20"/>
          <w:lang w:val="en-US" w:eastAsia="en-US" w:bidi="ar-SA"/>
        </w:rPr>
        <w:t>. This is not to say that all such activities are protected by s. 2(</w:t>
      </w:r>
      <w:r>
        <w:rPr>
          <w:rFonts w:ascii="arial" w:eastAsia="arial" w:hAnsi="arial" w:cs="arial"/>
          <w:i/>
          <w:color w:val="000000"/>
          <w:sz w:val="20"/>
          <w:lang w:val="en-US" w:eastAsia="en-US" w:bidi="ar-SA"/>
        </w:rPr>
        <w:t>d</w:t>
      </w:r>
      <w:r>
        <w:rPr>
          <w:rFonts w:ascii="arial" w:eastAsia="arial" w:hAnsi="arial" w:cs="arial"/>
          <w:color w:val="000000"/>
          <w:sz w:val="20"/>
          <w:lang w:val="en-US" w:eastAsia="en-US" w:bidi="ar-SA"/>
        </w:rPr>
        <w:t>), nor that all collectivities are worthy of constitutional protection; indeed, this Court has repeatedly excluded the right to strike and collectively bargain from the protected ambit of s. 2(</w:t>
      </w:r>
      <w:r>
        <w:rPr>
          <w:rFonts w:ascii="arial" w:eastAsia="arial" w:hAnsi="arial" w:cs="arial"/>
          <w:i/>
          <w:color w:val="000000"/>
          <w:sz w:val="20"/>
          <w:lang w:val="en-US" w:eastAsia="en-US" w:bidi="ar-SA"/>
        </w:rPr>
        <w:t>d</w:t>
      </w:r>
      <w:r>
        <w:rPr>
          <w:rFonts w:ascii="arial" w:eastAsia="arial" w:hAnsi="arial" w:cs="arial"/>
          <w:color w:val="000000"/>
          <w:sz w:val="20"/>
          <w:lang w:val="en-US" w:eastAsia="en-US" w:bidi="ar-SA"/>
        </w:rPr>
        <w:t xml:space="preserve">).... It is to say, simply, that </w:t>
      </w:r>
      <w:r>
        <w:rPr>
          <w:rFonts w:ascii="arial" w:eastAsia="arial" w:hAnsi="arial" w:cs="arial"/>
          <w:color w:val="000000"/>
          <w:sz w:val="20"/>
          <w:u w:val="single"/>
          <w:lang w:val="en-US" w:eastAsia="en-US" w:bidi="ar-SA"/>
        </w:rPr>
        <w:t>certain collective activities must be recognized if the freedom to form and maintain an association is to have any meaning</w:t>
      </w:r>
      <w:r>
        <w:rPr>
          <w:rFonts w:ascii="arial" w:eastAsia="arial" w:hAnsi="arial" w:cs="arial"/>
          <w:color w:val="000000"/>
          <w:sz w:val="20"/>
          <w:lang w:val="en-US" w:eastAsia="en-US" w:bidi="ar-SA"/>
        </w:rPr>
        <w:t>.</w:t>
      </w:r>
    </w:p>
    <w:p>
      <w:pPr>
        <w:spacing w:before="120" w:line="260" w:lineRule="atLeast"/>
        <w:ind w:left="1800"/>
        <w:rPr>
          <w:rFonts w:ascii="arial" w:eastAsia="arial" w:hAnsi="arial" w:cs="arial"/>
          <w:sz w:val="20"/>
          <w:lang w:val="en-US" w:eastAsia="en-US" w:bidi="ar-SA"/>
        </w:rPr>
      </w:pPr>
      <w:r>
        <w:rPr>
          <w:rFonts w:ascii="arial" w:eastAsia="arial" w:hAnsi="arial" w:cs="arial"/>
          <w:color w:val="000000"/>
          <w:sz w:val="20"/>
          <w:lang w:val="en-US" w:eastAsia="en-US" w:bidi="ar-SA"/>
        </w:rPr>
        <w:t xml:space="preserve">[Emphasis added in </w:t>
      </w:r>
      <w:r>
        <w:rPr>
          <w:rFonts w:ascii="arial" w:eastAsia="arial" w:hAnsi="arial" w:cs="arial"/>
          <w:i/>
          <w:color w:val="000000"/>
          <w:sz w:val="20"/>
          <w:lang w:val="en-US" w:eastAsia="en-US" w:bidi="ar-SA"/>
        </w:rPr>
        <w:t>Health Services</w:t>
      </w:r>
      <w:r>
        <w:rPr>
          <w:rFonts w:ascii="arial" w:eastAsia="arial" w:hAnsi="arial" w:cs="arial"/>
          <w:color w:val="000000"/>
          <w:sz w:val="20"/>
          <w:lang w:val="en-US" w:eastAsia="en-US" w:bidi="ar-SA"/>
        </w:rPr>
        <w:t xml:space="preserve">; quoting </w:t>
      </w:r>
      <w:r>
        <w:rPr>
          <w:rFonts w:ascii="arial" w:eastAsia="arial" w:hAnsi="arial" w:cs="arial"/>
          <w:i/>
          <w:color w:val="000000"/>
          <w:sz w:val="20"/>
          <w:lang w:val="en-US" w:eastAsia="en-US" w:bidi="ar-SA"/>
        </w:rPr>
        <w:t>Dunmore</w:t>
      </w:r>
      <w:r>
        <w:rPr>
          <w:rFonts w:ascii="arial" w:eastAsia="arial" w:hAnsi="arial" w:cs="arial"/>
          <w:color w:val="000000"/>
          <w:sz w:val="20"/>
          <w:lang w:val="en-US" w:eastAsia="en-US" w:bidi="ar-SA"/>
        </w:rPr>
        <w:t xml:space="preserve"> at para. 17.]</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628</w:t>
      </w:r>
      <w:r>
        <w:rPr>
          <w:rFonts w:ascii="arial" w:eastAsia="arial" w:hAnsi="arial" w:cs="arial"/>
          <w:color w:val="000000"/>
          <w:sz w:val="20"/>
          <w:lang w:val="en-US" w:eastAsia="en-US" w:bidi="ar-SA"/>
        </w:rPr>
        <w:t xml:space="preserve">  The Court's treatment of the individual and associational aspects of s. 2(d) </w:t>
      </w:r>
      <w:r>
        <w:rPr>
          <w:rFonts w:ascii="arial" w:eastAsia="arial" w:hAnsi="arial" w:cs="arial"/>
          <w:i/>
          <w:color w:val="000000"/>
          <w:sz w:val="20"/>
          <w:lang w:val="en-US" w:eastAsia="en-US" w:bidi="ar-SA"/>
        </w:rPr>
        <w:t>Charter</w:t>
      </w:r>
      <w:r>
        <w:rPr>
          <w:rFonts w:ascii="arial" w:eastAsia="arial" w:hAnsi="arial" w:cs="arial"/>
          <w:color w:val="000000"/>
          <w:sz w:val="20"/>
          <w:lang w:val="en-US" w:eastAsia="en-US" w:bidi="ar-SA"/>
        </w:rPr>
        <w:t xml:space="preserve"> right was also further stated at para. 89 of </w:t>
      </w:r>
      <w:r>
        <w:rPr>
          <w:rFonts w:ascii="arial" w:eastAsia="arial" w:hAnsi="arial" w:cs="arial"/>
          <w:i/>
          <w:color w:val="000000"/>
          <w:sz w:val="20"/>
          <w:lang w:val="en-US" w:eastAsia="en-US" w:bidi="ar-SA"/>
        </w:rPr>
        <w:t>Health Services</w:t>
      </w:r>
      <w:r>
        <w:rPr>
          <w:rFonts w:ascii="arial" w:eastAsia="arial" w:hAnsi="arial" w:cs="arial"/>
          <w:color w:val="000000"/>
          <w:sz w:val="20"/>
          <w:lang w:val="en-US" w:eastAsia="en-US" w:bidi="ar-SA"/>
        </w:rPr>
        <w: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scope of the right to bargain collectively ought to be defined bearing in mind the pronouncements of </w:t>
      </w:r>
      <w:r>
        <w:rPr>
          <w:rFonts w:ascii="arial" w:eastAsia="arial" w:hAnsi="arial" w:cs="arial"/>
          <w:i/>
          <w:color w:val="000000"/>
          <w:sz w:val="20"/>
          <w:lang w:val="en-US" w:eastAsia="en-US" w:bidi="ar-SA"/>
        </w:rPr>
        <w:t>Dunmore</w:t>
      </w:r>
      <w:r>
        <w:rPr>
          <w:rFonts w:ascii="arial" w:eastAsia="arial" w:hAnsi="arial" w:cs="arial"/>
          <w:color w:val="000000"/>
          <w:sz w:val="20"/>
          <w:lang w:val="en-US" w:eastAsia="en-US" w:bidi="ar-SA"/>
        </w:rPr>
        <w:t xml:space="preserve">, which stressed that s. </w:t>
      </w:r>
      <w:r>
        <w:rPr>
          <w:rFonts w:ascii="arial" w:eastAsia="arial" w:hAnsi="arial" w:cs="arial"/>
          <w:color w:val="000000"/>
          <w:sz w:val="20"/>
          <w:u w:val="single"/>
          <w:lang w:val="en-US" w:eastAsia="en-US" w:bidi="ar-SA"/>
        </w:rPr>
        <w:t>2(d) does not apply solely to individual action carried out in common, but also to associational activities themselves.</w:t>
      </w:r>
    </w:p>
    <w:p>
      <w:pPr>
        <w:spacing w:before="120" w:line="260" w:lineRule="atLeast"/>
        <w:ind w:left="3240"/>
        <w:rPr>
          <w:rFonts w:ascii="arial" w:eastAsia="arial" w:hAnsi="arial" w:cs="arial"/>
          <w:sz w:val="20"/>
          <w:lang w:val="en-US" w:eastAsia="en-US" w:bidi="ar-SA"/>
        </w:rPr>
      </w:pPr>
      <w:r>
        <w:rPr>
          <w:rFonts w:ascii="arial" w:eastAsia="arial" w:hAnsi="arial" w:cs="arial"/>
          <w:color w:val="000000"/>
          <w:sz w:val="20"/>
          <w:lang w:val="en-US" w:eastAsia="en-US" w:bidi="ar-SA"/>
        </w:rPr>
        <w:t>[Emphasis added.]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629</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Fraser</w:t>
      </w:r>
      <w:r>
        <w:rPr>
          <w:rFonts w:ascii="arial" w:eastAsia="arial" w:hAnsi="arial" w:cs="arial"/>
          <w:color w:val="000000"/>
          <w:sz w:val="20"/>
          <w:lang w:val="en-US" w:eastAsia="en-US" w:bidi="ar-SA"/>
        </w:rPr>
        <w:t xml:space="preserve">, the majority decision also affirmed the notion of the s. 2(d) </w:t>
      </w:r>
      <w:r>
        <w:rPr>
          <w:rFonts w:ascii="arial" w:eastAsia="arial" w:hAnsi="arial" w:cs="arial"/>
          <w:i/>
          <w:color w:val="000000"/>
          <w:sz w:val="20"/>
          <w:lang w:val="en-US" w:eastAsia="en-US" w:bidi="ar-SA"/>
        </w:rPr>
        <w:t>Charter</w:t>
      </w:r>
      <w:r>
        <w:rPr>
          <w:rFonts w:ascii="arial" w:eastAsia="arial" w:hAnsi="arial" w:cs="arial"/>
          <w:color w:val="000000"/>
          <w:sz w:val="20"/>
          <w:lang w:val="en-US" w:eastAsia="en-US" w:bidi="ar-SA"/>
        </w:rPr>
        <w:t xml:space="preserve"> right extending to the protection of group activity, at paras. 63-66.</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630</w:t>
      </w:r>
      <w:r>
        <w:rPr>
          <w:rFonts w:ascii="arial" w:eastAsia="arial" w:hAnsi="arial" w:cs="arial"/>
          <w:color w:val="000000"/>
          <w:sz w:val="20"/>
          <w:lang w:val="en-US" w:eastAsia="en-US" w:bidi="ar-SA"/>
        </w:rPr>
        <w:t>  In this case, there is no contest that the BCTF represented its members in bringing this litigation. The government interference at issue here was interference with the associational activity carried out by the BCTF on behalf of its members. It would have been very difficult for individual members of the union to bring this litigation on their own, but they have benefited from the efforts of the BCTF in bringing this litigation on their behalf. Furthermore, any benefit of a modest damages award to each member of the BCTF would surely be lost in the administrative cost associated with each member having to make and process an individual claim to the same.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631</w:t>
      </w:r>
      <w:r>
        <w:rPr>
          <w:rFonts w:ascii="arial" w:eastAsia="arial" w:hAnsi="arial" w:cs="arial"/>
          <w:color w:val="000000"/>
          <w:sz w:val="20"/>
          <w:lang w:val="en-US" w:eastAsia="en-US" w:bidi="ar-SA"/>
        </w:rPr>
        <w:t xml:space="preserve">  As stated by the Supreme Court of Canada in </w:t>
      </w:r>
      <w:r>
        <w:rPr>
          <w:rFonts w:ascii="arial" w:eastAsia="arial" w:hAnsi="arial" w:cs="arial"/>
          <w:i/>
          <w:color w:val="000000"/>
          <w:sz w:val="20"/>
          <w:lang w:val="en-US" w:eastAsia="en-US" w:bidi="ar-SA"/>
        </w:rPr>
        <w:t>Ferguson</w:t>
      </w:r>
      <w:r>
        <w:rPr>
          <w:rFonts w:ascii="arial" w:eastAsia="arial" w:hAnsi="arial" w:cs="arial"/>
          <w:color w:val="000000"/>
          <w:sz w:val="20"/>
          <w:lang w:val="en-US" w:eastAsia="en-US" w:bidi="ar-SA"/>
        </w:rPr>
        <w:t xml:space="preserve"> at para. 34:</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A court which has found a violation of a </w:t>
      </w:r>
      <w:r>
        <w:rPr>
          <w:rFonts w:ascii="arial" w:eastAsia="arial" w:hAnsi="arial" w:cs="arial"/>
          <w:i/>
          <w:color w:val="000000"/>
          <w:sz w:val="20"/>
          <w:lang w:val="en-US" w:eastAsia="en-US" w:bidi="ar-SA"/>
        </w:rPr>
        <w:t>Charter</w:t>
      </w:r>
      <w:r>
        <w:rPr>
          <w:rFonts w:ascii="arial" w:eastAsia="arial" w:hAnsi="arial" w:cs="arial"/>
          <w:color w:val="000000"/>
          <w:sz w:val="20"/>
          <w:lang w:val="en-US" w:eastAsia="en-US" w:bidi="ar-SA"/>
        </w:rPr>
        <w:t xml:space="preserve"> right has a duty to provide an effective remedy.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632</w:t>
      </w:r>
      <w:r>
        <w:rPr>
          <w:rFonts w:ascii="arial" w:eastAsia="arial" w:hAnsi="arial" w:cs="arial"/>
          <w:color w:val="000000"/>
          <w:sz w:val="20"/>
          <w:lang w:val="en-US" w:eastAsia="en-US" w:bidi="ar-SA"/>
        </w:rPr>
        <w:t xml:space="preserve">  I conclude that it is just and appropriate in this case to provide a remedy to the members of the BCTF whose rights were infringed by the government, by way of a damages award to the BCTF under s. 24(1) of the </w:t>
      </w:r>
      <w:r>
        <w:rPr>
          <w:rFonts w:ascii="arial" w:eastAsia="arial" w:hAnsi="arial" w:cs="arial"/>
          <w:i/>
          <w:color w:val="000000"/>
          <w:sz w:val="20"/>
          <w:lang w:val="en-US" w:eastAsia="en-US" w:bidi="ar-SA"/>
        </w:rPr>
        <w:t>Charter</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633</w:t>
      </w:r>
      <w:r>
        <w:rPr>
          <w:rFonts w:ascii="arial" w:eastAsia="arial" w:hAnsi="arial" w:cs="arial"/>
          <w:color w:val="000000"/>
          <w:sz w:val="20"/>
          <w:lang w:val="en-US" w:eastAsia="en-US" w:bidi="ar-SA"/>
        </w:rPr>
        <w:t>  As for the amount of damages, it is important to note that there were tens of thousands of teachers affected by the unlawful legislation. According to evidence filed by the BCTF, there were approximately 33,000 "FTE", or full-time equivalent teacher positions in 2001, before Bill 28 was introduced. These numbers were reduced after the legislation to a low in the range of 30,000 according to the BCTF. The BCTF submits that this reduction was a consequence of the legislation although the causal link is disputed by the government.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634</w:t>
      </w:r>
      <w:r>
        <w:rPr>
          <w:rFonts w:ascii="arial" w:eastAsia="arial" w:hAnsi="arial" w:cs="arial"/>
          <w:color w:val="000000"/>
          <w:sz w:val="20"/>
          <w:lang w:val="en-US" w:eastAsia="en-US" w:bidi="ar-SA"/>
        </w:rPr>
        <w:t>  There is no evidence on the exact number of teachers affected for the period of time covered by s. 13 of Bill 22, which extended the prohibition on collective bargaining on Working Conditions for fourteen months. However, the evidence and submissions support a minimal rough estimate of 30,000 teachers.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635</w:t>
      </w:r>
      <w:r>
        <w:rPr>
          <w:rFonts w:ascii="arial" w:eastAsia="arial" w:hAnsi="arial" w:cs="arial"/>
          <w:color w:val="000000"/>
          <w:sz w:val="20"/>
          <w:lang w:val="en-US" w:eastAsia="en-US" w:bidi="ar-SA"/>
        </w:rPr>
        <w:t>  I find that an appropriate damages award, serving the functions of compensation, vindication, and deterrence, but without being so large as to unduly take from the public purse and other public programs, is $2 million awarded to the BCTF as the bargaining agent representing teachers.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636</w:t>
      </w:r>
      <w:r>
        <w:rPr>
          <w:rFonts w:ascii="arial" w:eastAsia="arial" w:hAnsi="arial" w:cs="arial"/>
          <w:color w:val="000000"/>
          <w:sz w:val="20"/>
          <w:lang w:val="en-US" w:eastAsia="en-US" w:bidi="ar-SA"/>
        </w:rPr>
        <w:t>  If BCTF had approximately 30,000 members at the time, this works out to the equivalent value of approximately $66 per member.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637</w:t>
      </w:r>
      <w:r>
        <w:rPr>
          <w:rFonts w:ascii="arial" w:eastAsia="arial" w:hAnsi="arial" w:cs="arial"/>
          <w:color w:val="000000"/>
          <w:sz w:val="20"/>
          <w:lang w:val="en-US" w:eastAsia="en-US" w:bidi="ar-SA"/>
        </w:rPr>
        <w:t xml:space="preserve">  I am satisfied that by fashioning the remedy for interference with s. 2(d) </w:t>
      </w:r>
      <w:r>
        <w:rPr>
          <w:rFonts w:ascii="arial" w:eastAsia="arial" w:hAnsi="arial" w:cs="arial"/>
          <w:i/>
          <w:color w:val="000000"/>
          <w:sz w:val="20"/>
          <w:lang w:val="en-US" w:eastAsia="en-US" w:bidi="ar-SA"/>
        </w:rPr>
        <w:t>Charter</w:t>
      </w:r>
      <w:r>
        <w:rPr>
          <w:rFonts w:ascii="arial" w:eastAsia="arial" w:hAnsi="arial" w:cs="arial"/>
          <w:color w:val="000000"/>
          <w:sz w:val="20"/>
          <w:lang w:val="en-US" w:eastAsia="en-US" w:bidi="ar-SA"/>
        </w:rPr>
        <w:t xml:space="preserve"> rights in this way that it will create a deterrent for future governments and at the same time provide some very small financial compensation and vindication to those whose rights were infringed.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i/>
          <w:color w:val="000000"/>
          <w:sz w:val="20"/>
          <w:lang w:val="en-US" w:eastAsia="en-US" w:bidi="ar-SA"/>
        </w:rPr>
        <w:t>Costs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638</w:t>
      </w:r>
      <w:r>
        <w:rPr>
          <w:rFonts w:ascii="arial" w:eastAsia="arial" w:hAnsi="arial" w:cs="arial"/>
          <w:color w:val="000000"/>
          <w:sz w:val="20"/>
          <w:lang w:val="en-US" w:eastAsia="en-US" w:bidi="ar-SA"/>
        </w:rPr>
        <w:t>  In addition, the BCTF is awarded costs on a scale of more than ordinary difficulty in both actions, Scale C. The litigation was complex, covered a wide body of information and involved numerous difficult legal issues. Counsel for both sides were required to go to extraordinary lengths to organize the materials and provided many written materials which were helpful to the court.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Issue 10: Miscellaneous Issues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639</w:t>
      </w:r>
      <w:r>
        <w:rPr>
          <w:rFonts w:ascii="arial" w:eastAsia="arial" w:hAnsi="arial" w:cs="arial"/>
          <w:color w:val="000000"/>
          <w:sz w:val="20"/>
          <w:lang w:val="en-US" w:eastAsia="en-US" w:bidi="ar-SA"/>
        </w:rPr>
        <w:t>  The hearing before me concerned the two proceedings:</w:t>
      </w:r>
      <w:r>
        <w:rPr>
          <w:rFonts w:ascii="arial" w:eastAsia="arial" w:hAnsi="arial" w:cs="arial"/>
          <w:sz w:val="20"/>
          <w:lang w:val="en-US" w:eastAsia="en-US" w:bidi="ar-SA"/>
        </w:rPr>
        <w:cr/>
      </w:r>
    </w:p>
    <w:p>
      <w:pPr>
        <w:numPr>
          <w:numId w:val="12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first, the application of the BCTF in the Bill 28 Action for additional remedies including its challenge to Bill 22, and the corresponding application of the government to strike this application ("Bill 28 Remedies Application"); and</w:t>
      </w:r>
    </w:p>
    <w:p>
      <w:pPr>
        <w:numPr>
          <w:numId w:val="12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second, the trial of the Bill 22 Action.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640</w:t>
      </w:r>
      <w:r>
        <w:rPr>
          <w:rFonts w:ascii="arial" w:eastAsia="arial" w:hAnsi="arial" w:cs="arial"/>
          <w:color w:val="000000"/>
          <w:sz w:val="20"/>
          <w:lang w:val="en-US" w:eastAsia="en-US" w:bidi="ar-SA"/>
        </w:rPr>
        <w:t>  The parties in the Bill 28 Action are the same as the parties in the Bill 22 Action. The parties agreed that in the Bill 22 Action they are bound by this Court's findings made in the Bill 28 Decision. The parties agreed that I should hear both matters.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641</w:t>
      </w:r>
      <w:r>
        <w:rPr>
          <w:rFonts w:ascii="arial" w:eastAsia="arial" w:hAnsi="arial" w:cs="arial"/>
          <w:color w:val="000000"/>
          <w:sz w:val="20"/>
          <w:lang w:val="en-US" w:eastAsia="en-US" w:bidi="ar-SA"/>
        </w:rPr>
        <w:t>  It is clear that the arguments in both proceedings at least in part dealt with the events that happened following the Bill 28 Decision and leading up to Bill 22 being enacted, and the effect and implications of Bill 22. For example, while the government argues that the steps it took before and in enacting Bill 22 cannot be challenged in the Bill 28 Action, it also argued that when considering whether or not any additional remedy of damages should be awarded the BCTF in the Bill 28 Action, the Court should consider damages are not necessary because of the actions the government has since taken in consulting in good faith with the BCTF.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642</w:t>
      </w:r>
      <w:r>
        <w:rPr>
          <w:rFonts w:ascii="arial" w:eastAsia="arial" w:hAnsi="arial" w:cs="arial"/>
          <w:color w:val="000000"/>
          <w:sz w:val="20"/>
          <w:lang w:val="en-US" w:eastAsia="en-US" w:bidi="ar-SA"/>
        </w:rPr>
        <w:t>  Thus both proceedings required this Court to look at the facts of the post-Bill 28 discussions between the government and the BCTF and the implications of Bill 22.</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643</w:t>
      </w:r>
      <w:r>
        <w:rPr>
          <w:rFonts w:ascii="arial" w:eastAsia="arial" w:hAnsi="arial" w:cs="arial"/>
          <w:color w:val="000000"/>
          <w:sz w:val="20"/>
          <w:lang w:val="en-US" w:eastAsia="en-US" w:bidi="ar-SA"/>
        </w:rPr>
        <w:t>  Due to the overlap between the issues in the two proceedings, I ordered that they be heard before me together in one extended hearing. The purpose was to avoid duplication of proceedings and the potential for inconsistent results.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644</w:t>
      </w:r>
      <w:r>
        <w:rPr>
          <w:rFonts w:ascii="arial" w:eastAsia="arial" w:hAnsi="arial" w:cs="arial"/>
          <w:color w:val="000000"/>
          <w:sz w:val="20"/>
          <w:lang w:val="en-US" w:eastAsia="en-US" w:bidi="ar-SA"/>
        </w:rPr>
        <w:t>  The government urged the Court to limit the scope of the evidence that may be called in the Bill 28 Remedies Application. I did not consider this appropriate, given the wide ambit of the arguments being advanced by both sides. A premature ruling limiting the scope of evidence and arguments could dictate the substantive result.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645</w:t>
      </w:r>
      <w:r>
        <w:rPr>
          <w:rFonts w:ascii="arial" w:eastAsia="arial" w:hAnsi="arial" w:cs="arial"/>
          <w:color w:val="000000"/>
          <w:sz w:val="20"/>
          <w:lang w:val="en-US" w:eastAsia="en-US" w:bidi="ar-SA"/>
        </w:rPr>
        <w:t>  Because of the overlap of issues, until I heard all the evidence and the arguments, I could not determine which result or remedy properly flowed in which proceeding.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646</w:t>
      </w:r>
      <w:r>
        <w:rPr>
          <w:rFonts w:ascii="arial" w:eastAsia="arial" w:hAnsi="arial" w:cs="arial"/>
          <w:color w:val="000000"/>
          <w:sz w:val="20"/>
          <w:lang w:val="en-US" w:eastAsia="en-US" w:bidi="ar-SA"/>
        </w:rPr>
        <w:t xml:space="preserve">  The method of prosecuting two different proceedings and having them heard together where the claims are novel and there is uncertainty as to which proceeding is appropriate was approved in </w:t>
      </w:r>
      <w:r>
        <w:rPr>
          <w:rFonts w:ascii="arial" w:eastAsia="arial" w:hAnsi="arial" w:cs="arial"/>
          <w:i/>
          <w:color w:val="000000"/>
          <w:sz w:val="20"/>
          <w:lang w:val="en-US" w:eastAsia="en-US" w:bidi="ar-SA"/>
        </w:rPr>
        <w:t>Halvorson v. British Columbia (Medical Services Commission)</w:t>
      </w:r>
      <w:r>
        <w:rPr>
          <w:rFonts w:ascii="arial" w:eastAsia="arial" w:hAnsi="arial" w:cs="arial"/>
          <w:color w:val="000000"/>
          <w:sz w:val="20"/>
          <w:lang w:val="en-US" w:eastAsia="en-US" w:bidi="ar-SA"/>
        </w:rPr>
        <w:t xml:space="preserve">, </w:t>
      </w:r>
      <w:hyperlink r:id="rId862" w:history="1">
        <w:r>
          <w:rPr>
            <w:rFonts w:ascii="arial" w:eastAsia="arial" w:hAnsi="arial" w:cs="arial"/>
            <w:i/>
            <w:color w:val="0077CC"/>
            <w:sz w:val="20"/>
            <w:u w:val="single"/>
            <w:shd w:val="clear" w:color="auto" w:fill="FFFFFF"/>
            <w:lang w:val="en-US" w:eastAsia="en-US" w:bidi="ar-SA"/>
          </w:rPr>
          <w:t>2003 BCCA 264</w:t>
        </w:r>
      </w:hyperlink>
      <w:r>
        <w:rPr>
          <w:rFonts w:ascii="arial" w:eastAsia="arial" w:hAnsi="arial" w:cs="arial"/>
          <w:color w:val="000000"/>
          <w:sz w:val="20"/>
          <w:lang w:val="en-US" w:eastAsia="en-US" w:bidi="ar-SA"/>
        </w:rPr>
        <w:t xml:space="preserve"> at para. 6.</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647</w:t>
      </w:r>
      <w:r>
        <w:rPr>
          <w:rFonts w:ascii="arial" w:eastAsia="arial" w:hAnsi="arial" w:cs="arial"/>
          <w:color w:val="000000"/>
          <w:sz w:val="20"/>
          <w:lang w:val="en-US" w:eastAsia="en-US" w:bidi="ar-SA"/>
        </w:rPr>
        <w:t xml:space="preserve">  The procedural background to the choice to deal with the constitutional issue first in the Bill 28 Action, and additional remedies later, is reviewed in oral Reasons for Judgment in that proceeding published at </w:t>
      </w:r>
      <w:hyperlink r:id="rId850" w:history="1">
        <w:r>
          <w:rPr>
            <w:rFonts w:ascii="arial" w:eastAsia="arial" w:hAnsi="arial" w:cs="arial"/>
            <w:i/>
            <w:color w:val="0077CC"/>
            <w:sz w:val="20"/>
            <w:u w:val="single"/>
            <w:shd w:val="clear" w:color="auto" w:fill="FFFFFF"/>
            <w:lang w:val="en-US" w:eastAsia="en-US" w:bidi="ar-SA"/>
          </w:rPr>
          <w:t>2012 BCSC 2090</w:t>
        </w:r>
      </w:hyperlink>
      <w:r>
        <w:rPr>
          <w:rFonts w:ascii="arial" w:eastAsia="arial" w:hAnsi="arial" w:cs="arial"/>
          <w:color w:val="000000"/>
          <w:sz w:val="20"/>
          <w:lang w:val="en-US" w:eastAsia="en-US" w:bidi="ar-SA"/>
        </w:rPr>
        <w:t>. As I noted, I anticipated at the time of the Bill 28 Decision that the parties might wish to call evidence on any additional remedies at a subsequent hearing.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648</w:t>
      </w:r>
      <w:r>
        <w:rPr>
          <w:rFonts w:ascii="arial" w:eastAsia="arial" w:hAnsi="arial" w:cs="arial"/>
          <w:color w:val="000000"/>
          <w:sz w:val="20"/>
          <w:lang w:val="en-US" w:eastAsia="en-US" w:bidi="ar-SA"/>
        </w:rPr>
        <w:t>  I have concluded that the evidence in the Bill 22 Action can be considered evidence in respect of the Bill 28 Remedies Application. This is the only sensible way to determine all of the arguments, claims and defences in both proceedings. This does not mean that all evidence is necessarily relevant to all arguments, but simply that it was more efficient to hear it together rather than parse out the relevance of the evidence on an issue by issue basis.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649</w:t>
      </w:r>
      <w:r>
        <w:rPr>
          <w:rFonts w:ascii="arial" w:eastAsia="arial" w:hAnsi="arial" w:cs="arial"/>
          <w:color w:val="000000"/>
          <w:sz w:val="20"/>
          <w:lang w:val="en-US" w:eastAsia="en-US" w:bidi="ar-SA"/>
        </w:rPr>
        <w:t>  In granting the government a one year suspension of the declaration of invalidity in the Bill 28 Action, the Court was not taking on a supervisory role with respect to subsequent legislation. I agree with the government that any challenge to the subsequent legislation was required to be a fresh challenge. For this reason I conclude that the appropriate proceeding for the declarations concerning the unconstitutionality of the Bill 22 Duplicative Provisions is the Bill 22 Action.</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Cabinet Documents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650</w:t>
      </w:r>
      <w:r>
        <w:rPr>
          <w:rFonts w:ascii="arial" w:eastAsia="arial" w:hAnsi="arial" w:cs="arial"/>
          <w:color w:val="000000"/>
          <w:sz w:val="20"/>
          <w:lang w:val="en-US" w:eastAsia="en-US" w:bidi="ar-SA"/>
        </w:rPr>
        <w:t>  There is another miscellaneous issue, having to do with the government's assertion in this proceeding that some of the documents marked as exhibits in this proceeding were Cabinet documents entitled to protection by way of a confidentiality order.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651</w:t>
      </w:r>
      <w:r>
        <w:rPr>
          <w:rFonts w:ascii="arial" w:eastAsia="arial" w:hAnsi="arial" w:cs="arial"/>
          <w:color w:val="000000"/>
          <w:sz w:val="20"/>
          <w:lang w:val="en-US" w:eastAsia="en-US" w:bidi="ar-SA"/>
        </w:rPr>
        <w:t xml:space="preserve">  The terms by which the government produced documents it claimed to be subject to Cabinet privilege, also known as public interest immunity from production, followed a precedent established by Burnyeat J. in the </w:t>
      </w:r>
      <w:r>
        <w:rPr>
          <w:rFonts w:ascii="arial" w:eastAsia="arial" w:hAnsi="arial" w:cs="arial"/>
          <w:i/>
          <w:color w:val="000000"/>
          <w:sz w:val="20"/>
          <w:lang w:val="en-US" w:eastAsia="en-US" w:bidi="ar-SA"/>
        </w:rPr>
        <w:t>Health Services</w:t>
      </w:r>
      <w:r>
        <w:rPr>
          <w:rFonts w:ascii="arial" w:eastAsia="arial" w:hAnsi="arial" w:cs="arial"/>
          <w:color w:val="000000"/>
          <w:sz w:val="20"/>
          <w:lang w:val="en-US" w:eastAsia="en-US" w:bidi="ar-SA"/>
        </w:rPr>
        <w:t xml:space="preserve"> litigation indexed at </w:t>
      </w:r>
      <w:hyperlink r:id="rId863" w:history="1">
        <w:r>
          <w:rPr>
            <w:rFonts w:ascii="arial" w:eastAsia="arial" w:hAnsi="arial" w:cs="arial"/>
            <w:i/>
            <w:color w:val="0077CC"/>
            <w:sz w:val="20"/>
            <w:u w:val="single"/>
            <w:shd w:val="clear" w:color="auto" w:fill="FFFFFF"/>
            <w:lang w:val="en-US" w:eastAsia="en-US" w:bidi="ar-SA"/>
          </w:rPr>
          <w:t>2002 BCSC 1509</w:t>
        </w:r>
      </w:hyperlink>
      <w:r>
        <w:rPr>
          <w:rFonts w:ascii="arial" w:eastAsia="arial" w:hAnsi="arial" w:cs="arial"/>
          <w:color w:val="000000"/>
          <w:sz w:val="20"/>
          <w:lang w:val="en-US" w:eastAsia="en-US" w:bidi="ar-SA"/>
        </w:rPr>
        <w:t>. These terms essentially provided that while during the course of the hearing the Court would be able to read and see the alleged Cabinet documents entered as exhibits, the documents would not otherwise be made publicly available, and they would be returned at the end of the litigation to the government.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652</w:t>
      </w:r>
      <w:r>
        <w:rPr>
          <w:rFonts w:ascii="arial" w:eastAsia="arial" w:hAnsi="arial" w:cs="arial"/>
          <w:color w:val="000000"/>
          <w:sz w:val="20"/>
          <w:lang w:val="en-US" w:eastAsia="en-US" w:bidi="ar-SA"/>
        </w:rPr>
        <w:t>  As well, the parties agreed that the Cabinet documents could be put to witnesses and referred to in submissions in open court at trial, but without otherwise making the Cabinet documents publicly available.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653</w:t>
      </w:r>
      <w:r>
        <w:rPr>
          <w:rFonts w:ascii="arial" w:eastAsia="arial" w:hAnsi="arial" w:cs="arial"/>
          <w:color w:val="000000"/>
          <w:sz w:val="20"/>
          <w:lang w:val="en-US" w:eastAsia="en-US" w:bidi="ar-SA"/>
        </w:rPr>
        <w:t>  I pause to note that both parties are to be commended in finding a practical way to provide for the production of alleged Cabinet documents and refer to them at trial so as to preserve the plaintiff's right to a fair trial and to allow for an efficient hearing open to the public. The parties quite properly compromised: the plaintiff agreed to these confidentiality terms without finding it necessary to challenge each assertion of Cabinet privilege; the defendant agreed to these confidentiality terms without seeking to apply an absolute privilege that would prevent any production of alleged Cabinet documents.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654</w:t>
      </w:r>
      <w:r>
        <w:rPr>
          <w:rFonts w:ascii="arial" w:eastAsia="arial" w:hAnsi="arial" w:cs="arial"/>
          <w:color w:val="000000"/>
          <w:sz w:val="20"/>
          <w:lang w:val="en-US" w:eastAsia="en-US" w:bidi="ar-SA"/>
        </w:rPr>
        <w:t>  There were two pre-hearing Court orders regarding the production and protection of the alleged Cabinet documents in the Bill 22 Action, one made by consent on January 14, 2013, and the other made July 9, 2013, and each contained a term reserving the Court's jurisdiction to vary the Order. In my view, the prospect that the order might be varied was in recognition that the balancing of interests as between protecting the confidentiality of the documents and the open court principle might shift in the course of the litigation.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655</w:t>
      </w:r>
      <w:r>
        <w:rPr>
          <w:rFonts w:ascii="arial" w:eastAsia="arial" w:hAnsi="arial" w:cs="arial"/>
          <w:color w:val="000000"/>
          <w:sz w:val="20"/>
          <w:lang w:val="en-US" w:eastAsia="en-US" w:bidi="ar-SA"/>
        </w:rPr>
        <w:t>  The plaintiff's position at the end of trial sought a variation of the confidentiality orders, so as to allow it to publish the plaintiff's written closing submission to the BCTF members and thereby publish any references to the purported Cabinet documents contained therein which were referred to as exhibits at trial. The defendant opposes this.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656</w:t>
      </w:r>
      <w:r>
        <w:rPr>
          <w:rFonts w:ascii="arial" w:eastAsia="arial" w:hAnsi="arial" w:cs="arial"/>
          <w:color w:val="000000"/>
          <w:sz w:val="20"/>
          <w:lang w:val="en-US" w:eastAsia="en-US" w:bidi="ar-SA"/>
        </w:rPr>
        <w:t>  What is at issue is the tension between two public interests:</w:t>
      </w:r>
      <w:r>
        <w:rPr>
          <w:rFonts w:ascii="arial" w:eastAsia="arial" w:hAnsi="arial" w:cs="arial"/>
          <w:sz w:val="20"/>
          <w:lang w:val="en-US" w:eastAsia="en-US" w:bidi="ar-SA"/>
        </w:rPr>
        <w:cr/>
      </w:r>
    </w:p>
    <w:p>
      <w:pPr>
        <w:numPr>
          <w:numId w:val="13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public interest in fostering free and open debate between members of Cabinet, which might be harmed if Cabinet documents were not confidential, a public interest expressed in such authorities as </w:t>
      </w:r>
      <w:r>
        <w:rPr>
          <w:rFonts w:ascii="arial" w:eastAsia="arial" w:hAnsi="arial" w:cs="arial"/>
          <w:i/>
          <w:color w:val="000000"/>
          <w:sz w:val="20"/>
          <w:lang w:val="en-US" w:eastAsia="en-US" w:bidi="ar-SA"/>
        </w:rPr>
        <w:t>Carey v. Ontario</w:t>
      </w:r>
      <w:r>
        <w:rPr>
          <w:rFonts w:ascii="arial" w:eastAsia="arial" w:hAnsi="arial" w:cs="arial"/>
          <w:color w:val="000000"/>
          <w:sz w:val="20"/>
          <w:lang w:val="en-US" w:eastAsia="en-US" w:bidi="ar-SA"/>
        </w:rPr>
        <w:t xml:space="preserve">, </w:t>
      </w:r>
      <w:hyperlink r:id="rId856" w:history="1">
        <w:r>
          <w:rPr>
            <w:rFonts w:ascii="arial" w:eastAsia="arial" w:hAnsi="arial" w:cs="arial"/>
            <w:i/>
            <w:color w:val="0077CC"/>
            <w:sz w:val="20"/>
            <w:u w:val="single"/>
            <w:shd w:val="clear" w:color="auto" w:fill="FFFFFF"/>
            <w:lang w:val="en-US" w:eastAsia="en-US" w:bidi="ar-SA"/>
          </w:rPr>
          <w:t>[1986] 2 S.C.R. 637</w:t>
        </w:r>
      </w:hyperlink>
      <w:r>
        <w:rPr>
          <w:rFonts w:ascii="arial" w:eastAsia="arial" w:hAnsi="arial" w:cs="arial"/>
          <w:color w:val="000000"/>
          <w:sz w:val="20"/>
          <w:lang w:val="en-US" w:eastAsia="en-US" w:bidi="ar-SA"/>
        </w:rPr>
        <w:t xml:space="preserve"> and </w:t>
      </w:r>
      <w:r>
        <w:rPr>
          <w:rFonts w:ascii="arial" w:eastAsia="arial" w:hAnsi="arial" w:cs="arial"/>
          <w:i/>
          <w:color w:val="000000"/>
          <w:sz w:val="20"/>
          <w:lang w:val="en-US" w:eastAsia="en-US" w:bidi="ar-SA"/>
        </w:rPr>
        <w:t>Babcock v. Canada (Attorney General)</w:t>
      </w:r>
      <w:r>
        <w:rPr>
          <w:rFonts w:ascii="arial" w:eastAsia="arial" w:hAnsi="arial" w:cs="arial"/>
          <w:color w:val="000000"/>
          <w:sz w:val="20"/>
          <w:lang w:val="en-US" w:eastAsia="en-US" w:bidi="ar-SA"/>
        </w:rPr>
        <w:t xml:space="preserve">, </w:t>
      </w:r>
      <w:hyperlink r:id="rId847" w:history="1">
        <w:r>
          <w:rPr>
            <w:rFonts w:ascii="arial" w:eastAsia="arial" w:hAnsi="arial" w:cs="arial"/>
            <w:i/>
            <w:color w:val="0077CC"/>
            <w:sz w:val="20"/>
            <w:u w:val="single"/>
            <w:shd w:val="clear" w:color="auto" w:fill="FFFFFF"/>
            <w:lang w:val="en-US" w:eastAsia="en-US" w:bidi="ar-SA"/>
          </w:rPr>
          <w:t>2002 SCC 57</w:t>
        </w:r>
      </w:hyperlink>
      <w:r>
        <w:rPr>
          <w:rFonts w:ascii="arial" w:eastAsia="arial" w:hAnsi="arial" w:cs="arial"/>
          <w:color w:val="000000"/>
          <w:sz w:val="20"/>
          <w:lang w:val="en-US" w:eastAsia="en-US" w:bidi="ar-SA"/>
        </w:rPr>
        <w:t>; and,</w:t>
      </w:r>
    </w:p>
    <w:p>
      <w:pPr>
        <w:numPr>
          <w:numId w:val="13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public interest in an open court process, expressed in such authorities as </w:t>
      </w:r>
      <w:r>
        <w:rPr>
          <w:rFonts w:ascii="arial" w:eastAsia="arial" w:hAnsi="arial" w:cs="arial"/>
          <w:i/>
          <w:color w:val="000000"/>
          <w:sz w:val="20"/>
          <w:lang w:val="en-US" w:eastAsia="en-US" w:bidi="ar-SA"/>
        </w:rPr>
        <w:t>Dagenais v. Canadian Broadcasting Corp</w:t>
      </w:r>
      <w:r>
        <w:rPr>
          <w:rFonts w:ascii="arial" w:eastAsia="arial" w:hAnsi="arial" w:cs="arial"/>
          <w:color w:val="000000"/>
          <w:sz w:val="20"/>
          <w:lang w:val="en-US" w:eastAsia="en-US" w:bidi="ar-SA"/>
        </w:rPr>
        <w:t xml:space="preserve">., </w:t>
      </w:r>
      <w:hyperlink r:id="rId857" w:history="1">
        <w:r>
          <w:rPr>
            <w:rFonts w:ascii="arial" w:eastAsia="arial" w:hAnsi="arial" w:cs="arial"/>
            <w:i/>
            <w:color w:val="0077CC"/>
            <w:sz w:val="20"/>
            <w:u w:val="single"/>
            <w:shd w:val="clear" w:color="auto" w:fill="FFFFFF"/>
            <w:lang w:val="en-US" w:eastAsia="en-US" w:bidi="ar-SA"/>
          </w:rPr>
          <w:t>[1994] 3 S.C.R. 835</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R. v.</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Mentuck</w:t>
      </w:r>
      <w:r>
        <w:rPr>
          <w:rFonts w:ascii="arial" w:eastAsia="arial" w:hAnsi="arial" w:cs="arial"/>
          <w:color w:val="000000"/>
          <w:sz w:val="20"/>
          <w:lang w:val="en-US" w:eastAsia="en-US" w:bidi="ar-SA"/>
        </w:rPr>
        <w:t xml:space="preserve">, </w:t>
      </w:r>
      <w:hyperlink r:id="rId873" w:history="1">
        <w:r>
          <w:rPr>
            <w:rFonts w:ascii="arial" w:eastAsia="arial" w:hAnsi="arial" w:cs="arial"/>
            <w:i/>
            <w:color w:val="0077CC"/>
            <w:sz w:val="20"/>
            <w:u w:val="single"/>
            <w:shd w:val="clear" w:color="auto" w:fill="FFFFFF"/>
            <w:lang w:val="en-US" w:eastAsia="en-US" w:bidi="ar-SA"/>
          </w:rPr>
          <w:t>2001 SCC 76</w:t>
        </w:r>
      </w:hyperlink>
      <w:r>
        <w:rPr>
          <w:rFonts w:ascii="arial" w:eastAsia="arial" w:hAnsi="arial" w:cs="arial"/>
          <w:color w:val="000000"/>
          <w:sz w:val="20"/>
          <w:lang w:val="en-US" w:eastAsia="en-US" w:bidi="ar-SA"/>
        </w:rPr>
        <w:t xml:space="preserve">; and </w:t>
      </w:r>
      <w:r>
        <w:rPr>
          <w:rFonts w:ascii="arial" w:eastAsia="arial" w:hAnsi="arial" w:cs="arial"/>
          <w:i/>
          <w:color w:val="000000"/>
          <w:sz w:val="20"/>
          <w:lang w:val="en-US" w:eastAsia="en-US" w:bidi="ar-SA"/>
        </w:rPr>
        <w:t>Sierra Club of Canada v. Canada (Minister of Finance)</w:t>
      </w:r>
      <w:r>
        <w:rPr>
          <w:rFonts w:ascii="arial" w:eastAsia="arial" w:hAnsi="arial" w:cs="arial"/>
          <w:color w:val="000000"/>
          <w:sz w:val="20"/>
          <w:lang w:val="en-US" w:eastAsia="en-US" w:bidi="ar-SA"/>
        </w:rPr>
        <w:t xml:space="preserve">, </w:t>
      </w:r>
      <w:hyperlink r:id="rId875" w:history="1">
        <w:r>
          <w:rPr>
            <w:rFonts w:ascii="arial" w:eastAsia="arial" w:hAnsi="arial" w:cs="arial"/>
            <w:i/>
            <w:color w:val="0077CC"/>
            <w:sz w:val="20"/>
            <w:u w:val="single"/>
            <w:shd w:val="clear" w:color="auto" w:fill="FFFFFF"/>
            <w:lang w:val="en-US" w:eastAsia="en-US" w:bidi="ar-SA"/>
          </w:rPr>
          <w:t>2002 SCC 41</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Sierra Club</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657</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Sierra Club</w:t>
      </w:r>
      <w:r>
        <w:rPr>
          <w:rFonts w:ascii="arial" w:eastAsia="arial" w:hAnsi="arial" w:cs="arial"/>
          <w:color w:val="000000"/>
          <w:sz w:val="20"/>
          <w:lang w:val="en-US" w:eastAsia="en-US" w:bidi="ar-SA"/>
        </w:rPr>
        <w:t xml:space="preserve"> at para. 53, the Supreme Court of Canada established a test in relation to applications for confidentiality orders as follows: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 confidentiality order ... should only be granted when:</w:t>
      </w:r>
    </w:p>
    <w:p>
      <w:pPr>
        <w:numPr>
          <w:numId w:val="13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such an order is necessary in order to prevent a serious risk to an important interest, including a commercial interest, in the context of litigation because reasonably alternative measures will not prevent the risk; and</w:t>
      </w:r>
    </w:p>
    <w:p>
      <w:pPr>
        <w:numPr>
          <w:numId w:val="13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salutary effects of the confidentiality order, including the effects on the right of civil litigants to a fair trial, outweigh its deleterious effects, including the effects on the right to free expression, which in this context includes the public interest in open and accessible court proceedings.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658</w:t>
      </w:r>
      <w:r>
        <w:rPr>
          <w:rFonts w:ascii="arial" w:eastAsia="arial" w:hAnsi="arial" w:cs="arial"/>
          <w:color w:val="000000"/>
          <w:sz w:val="20"/>
          <w:lang w:val="en-US" w:eastAsia="en-US" w:bidi="ar-SA"/>
        </w:rPr>
        <w:t xml:space="preserve">  The Supreme Court in Canada in </w:t>
      </w:r>
      <w:r>
        <w:rPr>
          <w:rFonts w:ascii="arial" w:eastAsia="arial" w:hAnsi="arial" w:cs="arial"/>
          <w:i/>
          <w:color w:val="000000"/>
          <w:sz w:val="20"/>
          <w:lang w:val="en-US" w:eastAsia="en-US" w:bidi="ar-SA"/>
        </w:rPr>
        <w:t>Sierra Club</w:t>
      </w:r>
      <w:r>
        <w:rPr>
          <w:rFonts w:ascii="arial" w:eastAsia="arial" w:hAnsi="arial" w:cs="arial"/>
          <w:color w:val="000000"/>
          <w:sz w:val="20"/>
          <w:lang w:val="en-US" w:eastAsia="en-US" w:bidi="ar-SA"/>
        </w:rPr>
        <w:t xml:space="preserve"> made it clear at para. 54 that under the first branch of the above test, the risk in question must be real and substantial, be well-grounded in the evidence, and pose a serious threat to the interest in question.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659</w:t>
      </w:r>
      <w:r>
        <w:rPr>
          <w:rFonts w:ascii="arial" w:eastAsia="arial" w:hAnsi="arial" w:cs="arial"/>
          <w:color w:val="000000"/>
          <w:sz w:val="20"/>
          <w:lang w:val="en-US" w:eastAsia="en-US" w:bidi="ar-SA"/>
        </w:rPr>
        <w:t>  In considering the interests at play, I consider that the following factors are relevant:</w:t>
      </w:r>
      <w:r>
        <w:rPr>
          <w:rFonts w:ascii="arial" w:eastAsia="arial" w:hAnsi="arial" w:cs="arial"/>
          <w:sz w:val="20"/>
          <w:lang w:val="en-US" w:eastAsia="en-US" w:bidi="ar-SA"/>
        </w:rPr>
        <w:cr/>
      </w:r>
    </w:p>
    <w:p>
      <w:pPr>
        <w:numPr>
          <w:numId w:val="13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with perhaps one exception, the majority of the documents over which Cabinet privilege has been asserted have not been proven by the government to have been created with an expectation that they would be confidential if litigation ensued. The one exception is a minute recording a decision by Cabinet, but it is quite innocuous and does not record any discussion or debate amongst members of Cabinet;</w:t>
      </w:r>
    </w:p>
    <w:p>
      <w:pPr>
        <w:numPr>
          <w:numId w:val="13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majority of the documents at issue were authored or known by or reflected advice or recommendations or strategy of Mr. Straszak in his approach to the BCTF. The government has relied in this litigation on the assertion that Mr. Straszak engaged in good faith negotiations with the BCTF following the Bill 28 Decision and that this remediated any otherwise unconstitutional legislation. It is therefore the government's position in this litigation which makes Mr. Straszak's knowledge and involvement in broader government strategy relevant.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660</w:t>
      </w:r>
      <w:r>
        <w:rPr>
          <w:rFonts w:ascii="arial" w:eastAsia="arial" w:hAnsi="arial" w:cs="arial"/>
          <w:color w:val="000000"/>
          <w:sz w:val="20"/>
          <w:lang w:val="en-US" w:eastAsia="en-US" w:bidi="ar-SA"/>
        </w:rPr>
        <w:t>  Dealing with the first factor, the government did not anticipate that the Cabinet privilege would be challenged at the end of trial and so it should not be held against it that it did not waste time at trial by calling evidence on the issue of whether the documents were expected to be confidential if litigation ensued. However, when the issue was raised in closing submissions, it did not seek to call additional evidence on the issue.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661</w:t>
      </w:r>
      <w:r>
        <w:rPr>
          <w:rFonts w:ascii="arial" w:eastAsia="arial" w:hAnsi="arial" w:cs="arial"/>
          <w:color w:val="000000"/>
          <w:sz w:val="20"/>
          <w:lang w:val="en-US" w:eastAsia="en-US" w:bidi="ar-SA"/>
        </w:rPr>
        <w:t xml:space="preserve">  Instead the government relied on previously filed affidavit evidence of Elizabeth MacMillan, Deputy Cabinet Secretary, which was filed in relation to a preliminary motion for production of documents. As noted in an interim ruling on document production, indexed at </w:t>
      </w:r>
      <w:hyperlink r:id="rId851" w:history="1">
        <w:r>
          <w:rPr>
            <w:rFonts w:ascii="arial" w:eastAsia="arial" w:hAnsi="arial" w:cs="arial"/>
            <w:i/>
            <w:color w:val="0077CC"/>
            <w:sz w:val="20"/>
            <w:u w:val="single"/>
            <w:shd w:val="clear" w:color="auto" w:fill="FFFFFF"/>
            <w:lang w:val="en-US" w:eastAsia="en-US" w:bidi="ar-SA"/>
          </w:rPr>
          <w:t>2013 BCSC 1216</w:t>
        </w:r>
      </w:hyperlink>
      <w:r>
        <w:rPr>
          <w:rFonts w:ascii="arial" w:eastAsia="arial" w:hAnsi="arial" w:cs="arial"/>
          <w:color w:val="000000"/>
          <w:sz w:val="20"/>
          <w:lang w:val="en-US" w:eastAsia="en-US" w:bidi="ar-SA"/>
        </w:rPr>
        <w:t xml:space="preserve"> at para. 50-58, the government's evidence did not specifically address whether or not there was any expectation of confidentiality regarding documents having to do with the post-Bill 28 Decision negotiations with the BCTF.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662</w:t>
      </w:r>
      <w:r>
        <w:rPr>
          <w:rFonts w:ascii="arial" w:eastAsia="arial" w:hAnsi="arial" w:cs="arial"/>
          <w:color w:val="000000"/>
          <w:sz w:val="20"/>
          <w:lang w:val="en-US" w:eastAsia="en-US" w:bidi="ar-SA"/>
        </w:rPr>
        <w:t>  In the absence of evidence, logic would suggest that the government must have anticipated there could be continuing litigation following the Bill 28 Decision and did not have an expectation of confidentiality in the documents if litigation did ensue.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663</w:t>
      </w:r>
      <w:r>
        <w:rPr>
          <w:rFonts w:ascii="arial" w:eastAsia="arial" w:hAnsi="arial" w:cs="arial"/>
          <w:color w:val="000000"/>
          <w:sz w:val="20"/>
          <w:lang w:val="en-US" w:eastAsia="en-US" w:bidi="ar-SA"/>
        </w:rPr>
        <w:t>  As for the second factor, the government chose not to pick someone to lead the discussions with the BCTF who was a neutral party. The government chose Mr. Straszak to lead those discussions, knowing that he was involved in the government's overall strategy of requiring BCPSEA to extract concessions from the BCTF in collective bargaining and the government strategy of imposing legislation in the face of an expected strike.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664</w:t>
      </w:r>
      <w:r>
        <w:rPr>
          <w:rFonts w:ascii="arial" w:eastAsia="arial" w:hAnsi="arial" w:cs="arial"/>
          <w:color w:val="000000"/>
          <w:sz w:val="20"/>
          <w:lang w:val="en-US" w:eastAsia="en-US" w:bidi="ar-SA"/>
        </w:rPr>
        <w:t>  Before trial, when the alleged Cabinet documents were produced under confidentiality orders, it was too early to know whether any of the documents would prove important at trial or would be peripheral. To avoid mischief, understandably the terms of confidentiality were therefore quite broad.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665</w:t>
      </w:r>
      <w:r>
        <w:rPr>
          <w:rFonts w:ascii="arial" w:eastAsia="arial" w:hAnsi="arial" w:cs="arial"/>
          <w:color w:val="000000"/>
          <w:sz w:val="20"/>
          <w:lang w:val="en-US" w:eastAsia="en-US" w:bidi="ar-SA"/>
        </w:rPr>
        <w:t>  But during the trial it became clear that Mr. Straszak's intentions and motivations were central and could in part be tested based on the documents introduced into evidence.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666</w:t>
      </w:r>
      <w:r>
        <w:rPr>
          <w:rFonts w:ascii="arial" w:eastAsia="arial" w:hAnsi="arial" w:cs="arial"/>
          <w:color w:val="000000"/>
          <w:sz w:val="20"/>
          <w:lang w:val="en-US" w:eastAsia="en-US" w:bidi="ar-SA"/>
        </w:rPr>
        <w:t>  I have reviewed the references in the BCTF written submission. I have concluded that counsel for the BCTF has not attempted to cause mischief by reference to alleged Cabinet documents that have little importance on the central issues. Rather, the BCTF written submission is referring to documents the BCTF counsel consider highly relevant to defeat the government argument that on behalf of the government Mr. Straszak consulted in good faith with the BCTF.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667</w:t>
      </w:r>
      <w:r>
        <w:rPr>
          <w:rFonts w:ascii="arial" w:eastAsia="arial" w:hAnsi="arial" w:cs="arial"/>
          <w:color w:val="000000"/>
          <w:sz w:val="20"/>
          <w:lang w:val="en-US" w:eastAsia="en-US" w:bidi="ar-SA"/>
        </w:rPr>
        <w:t>  The fact that some of the documents in evidence relating to this issue constituted submissions to Cabinet or permit inferences to be drawn as to government decisions in my view do not justify preventing the BCTF from disclosing them in its written submission and providing its written submission to its members.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668</w:t>
      </w:r>
      <w:r>
        <w:rPr>
          <w:rFonts w:ascii="arial" w:eastAsia="arial" w:hAnsi="arial" w:cs="arial"/>
          <w:color w:val="000000"/>
          <w:sz w:val="20"/>
          <w:lang w:val="en-US" w:eastAsia="en-US" w:bidi="ar-SA"/>
        </w:rPr>
        <w:t xml:space="preserve">  In the interim ruling, I ruled that the content of the documents did not reveal actual Cabinet discussions, and so disclosure should not otherwise create a chill on active debate at the Cabinet table: </w:t>
      </w:r>
      <w:hyperlink r:id="rId851" w:history="1">
        <w:r>
          <w:rPr>
            <w:rFonts w:ascii="arial" w:eastAsia="arial" w:hAnsi="arial" w:cs="arial"/>
            <w:i/>
            <w:color w:val="0077CC"/>
            <w:sz w:val="20"/>
            <w:u w:val="single"/>
            <w:shd w:val="clear" w:color="auto" w:fill="FFFFFF"/>
            <w:lang w:val="en-US" w:eastAsia="en-US" w:bidi="ar-SA"/>
          </w:rPr>
          <w:t>2013 BCSC 1216</w:t>
        </w:r>
      </w:hyperlink>
      <w:r>
        <w:rPr>
          <w:rFonts w:ascii="arial" w:eastAsia="arial" w:hAnsi="arial" w:cs="arial"/>
          <w:color w:val="000000"/>
          <w:sz w:val="20"/>
          <w:lang w:val="en-US" w:eastAsia="en-US" w:bidi="ar-SA"/>
        </w:rPr>
        <w:t xml:space="preserve"> at para. 75.</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669</w:t>
      </w:r>
      <w:r>
        <w:rPr>
          <w:rFonts w:ascii="arial" w:eastAsia="arial" w:hAnsi="arial" w:cs="arial"/>
          <w:color w:val="000000"/>
          <w:sz w:val="20"/>
          <w:lang w:val="en-US" w:eastAsia="en-US" w:bidi="ar-SA"/>
        </w:rPr>
        <w:t>  I continue to be persuaded that allowing for the circulation of the plaintiff's written submission will not create a chilling effect on Cabinet discussions. This is a unique case where the government relied on assertions of fact regarding its conduct, alleging that it had consulted in good faith. It was the testing of that assertion that made the documents highly relevant. These circumstances will rarely arise in most litigation.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670</w:t>
      </w:r>
      <w:r>
        <w:rPr>
          <w:rFonts w:ascii="arial" w:eastAsia="arial" w:hAnsi="arial" w:cs="arial"/>
          <w:color w:val="000000"/>
          <w:sz w:val="20"/>
          <w:lang w:val="en-US" w:eastAsia="en-US" w:bidi="ar-SA"/>
        </w:rPr>
        <w:t>  One of the reasons for the open court principle is to allow the public access to the same evidence that the court relied on, so as to allow the public the opportunity to critique the court's judgment.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671</w:t>
      </w:r>
      <w:r>
        <w:rPr>
          <w:rFonts w:ascii="arial" w:eastAsia="arial" w:hAnsi="arial" w:cs="arial"/>
          <w:color w:val="000000"/>
          <w:sz w:val="20"/>
          <w:lang w:val="en-US" w:eastAsia="en-US" w:bidi="ar-SA"/>
        </w:rPr>
        <w:t xml:space="preserve">  The principle of open courts is one of the hallmarks of democracy, at the "very soul of justice", and "...permits public access to information about the courts, which in turn permits the public to discuss and put forward opinions and criticisms of court practices and proceedings": </w:t>
      </w:r>
      <w:r>
        <w:rPr>
          <w:rFonts w:ascii="arial" w:eastAsia="arial" w:hAnsi="arial" w:cs="arial"/>
          <w:i/>
          <w:color w:val="000000"/>
          <w:sz w:val="20"/>
          <w:lang w:val="en-US" w:eastAsia="en-US" w:bidi="ar-SA"/>
        </w:rPr>
        <w:t>Canadian Broadcasting Corp. v. New Brunswick (Attorney General) (Re R. v. Carson)</w:t>
      </w:r>
      <w:r>
        <w:rPr>
          <w:rFonts w:ascii="arial" w:eastAsia="arial" w:hAnsi="arial" w:cs="arial"/>
          <w:color w:val="000000"/>
          <w:sz w:val="20"/>
          <w:lang w:val="en-US" w:eastAsia="en-US" w:bidi="ar-SA"/>
        </w:rPr>
        <w:t xml:space="preserve">, </w:t>
      </w:r>
      <w:hyperlink r:id="rId854" w:history="1">
        <w:r>
          <w:rPr>
            <w:rFonts w:ascii="arial" w:eastAsia="arial" w:hAnsi="arial" w:cs="arial"/>
            <w:i/>
            <w:color w:val="0077CC"/>
            <w:sz w:val="20"/>
            <w:u w:val="single"/>
            <w:shd w:val="clear" w:color="auto" w:fill="FFFFFF"/>
            <w:lang w:val="en-US" w:eastAsia="en-US" w:bidi="ar-SA"/>
          </w:rPr>
          <w:t>[1996] 3 S.C.R. 480</w:t>
        </w:r>
      </w:hyperlink>
      <w:r>
        <w:rPr>
          <w:rFonts w:ascii="arial" w:eastAsia="arial" w:hAnsi="arial" w:cs="arial"/>
          <w:color w:val="000000"/>
          <w:sz w:val="20"/>
          <w:lang w:val="en-US" w:eastAsia="en-US" w:bidi="ar-SA"/>
        </w:rPr>
        <w:t xml:space="preserve"> at 495-497.</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672</w:t>
      </w:r>
      <w:r>
        <w:rPr>
          <w:rFonts w:ascii="arial" w:eastAsia="arial" w:hAnsi="arial" w:cs="arial"/>
          <w:color w:val="000000"/>
          <w:sz w:val="20"/>
          <w:lang w:val="en-US" w:eastAsia="en-US" w:bidi="ar-SA"/>
        </w:rPr>
        <w:t>  In my view, where the Courts are tasked with the role of determining the constitutionality of government conduct, it is even more important for there to be transparency so that the public can have confidence that the result was reached in fulfilment of the Court's duty to be independent and impartial.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673</w:t>
      </w:r>
      <w:r>
        <w:rPr>
          <w:rFonts w:ascii="arial" w:eastAsia="arial" w:hAnsi="arial" w:cs="arial"/>
          <w:color w:val="000000"/>
          <w:sz w:val="20"/>
          <w:lang w:val="en-US" w:eastAsia="en-US" w:bidi="ar-SA"/>
        </w:rPr>
        <w:t>  Mr. Straszak's role was central to this Court's conclusions as to whether or not the discussions he led with the BCTF amounted to good faith consultations. I have essentially found that due to Mr. Straszak's wider role in recommending broader political strategy to the government, he unfortunately lost sight of what should have been the goal of the Bill 28 discussions: addressing the repercussions of the Bill 28 Decision declaring legislation to be unconstitutional.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674</w:t>
      </w:r>
      <w:r>
        <w:rPr>
          <w:rFonts w:ascii="arial" w:eastAsia="arial" w:hAnsi="arial" w:cs="arial"/>
          <w:color w:val="000000"/>
          <w:sz w:val="20"/>
          <w:lang w:val="en-US" w:eastAsia="en-US" w:bidi="ar-SA"/>
        </w:rPr>
        <w:t>  Here, the members of the BCTF have a direct interest in the litigation. In order for the members of the BCTF to be informed critics of my conclusions reached in this case, especially in relation to the government's central argument that it consulted in good faith with the BCTF, it is necessary for the BCTF members to have access to the un-redacted written submissions of their counsel.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675</w:t>
      </w:r>
      <w:r>
        <w:rPr>
          <w:rFonts w:ascii="arial" w:eastAsia="arial" w:hAnsi="arial" w:cs="arial"/>
          <w:color w:val="000000"/>
          <w:sz w:val="20"/>
          <w:lang w:val="en-US" w:eastAsia="en-US" w:bidi="ar-SA"/>
        </w:rPr>
        <w:t>  The minimal salutary effects in protecting the Cabinet confidences alleged to exist here, which are far from proven, in my view are outweighed by the deleterious effects of not varying the confidentiality order to allow BCTF members to be informed of the written positions advanced by their counsel in this litigation.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676</w:t>
      </w:r>
      <w:r>
        <w:rPr>
          <w:rFonts w:ascii="arial" w:eastAsia="arial" w:hAnsi="arial" w:cs="arial"/>
          <w:color w:val="000000"/>
          <w:sz w:val="20"/>
          <w:lang w:val="en-US" w:eastAsia="en-US" w:bidi="ar-SA"/>
        </w:rPr>
        <w:t>  I therefore order that the previous production orders be varied to allow the BCTF to provide its un-redacted written submission to the BCTF members; such order to be stayed for a period of 31 days or such other time as the parties may agree to allow the time for any appeal from this judgment to be taken.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Conclusion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677</w:t>
      </w:r>
      <w:r>
        <w:rPr>
          <w:rFonts w:ascii="arial" w:eastAsia="arial" w:hAnsi="arial" w:cs="arial"/>
          <w:color w:val="000000"/>
          <w:sz w:val="20"/>
          <w:lang w:val="en-US" w:eastAsia="en-US" w:bidi="ar-SA"/>
        </w:rPr>
        <w:t>  The result of both the Bill 28 and Bill 22 Actions is that the Working Conditions clauses are returned to the collective agreement between the BCTF and BCPSEA as of July 1, 2002. The subject matter of the Working Conditions is a matter for collective bargaining between the BCTF and BCPSEA.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678</w:t>
      </w:r>
      <w:r>
        <w:rPr>
          <w:rFonts w:ascii="arial" w:eastAsia="arial" w:hAnsi="arial" w:cs="arial"/>
          <w:color w:val="000000"/>
          <w:sz w:val="20"/>
          <w:lang w:val="en-US" w:eastAsia="en-US" w:bidi="ar-SA"/>
        </w:rPr>
        <w:t xml:space="preserve">  The parties have been unable to point me to any other case where the present process has occurred: where legislation that was ruled unconstitutional because it interfered with rights guaranteed under the </w:t>
      </w:r>
      <w:r>
        <w:rPr>
          <w:rFonts w:ascii="arial" w:eastAsia="arial" w:hAnsi="arial" w:cs="arial"/>
          <w:i/>
          <w:color w:val="000000"/>
          <w:sz w:val="20"/>
          <w:lang w:val="en-US" w:eastAsia="en-US" w:bidi="ar-SA"/>
        </w:rPr>
        <w:t>Charter</w:t>
      </w:r>
      <w:r>
        <w:rPr>
          <w:rFonts w:ascii="arial" w:eastAsia="arial" w:hAnsi="arial" w:cs="arial"/>
          <w:color w:val="000000"/>
          <w:sz w:val="20"/>
          <w:lang w:val="en-US" w:eastAsia="en-US" w:bidi="ar-SA"/>
        </w:rPr>
        <w:t xml:space="preserve"> was re-enacted in substantially the same form and the government argued that the unconstitutionality was fixed or ameliorated by the fact of the government having "consulted" with the affected party and, or, by the fact that the government made one part of the legislation temporary.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679</w:t>
      </w:r>
      <w:r>
        <w:rPr>
          <w:rFonts w:ascii="arial" w:eastAsia="arial" w:hAnsi="arial" w:cs="arial"/>
          <w:color w:val="000000"/>
          <w:sz w:val="20"/>
          <w:lang w:val="en-US" w:eastAsia="en-US" w:bidi="ar-SA"/>
        </w:rPr>
        <w:t>  The outcome of this case means that teachers have once again had their right to collectively bargain over their working conditions restored. They have had certain language returned to their collective agreement retroactively. This does not guarantee that the language is clad in stone, as it can and likely will need to be the subject of ongoing collective bargaining.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680</w:t>
      </w:r>
      <w:r>
        <w:rPr>
          <w:rFonts w:ascii="arial" w:eastAsia="arial" w:hAnsi="arial" w:cs="arial"/>
          <w:color w:val="000000"/>
          <w:sz w:val="20"/>
          <w:lang w:val="en-US" w:eastAsia="en-US" w:bidi="ar-SA"/>
        </w:rPr>
        <w:t>  The government remains free to give guidance to the employer association in collective bargaining as to any fiscal and policy parameters of collective bargaining. However, there needs to be room for movement within those parameters to allow the workers to have meaningful influence over their employer.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681</w:t>
      </w:r>
      <w:r>
        <w:rPr>
          <w:rFonts w:ascii="arial" w:eastAsia="arial" w:hAnsi="arial" w:cs="arial"/>
          <w:color w:val="000000"/>
          <w:sz w:val="20"/>
          <w:lang w:val="en-US" w:eastAsia="en-US" w:bidi="ar-SA"/>
        </w:rPr>
        <w:t xml:space="preserve">  If collective bargaining reaches an impasse, a number of options remain available to government that are consistent with respecting the s. 2(d) </w:t>
      </w:r>
      <w:r>
        <w:rPr>
          <w:rFonts w:ascii="arial" w:eastAsia="arial" w:hAnsi="arial" w:cs="arial"/>
          <w:i/>
          <w:color w:val="000000"/>
          <w:sz w:val="20"/>
          <w:lang w:val="en-US" w:eastAsia="en-US" w:bidi="ar-SA"/>
        </w:rPr>
        <w:t>Charter</w:t>
      </w:r>
      <w:r>
        <w:rPr>
          <w:rFonts w:ascii="arial" w:eastAsia="arial" w:hAnsi="arial" w:cs="arial"/>
          <w:color w:val="000000"/>
          <w:sz w:val="20"/>
          <w:lang w:val="en-US" w:eastAsia="en-US" w:bidi="ar-SA"/>
        </w:rPr>
        <w:t xml:space="preserve"> rights of teachers, including mediation and arbitration.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682</w:t>
      </w:r>
      <w:r>
        <w:rPr>
          <w:rFonts w:ascii="arial" w:eastAsia="arial" w:hAnsi="arial" w:cs="arial"/>
          <w:color w:val="000000"/>
          <w:sz w:val="20"/>
          <w:lang w:val="en-US" w:eastAsia="en-US" w:bidi="ar-SA"/>
        </w:rPr>
        <w:t>  For clarity, the following additional declarations are made in the Bill 28 Action:</w:t>
      </w:r>
      <w:r>
        <w:rPr>
          <w:rFonts w:ascii="arial" w:eastAsia="arial" w:hAnsi="arial" w:cs="arial"/>
          <w:sz w:val="20"/>
          <w:lang w:val="en-US" w:eastAsia="en-US" w:bidi="ar-SA"/>
        </w:rPr>
        <w:cr/>
      </w:r>
    </w:p>
    <w:p>
      <w:pPr>
        <w:numPr>
          <w:numId w:val="13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as of April 13, 2012, the laws declared unconstitutional in the Bill 28 Decision were invalid from the date of their enactment;</w:t>
      </w:r>
    </w:p>
    <w:p>
      <w:pPr>
        <w:numPr>
          <w:numId w:val="13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no additional remedies are granted;</w:t>
      </w:r>
    </w:p>
    <w:p>
      <w:pPr>
        <w:numPr>
          <w:numId w:val="13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plaintiff is entitled to costs on scale C.</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683</w:t>
      </w:r>
      <w:r>
        <w:rPr>
          <w:rFonts w:ascii="arial" w:eastAsia="arial" w:hAnsi="arial" w:cs="arial"/>
          <w:color w:val="000000"/>
          <w:sz w:val="20"/>
          <w:lang w:val="en-US" w:eastAsia="en-US" w:bidi="ar-SA"/>
        </w:rPr>
        <w:t>  The following declarations and orders are made in the Bill 22 Action:</w:t>
      </w:r>
      <w:r>
        <w:rPr>
          <w:rFonts w:ascii="arial" w:eastAsia="arial" w:hAnsi="arial" w:cs="arial"/>
          <w:sz w:val="20"/>
          <w:lang w:val="en-US" w:eastAsia="en-US" w:bidi="ar-SA"/>
        </w:rPr>
        <w:cr/>
      </w:r>
    </w:p>
    <w:p>
      <w:pPr>
        <w:numPr>
          <w:numId w:val="13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s. 13 of the </w:t>
      </w:r>
      <w:r>
        <w:rPr>
          <w:rFonts w:ascii="arial" w:eastAsia="arial" w:hAnsi="arial" w:cs="arial"/>
          <w:i/>
          <w:color w:val="000000"/>
          <w:sz w:val="20"/>
          <w:lang w:val="en-US" w:eastAsia="en-US" w:bidi="ar-SA"/>
        </w:rPr>
        <w:t>EIA</w:t>
      </w:r>
      <w:r>
        <w:rPr>
          <w:rFonts w:ascii="arial" w:eastAsia="arial" w:hAnsi="arial" w:cs="arial"/>
          <w:color w:val="000000"/>
          <w:sz w:val="20"/>
          <w:lang w:val="en-US" w:eastAsia="en-US" w:bidi="ar-SA"/>
        </w:rPr>
        <w:t xml:space="preserve">, Bill 22, to the extent it re-enacted the prohibitions on collective bargaining set out in s. 27(3)(d) to (j) of the </w:t>
      </w:r>
      <w:r>
        <w:rPr>
          <w:rFonts w:ascii="arial" w:eastAsia="arial" w:hAnsi="arial" w:cs="arial"/>
          <w:i/>
          <w:color w:val="000000"/>
          <w:sz w:val="20"/>
          <w:lang w:val="en-US" w:eastAsia="en-US" w:bidi="ar-SA"/>
        </w:rPr>
        <w:t>School Act</w:t>
      </w:r>
      <w:r>
        <w:rPr>
          <w:rFonts w:ascii="arial" w:eastAsia="arial" w:hAnsi="arial" w:cs="arial"/>
          <w:color w:val="000000"/>
          <w:sz w:val="20"/>
          <w:lang w:val="en-US" w:eastAsia="en-US" w:bidi="ar-SA"/>
        </w:rPr>
        <w:t>, was unconstitutional and invalid from the date it came into force;</w:t>
      </w:r>
    </w:p>
    <w:p>
      <w:pPr>
        <w:numPr>
          <w:numId w:val="13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defendant must pay the plaintiff $2 million in damages;</w:t>
      </w:r>
    </w:p>
    <w:p>
      <w:pPr>
        <w:numPr>
          <w:numId w:val="14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ss. 8 and 24 of the </w:t>
      </w:r>
      <w:r>
        <w:rPr>
          <w:rFonts w:ascii="arial" w:eastAsia="arial" w:hAnsi="arial" w:cs="arial"/>
          <w:i/>
          <w:color w:val="000000"/>
          <w:sz w:val="20"/>
          <w:lang w:val="en-US" w:eastAsia="en-US" w:bidi="ar-SA"/>
        </w:rPr>
        <w:t>EIA</w:t>
      </w:r>
      <w:r>
        <w:rPr>
          <w:rFonts w:ascii="arial" w:eastAsia="arial" w:hAnsi="arial" w:cs="arial"/>
          <w:color w:val="000000"/>
          <w:sz w:val="20"/>
          <w:lang w:val="en-US" w:eastAsia="en-US" w:bidi="ar-SA"/>
        </w:rPr>
        <w:t xml:space="preserve"> are unconstitutional and invalid from the date they came into force;</w:t>
      </w:r>
    </w:p>
    <w:p>
      <w:pPr>
        <w:numPr>
          <w:numId w:val="14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plaintiff is entitled to costs on scale C.</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S.A. GRIFFIN J.</w:t>
      </w:r>
    </w:p>
    <w:p>
      <w:pPr>
        <w:spacing w:line="260" w:lineRule="atLeast"/>
        <w:jc w:val="center"/>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 * * *</w:t>
      </w:r>
    </w:p>
    <w:p>
      <w:pPr>
        <w:spacing w:line="260" w:lineRule="atLeast"/>
        <w:jc w:val="center"/>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Appendix A</w:t>
      </w:r>
    </w:p>
    <w:p>
      <w:pPr>
        <w:spacing w:line="260" w:lineRule="atLeast"/>
        <w:jc w:val="center"/>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BILL 22 -- 2012</w:t>
      </w:r>
    </w:p>
    <w:p>
      <w:pPr>
        <w:spacing w:line="260" w:lineRule="atLeast"/>
        <w:jc w:val="center"/>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i/>
          <w:color w:val="000000"/>
          <w:sz w:val="20"/>
          <w:lang w:val="en-US" w:eastAsia="en-US" w:bidi="ar-SA"/>
        </w:rPr>
        <w:t>EDUCATION IMPROVEMENT ACT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i/>
          <w:color w:val="000000"/>
          <w:sz w:val="20"/>
          <w:lang w:val="en-US" w:eastAsia="en-US" w:bidi="ar-SA"/>
        </w:rPr>
        <w:t>Part 2 -- Education Statutes Amendments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i/>
          <w:color w:val="000000"/>
          <w:sz w:val="20"/>
          <w:lang w:val="en-US" w:eastAsia="en-US" w:bidi="ar-SA"/>
        </w:rPr>
        <w:t>Education Services Collective Agreement Act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i/>
          <w:color w:val="000000"/>
          <w:sz w:val="20"/>
          <w:lang w:val="en-US" w:eastAsia="en-US" w:bidi="ar-SA"/>
        </w:rPr>
        <w:t>8</w:t>
      </w:r>
      <w:r>
        <w:rPr>
          <w:rFonts w:ascii="arial" w:eastAsia="arial" w:hAnsi="arial" w:cs="arial"/>
          <w:color w:val="000000"/>
          <w:sz w:val="20"/>
          <w:lang w:val="en-US" w:eastAsia="en-US" w:bidi="ar-SA"/>
        </w:rPr>
        <w:t xml:space="preserve"> </w:t>
      </w:r>
      <w:r>
        <w:rPr>
          <w:rFonts w:ascii="arial" w:eastAsia="arial" w:hAnsi="arial" w:cs="arial"/>
          <w:b/>
          <w:i/>
          <w:color w:val="000000"/>
          <w:sz w:val="20"/>
          <w:lang w:val="en-US" w:eastAsia="en-US" w:bidi="ar-SA"/>
        </w:rPr>
        <w:t xml:space="preserve">Section 2(1)(a)(v) of the Education Services Collective Agreement Act, </w:t>
      </w:r>
      <w:r>
        <w:rPr>
          <w:rFonts w:ascii="arial" w:eastAsia="arial" w:hAnsi="arial" w:cs="arial"/>
          <w:b/>
          <w:i/>
          <w:color w:val="000000"/>
          <w:sz w:val="20"/>
          <w:lang w:val="en-US" w:eastAsia="en-US" w:bidi="ar-SA"/>
        </w:rPr>
        <w:t>S.B.C. 2002, c. 1</w:t>
      </w:r>
      <w:r>
        <w:rPr>
          <w:rFonts w:ascii="arial" w:eastAsia="arial" w:hAnsi="arial" w:cs="arial"/>
          <w:b/>
          <w:i/>
          <w:color w:val="000000"/>
          <w:sz w:val="20"/>
          <w:lang w:val="en-US" w:eastAsia="en-US" w:bidi="ar-SA"/>
        </w:rPr>
        <w:t xml:space="preserve">, is repealed and the following substituted: </w:t>
      </w:r>
      <w:r>
        <w:rPr>
          <w:rFonts w:ascii="arial" w:eastAsia="arial" w:hAnsi="arial" w:cs="arial"/>
          <w:sz w:val="20"/>
          <w:lang w:val="en-US" w:eastAsia="en-US" w:bidi="ar-SA"/>
        </w:rPr>
        <w:cr/>
      </w:r>
    </w:p>
    <w:p>
      <w:pPr>
        <w:numPr>
          <w:numId w:val="14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effective July 1, 2002,</w:t>
      </w:r>
    </w:p>
    <w:p>
      <w:pPr>
        <w:numPr>
          <w:numId w:val="14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deleting Article D.1 entitled "Staffing Formula -- Non-Enrolling/English as a Second Language Teachers",</w:t>
      </w:r>
    </w:p>
    <w:p>
      <w:pPr>
        <w:numPr>
          <w:numId w:val="14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deleting Article D.2 entitled "K-3 Primary Class Size",</w:t>
      </w:r>
    </w:p>
    <w:p>
      <w:pPr>
        <w:numPr>
          <w:numId w:val="14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deleting sections D.1, D.2 and D.3 of Appendix 1 of Letter of Understanding No. 1, dated May 31, 1995,</w:t>
      </w:r>
    </w:p>
    <w:p>
      <w:pPr>
        <w:numPr>
          <w:numId w:val="14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in Addendum C to Letter of Understanding No. 1, which addendum is dated April 23, 1997, deleting the heading "Professional Development and Teacher Assistants" and substituting "Professional Development" and deleting the heading "Teacher Assistants:" and the paragraph immediately under that heading,</w:t>
      </w:r>
    </w:p>
    <w:p>
      <w:pPr>
        <w:numPr>
          <w:numId w:val="14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deleting paragraphs 1 to 5 and everything after paragraph 8 of Letter of Understanding No. 3, dated June 4, 1999,</w:t>
      </w:r>
    </w:p>
    <w:p>
      <w:pPr>
        <w:numPr>
          <w:numId w:val="14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deleting Letter of Understanding No. 4, dated June 22, 1999,</w:t>
      </w:r>
    </w:p>
    <w:p>
      <w:pPr>
        <w:numPr>
          <w:numId w:val="14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deleting Letter of Understanding No. 5, dated June 19, 2000, and</w:t>
      </w:r>
    </w:p>
    <w:p>
      <w:pPr>
        <w:numPr>
          <w:numId w:val="15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in respect of an agreement referred to in Column A of the document entitled "Teachers' Collective Agreement Deletions" tabled in the Legislative Assembly on the date of First Reading of the </w:t>
      </w:r>
      <w:r>
        <w:rPr>
          <w:rFonts w:ascii="arial" w:eastAsia="arial" w:hAnsi="arial" w:cs="arial"/>
          <w:i/>
          <w:color w:val="000000"/>
          <w:sz w:val="20"/>
          <w:lang w:val="en-US" w:eastAsia="en-US" w:bidi="ar-SA"/>
        </w:rPr>
        <w:t>Education Services Collective Agreement Amendment Act, 2004</w:t>
      </w:r>
      <w:r>
        <w:rPr>
          <w:rFonts w:ascii="arial" w:eastAsia="arial" w:hAnsi="arial" w:cs="arial"/>
          <w:color w:val="000000"/>
          <w:sz w:val="20"/>
          <w:lang w:val="en-US" w:eastAsia="en-US" w:bidi="ar-SA"/>
        </w:rPr>
        <w:t>, deleting those words, phrases and provisions, or parts of provisions, as set out in the same row in Column B of that document;</w:t>
      </w:r>
      <w:r>
        <w:rPr>
          <w:rFonts w:ascii="arial" w:eastAsia="arial" w:hAnsi="arial" w:cs="arial"/>
          <w:b/>
          <w:i/>
          <w:color w:val="000000"/>
          <w:sz w:val="20"/>
          <w:lang w:val="en-US" w:eastAsia="en-US" w:bidi="ar-SA"/>
        </w:rPr>
        <w:t xml:space="preserve"> .</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i/>
          <w:color w:val="000000"/>
          <w:sz w:val="20"/>
          <w:lang w:val="en-US" w:eastAsia="en-US" w:bidi="ar-SA"/>
        </w:rPr>
        <w:t>School Act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i/>
          <w:color w:val="000000"/>
          <w:sz w:val="20"/>
          <w:lang w:val="en-US" w:eastAsia="en-US" w:bidi="ar-SA"/>
        </w:rPr>
        <w:t>13</w:t>
      </w:r>
      <w:r>
        <w:rPr>
          <w:rFonts w:ascii="arial" w:eastAsia="arial" w:hAnsi="arial" w:cs="arial"/>
          <w:color w:val="000000"/>
          <w:sz w:val="20"/>
          <w:lang w:val="en-US" w:eastAsia="en-US" w:bidi="ar-SA"/>
        </w:rPr>
        <w:t xml:space="preserve"> </w:t>
      </w:r>
      <w:r>
        <w:rPr>
          <w:rFonts w:ascii="arial" w:eastAsia="arial" w:hAnsi="arial" w:cs="arial"/>
          <w:b/>
          <w:i/>
          <w:color w:val="000000"/>
          <w:sz w:val="20"/>
          <w:lang w:val="en-US" w:eastAsia="en-US" w:bidi="ar-SA"/>
        </w:rPr>
        <w:t xml:space="preserve">Section 27 is repealed and the following substituted: </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Terms and conditions of teachers' employment</w:t>
      </w:r>
    </w:p>
    <w:p>
      <w:pPr>
        <w:spacing w:before="120"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and restricted scope of bargaining</w:t>
      </w:r>
    </w:p>
    <w:p>
      <w:pPr>
        <w:spacing w:before="120"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27</w:t>
      </w:r>
      <w:r>
        <w:rPr>
          <w:rFonts w:ascii="arial" w:eastAsia="arial" w:hAnsi="arial" w:cs="arial"/>
          <w:color w:val="000000"/>
          <w:sz w:val="20"/>
          <w:lang w:val="en-US" w:eastAsia="en-US" w:bidi="ar-SA"/>
        </w:rPr>
        <w:t xml:space="preserve"> (1) Despite any agreement to the contrary, the terms and conditions of a contract of employment between a board and a teacher are</w:t>
      </w:r>
    </w:p>
    <w:p>
      <w:pPr>
        <w:numPr>
          <w:numId w:val="15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provisions of this Act and the regulations,</w:t>
      </w:r>
    </w:p>
    <w:p>
      <w:pPr>
        <w:numPr>
          <w:numId w:val="15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terms and conditions, not inconsistent with this Act and the regulations, of a teachers' collective agreement, and</w:t>
      </w:r>
    </w:p>
    <w:p>
      <w:pPr>
        <w:numPr>
          <w:numId w:val="15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terms and conditions, not inconsistent with paragraphs (a) and (b), agreed between the board and the teacher.</w:t>
      </w:r>
    </w:p>
    <w:p>
      <w:pPr>
        <w:numPr>
          <w:numId w:val="15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 provision of an agreement referred to in subsection (1) (b) excluding or purporting to exclude the provisions of this Act or the regulations is void.</w:t>
      </w:r>
    </w:p>
    <w:p>
      <w:pPr>
        <w:numPr>
          <w:numId w:val="15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u w:val="single"/>
          <w:lang w:val="en-US" w:eastAsia="en-US" w:bidi="ar-SA"/>
        </w:rPr>
        <w:t>There must not be included in a teachers' collective agreement any provision</w:t>
      </w:r>
    </w:p>
    <w:p>
      <w:pPr>
        <w:numPr>
          <w:numId w:val="15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regulating the selection and appointment of teachers under this Act, the courses of study, the program of studies or the professional methods and techniques employed by a teacher,</w:t>
      </w:r>
    </w:p>
    <w:p>
      <w:pPr>
        <w:numPr>
          <w:numId w:val="15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restricting or regulating the assignment by a board of teaching duties to principals, vice principals or directors of instruction,</w:t>
      </w:r>
    </w:p>
    <w:p>
      <w:pPr>
        <w:numPr>
          <w:numId w:val="15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limiting a board's power to employ persons other than teachers to assist teachers in the carrying out of their responsibilities under this Act,</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u w:val="single"/>
          <w:lang w:val="en-US" w:eastAsia="en-US" w:bidi="ar-SA"/>
        </w:rPr>
        <w:t>(d) restricting or regulating a board's power to establish class size and class composition,</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u w:val="single"/>
          <w:lang w:val="en-US" w:eastAsia="en-US" w:bidi="ar-SA"/>
        </w:rPr>
        <w:t>(e) establishing or imposing class size limits, requirements respecting average class sizes, or methods for determining class size limits or average class sizes,</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u w:val="single"/>
          <w:lang w:val="en-US" w:eastAsia="en-US" w:bidi="ar-SA"/>
        </w:rPr>
        <w:t>(f) restricting or regulating a board's power to assign a student to a class, course or program,</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u w:val="single"/>
          <w:lang w:val="en-US" w:eastAsia="en-US" w:bidi="ar-SA"/>
        </w:rPr>
        <w:t>(g) restricting or regulating a board's power to determine staffing levels or ratios or the number of teachers or other staff employed by the board,</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u w:val="single"/>
          <w:lang w:val="en-US" w:eastAsia="en-US" w:bidi="ar-SA"/>
        </w:rPr>
        <w:t>(h) establishing minimum numbers of teachers or other staff,</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u w:val="single"/>
          <w:lang w:val="en-US" w:eastAsia="en-US" w:bidi="ar-SA"/>
        </w:rPr>
        <w:t>(i) restricting or regulating a board's power to determine the number of students assigned to a teacher, or</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u w:val="single"/>
          <w:lang w:val="en-US" w:eastAsia="en-US" w:bidi="ar-SA"/>
        </w:rPr>
        <w:t>(j) establishing maximum or minimum case loads, staffing loads or teaching loads.</w:t>
      </w:r>
    </w:p>
    <w:p>
      <w:pPr>
        <w:numPr>
          <w:numId w:val="15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Subsection (3) does not prevent a teachers' collective agreement from containing a provision respecting hiring preferences for teachers who have previously been employed by the board.</w:t>
      </w:r>
    </w:p>
    <w:p>
      <w:pPr>
        <w:numPr>
          <w:numId w:val="15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 provision of a teachers' collective agreement that conflicts or is inconsistent with subsection (3) is void to the extent of the conflict or inconsistency.</w:t>
      </w:r>
    </w:p>
    <w:p>
      <w:pPr>
        <w:numPr>
          <w:numId w:val="15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 provision of a teachers' collective agreement that</w:t>
      </w:r>
    </w:p>
    <w:p>
      <w:pPr>
        <w:numPr>
          <w:numId w:val="15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requires the employers' association to negotiate with the Provincial union, as defined in the </w:t>
      </w:r>
      <w:r>
        <w:rPr>
          <w:rFonts w:ascii="arial" w:eastAsia="arial" w:hAnsi="arial" w:cs="arial"/>
          <w:i/>
          <w:color w:val="000000"/>
          <w:sz w:val="20"/>
          <w:lang w:val="en-US" w:eastAsia="en-US" w:bidi="ar-SA"/>
        </w:rPr>
        <w:t>Public Education Labour Relations Act</w:t>
      </w:r>
      <w:r>
        <w:rPr>
          <w:rFonts w:ascii="arial" w:eastAsia="arial" w:hAnsi="arial" w:cs="arial"/>
          <w:color w:val="000000"/>
          <w:sz w:val="20"/>
          <w:lang w:val="en-US" w:eastAsia="en-US" w:bidi="ar-SA"/>
        </w:rPr>
        <w:t>, to replace provisions of the agreement that are void as a result of subsection (5), or</w:t>
      </w:r>
    </w:p>
    <w:p>
      <w:pPr>
        <w:numPr>
          <w:numId w:val="15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authorizes or requires the Labour Relations Board, an arbitrator or any person to replace, amend or modify provisions of the agreement that are void as a result of subsection (5),</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is void to the extent that the provision relates to a matter described in subsection (3).</w:t>
      </w:r>
    </w:p>
    <w:p>
      <w:pPr>
        <w:numPr>
          <w:numId w:val="15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Subsection (3) (d) to (j) is repealed on June 30, 2013.</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[Emphasis on duplicative unconstitutional provisions.]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Retroactive effect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w:t>
      </w:r>
      <w:r>
        <w:rPr>
          <w:rFonts w:ascii="arial" w:eastAsia="arial" w:hAnsi="arial" w:cs="arial"/>
          <w:color w:val="000000"/>
          <w:sz w:val="20"/>
          <w:lang w:val="en-US" w:eastAsia="en-US" w:bidi="ar-SA"/>
        </w:rPr>
        <w:t xml:space="preserve"> Despite any decision of a court to the contrary made before or after the coming into force of this section, words, phrases, provisions and parts of provisions deleted, under section 8, from a collective agreement between the British Columbia Teachers' Federation and the British Columbia Public School Employers' Association must not for any purpose, including any suit or arbitration commenced or continued before or after the coming into force of this section, be considered part of that collective agreement on or after July 1, 2002.</w:t>
      </w:r>
      <w:r>
        <w:rPr>
          <w:rFonts w:ascii="arial" w:eastAsia="arial" w:hAnsi="arial" w:cs="arial"/>
          <w:sz w:val="20"/>
          <w:lang w:val="en-US" w:eastAsia="en-US" w:bidi="ar-SA"/>
        </w:rPr>
        <w:cr/>
      </w:r>
    </w:p>
    <w:p>
      <w:pPr>
        <w:spacing w:after="240"/>
        <w:rPr>
          <w:rFonts w:ascii="arial" w:eastAsia="arial" w:hAnsi="arial" w:cs="arial"/>
          <w:sz w:val="20"/>
          <w:lang w:val="en-US" w:eastAsia="en-US" w:bidi="ar-SA"/>
        </w:rPr>
      </w:pPr>
      <w:r>
        <w:pict>
          <v:line id="_x0000_s1233" style="position:absolute;z-index:251890688" from="0,15pt" to="180pt,15pt" strokecolor="#bcbeb0" strokeweight="0.5pt">
            <v:stroke linestyle="single"/>
          </v:line>
        </w:pict>
      </w:r>
    </w:p>
    <w:p>
      <w:pPr>
        <w:rPr>
          <w:rFonts w:ascii="arial" w:eastAsia="arial" w:hAnsi="arial" w:cs="arial"/>
          <w:sz w:val="20"/>
          <w:lang w:val="en-US" w:eastAsia="en-US" w:bidi="ar-SA"/>
        </w:rPr>
      </w:pPr>
    </w:p>
    <w:p>
      <w:pPr>
        <w:spacing w:before="120" w:after="20" w:line="240" w:lineRule="atLeast"/>
        <w:ind w:left="720" w:hanging="360"/>
        <w:jc w:val="both"/>
        <w:rPr>
          <w:rFonts w:ascii="arial" w:eastAsia="arial" w:hAnsi="arial" w:cs="arial"/>
          <w:sz w:val="20"/>
          <w:lang w:val="en-US" w:eastAsia="en-US" w:bidi="ar-SA"/>
        </w:rPr>
      </w:pPr>
      <w:bookmarkStart w:id="287" w:name="Forward_fnref_fnr-1"/>
      <w:hyperlink w:anchor="Backward_fnref_fnr-1" w:history="1">
        <w:r>
          <w:rPr>
            <w:rFonts w:ascii="arial" w:eastAsia="arial" w:hAnsi="arial" w:cs="arial"/>
            <w:b/>
            <w:color w:val="BE161D"/>
            <w:sz w:val="18"/>
            <w:shd w:val="clear" w:color="auto" w:fill="FFFFFF"/>
            <w:lang w:val="en-US" w:eastAsia="en-US" w:bidi="ar-SA"/>
          </w:rPr>
          <w:t>1</w:t>
        </w:r>
      </w:hyperlink>
      <w:bookmarkEnd w:id="287"/>
      <w:r>
        <w:rPr>
          <w:rFonts w:ascii="arial" w:eastAsia="arial" w:hAnsi="arial" w:cs="arial"/>
          <w:sz w:val="20"/>
          <w:lang w:val="en-US" w:eastAsia="en-US" w:bidi="ar-SA"/>
        </w:rPr>
        <w:tab/>
      </w:r>
      <w:r>
        <w:rPr>
          <w:rFonts w:ascii="arial" w:eastAsia="arial" w:hAnsi="arial" w:cs="arial"/>
          <w:color w:val="6D6E71"/>
          <w:sz w:val="18"/>
          <w:lang w:val="en-US" w:eastAsia="en-US" w:bidi="ar-SA"/>
        </w:rPr>
        <w:t xml:space="preserve">This aspect of the legislation found unconstitutional in the Bill 28 Action was s. 5 of the </w:t>
      </w:r>
      <w:r>
        <w:rPr>
          <w:rFonts w:ascii="arial" w:eastAsia="arial" w:hAnsi="arial" w:cs="arial"/>
          <w:i/>
          <w:color w:val="6D6E71"/>
          <w:sz w:val="18"/>
          <w:lang w:val="en-US" w:eastAsia="en-US" w:bidi="ar-SA"/>
        </w:rPr>
        <w:t>Education Services Collective Agreement Amendment Act, 2004</w:t>
      </w:r>
      <w:r>
        <w:rPr>
          <w:rFonts w:ascii="arial" w:eastAsia="arial" w:hAnsi="arial" w:cs="arial"/>
          <w:color w:val="6D6E71"/>
          <w:sz w:val="18"/>
          <w:lang w:val="en-US" w:eastAsia="en-US" w:bidi="ar-SA"/>
        </w:rPr>
        <w:t>, S.B.C. 2004, c. 16 [</w:t>
      </w:r>
      <w:r>
        <w:rPr>
          <w:rFonts w:ascii="arial" w:eastAsia="arial" w:hAnsi="arial" w:cs="arial"/>
          <w:i/>
          <w:color w:val="6D6E71"/>
          <w:sz w:val="18"/>
          <w:lang w:val="en-US" w:eastAsia="en-US" w:bidi="ar-SA"/>
        </w:rPr>
        <w:t>Amendment Act</w:t>
      </w:r>
      <w:r>
        <w:rPr>
          <w:rFonts w:ascii="arial" w:eastAsia="arial" w:hAnsi="arial" w:cs="arial"/>
          <w:color w:val="6D6E71"/>
          <w:sz w:val="18"/>
          <w:lang w:val="en-US" w:eastAsia="en-US" w:bidi="ar-SA"/>
        </w:rPr>
        <w:t xml:space="preserve">] which worked together with s. 1 to delete terms of the parties' collective agreement retroactive to July 1, 2002; following the Bill 28 Decision this was repealed and then reinstated in 2012 by ss. 8, 9 and 24 of Bill 22, the </w:t>
      </w:r>
      <w:r>
        <w:rPr>
          <w:rFonts w:ascii="arial" w:eastAsia="arial" w:hAnsi="arial" w:cs="arial"/>
          <w:i/>
          <w:color w:val="6D6E71"/>
          <w:sz w:val="18"/>
          <w:lang w:val="en-US" w:eastAsia="en-US" w:bidi="ar-SA"/>
        </w:rPr>
        <w:t>Education Improvement Act</w:t>
      </w:r>
      <w:r>
        <w:rPr>
          <w:rFonts w:ascii="arial" w:eastAsia="arial" w:hAnsi="arial" w:cs="arial"/>
          <w:color w:val="6D6E71"/>
          <w:sz w:val="18"/>
          <w:lang w:val="en-US" w:eastAsia="en-US" w:bidi="ar-SA"/>
        </w:rPr>
        <w:t xml:space="preserve">, </w:t>
      </w:r>
      <w:r>
        <w:rPr>
          <w:rFonts w:ascii="arial" w:eastAsia="arial" w:hAnsi="arial" w:cs="arial"/>
          <w:i/>
          <w:color w:val="6D6E71"/>
          <w:sz w:val="18"/>
          <w:lang w:val="en-US" w:eastAsia="en-US" w:bidi="ar-SA"/>
        </w:rPr>
        <w:t>S.B.C. 2012, c. 3</w:t>
      </w:r>
      <w:r>
        <w:rPr>
          <w:rFonts w:ascii="arial" w:eastAsia="arial" w:hAnsi="arial" w:cs="arial"/>
          <w:color w:val="6D6E71"/>
          <w:sz w:val="18"/>
          <w:lang w:val="en-US" w:eastAsia="en-US" w:bidi="ar-SA"/>
        </w:rPr>
        <w:t xml:space="preserve"> [</w:t>
      </w:r>
      <w:r>
        <w:rPr>
          <w:rFonts w:ascii="arial" w:eastAsia="arial" w:hAnsi="arial" w:cs="arial"/>
          <w:i/>
          <w:color w:val="6D6E71"/>
          <w:sz w:val="18"/>
          <w:lang w:val="en-US" w:eastAsia="en-US" w:bidi="ar-SA"/>
        </w:rPr>
        <w:t>EIA</w:t>
      </w:r>
      <w:r>
        <w:rPr>
          <w:rFonts w:ascii="arial" w:eastAsia="arial" w:hAnsi="arial" w:cs="arial"/>
          <w:color w:val="6D6E71"/>
          <w:sz w:val="18"/>
          <w:lang w:val="en-US" w:eastAsia="en-US" w:bidi="ar-SA"/>
        </w:rPr>
        <w:t xml:space="preserve"> .</w:t>
      </w:r>
    </w:p>
    <w:p>
      <w:pPr>
        <w:spacing w:before="120" w:after="20" w:line="240" w:lineRule="atLeast"/>
        <w:ind w:left="720" w:hanging="360"/>
        <w:jc w:val="both"/>
        <w:rPr>
          <w:rFonts w:ascii="arial" w:eastAsia="arial" w:hAnsi="arial" w:cs="arial"/>
          <w:sz w:val="20"/>
          <w:lang w:val="en-US" w:eastAsia="en-US" w:bidi="ar-SA"/>
        </w:rPr>
      </w:pPr>
      <w:bookmarkStart w:id="288" w:name="Forward_fnref_fnr-2"/>
      <w:hyperlink w:anchor="Backward_fnref_fnr-2" w:history="1">
        <w:r>
          <w:rPr>
            <w:rFonts w:ascii="arial" w:eastAsia="arial" w:hAnsi="arial" w:cs="arial"/>
            <w:b/>
            <w:color w:val="BE161D"/>
            <w:sz w:val="18"/>
            <w:shd w:val="clear" w:color="auto" w:fill="FFFFFF"/>
            <w:lang w:val="en-US" w:eastAsia="en-US" w:bidi="ar-SA"/>
          </w:rPr>
          <w:t>2</w:t>
        </w:r>
      </w:hyperlink>
      <w:bookmarkEnd w:id="288"/>
      <w:r>
        <w:rPr>
          <w:rFonts w:ascii="arial" w:eastAsia="arial" w:hAnsi="arial" w:cs="arial"/>
          <w:sz w:val="20"/>
          <w:lang w:val="en-US" w:eastAsia="en-US" w:bidi="ar-SA"/>
        </w:rPr>
        <w:tab/>
      </w:r>
      <w:r>
        <w:rPr>
          <w:rFonts w:ascii="arial" w:eastAsia="arial" w:hAnsi="arial" w:cs="arial"/>
          <w:color w:val="6D6E71"/>
          <w:sz w:val="18"/>
          <w:lang w:val="en-US" w:eastAsia="en-US" w:bidi="ar-SA"/>
        </w:rPr>
        <w:t xml:space="preserve">This aspect of the legislation found unconstitutional in the Bill 28 Action was s. 8 of </w:t>
      </w:r>
      <w:r>
        <w:rPr>
          <w:rFonts w:ascii="arial" w:eastAsia="arial" w:hAnsi="arial" w:cs="arial"/>
          <w:i/>
          <w:color w:val="6D6E71"/>
          <w:sz w:val="18"/>
          <w:lang w:val="en-US" w:eastAsia="en-US" w:bidi="ar-SA"/>
        </w:rPr>
        <w:t>Public Education Flexibility and Choice Act</w:t>
      </w:r>
      <w:r>
        <w:rPr>
          <w:rFonts w:ascii="arial" w:eastAsia="arial" w:hAnsi="arial" w:cs="arial"/>
          <w:color w:val="6D6E71"/>
          <w:sz w:val="18"/>
          <w:lang w:val="en-US" w:eastAsia="en-US" w:bidi="ar-SA"/>
        </w:rPr>
        <w:t xml:space="preserve">, </w:t>
      </w:r>
      <w:hyperlink r:id="rId877" w:history="1">
        <w:r>
          <w:rPr>
            <w:rFonts w:ascii="arial" w:eastAsia="arial" w:hAnsi="arial" w:cs="arial"/>
            <w:i/>
            <w:color w:val="0077CC"/>
            <w:sz w:val="18"/>
            <w:u w:val="single"/>
            <w:shd w:val="clear" w:color="auto" w:fill="FFFFFF"/>
            <w:lang w:val="en-US" w:eastAsia="en-US" w:bidi="ar-SA"/>
          </w:rPr>
          <w:t>S.B.C. 2002, c. 3</w:t>
        </w:r>
      </w:hyperlink>
      <w:r>
        <w:rPr>
          <w:rFonts w:ascii="arial" w:eastAsia="arial" w:hAnsi="arial" w:cs="arial"/>
          <w:color w:val="6D6E71"/>
          <w:sz w:val="18"/>
          <w:lang w:val="en-US" w:eastAsia="en-US" w:bidi="ar-SA"/>
        </w:rPr>
        <w:t xml:space="preserve"> [</w:t>
      </w:r>
      <w:r>
        <w:rPr>
          <w:rFonts w:ascii="arial" w:eastAsia="arial" w:hAnsi="arial" w:cs="arial"/>
          <w:i/>
          <w:color w:val="6D6E71"/>
          <w:sz w:val="18"/>
          <w:lang w:val="en-US" w:eastAsia="en-US" w:bidi="ar-SA"/>
        </w:rPr>
        <w:t>PEFCA</w:t>
      </w:r>
      <w:r>
        <w:rPr>
          <w:rFonts w:ascii="arial" w:eastAsia="arial" w:hAnsi="arial" w:cs="arial"/>
          <w:color w:val="6D6E71"/>
          <w:sz w:val="18"/>
          <w:lang w:val="en-US" w:eastAsia="en-US" w:bidi="ar-SA"/>
        </w:rPr>
        <w:t xml:space="preserve">]. which amended s. 27(3)(d) to (j) of the </w:t>
      </w:r>
      <w:r>
        <w:rPr>
          <w:rFonts w:ascii="arial" w:eastAsia="arial" w:hAnsi="arial" w:cs="arial"/>
          <w:i/>
          <w:color w:val="6D6E71"/>
          <w:sz w:val="18"/>
          <w:lang w:val="en-US" w:eastAsia="en-US" w:bidi="ar-SA"/>
        </w:rPr>
        <w:t>School Act</w:t>
      </w:r>
      <w:r>
        <w:rPr>
          <w:rFonts w:ascii="arial" w:eastAsia="arial" w:hAnsi="arial" w:cs="arial"/>
          <w:color w:val="6D6E71"/>
          <w:sz w:val="18"/>
          <w:lang w:val="en-US" w:eastAsia="en-US" w:bidi="ar-SA"/>
        </w:rPr>
        <w:t xml:space="preserve"> to prohibit collective bargaining on certain Working Conditions; following the Bill 28 Decision this was repealed and then reinstated in 2012 by s. 13 of Bill 22, the </w:t>
      </w:r>
      <w:r>
        <w:rPr>
          <w:rFonts w:ascii="arial" w:eastAsia="arial" w:hAnsi="arial" w:cs="arial"/>
          <w:i/>
          <w:color w:val="6D6E71"/>
          <w:sz w:val="18"/>
          <w:lang w:val="en-US" w:eastAsia="en-US" w:bidi="ar-SA"/>
        </w:rPr>
        <w:t>Education Improvement Act</w:t>
      </w:r>
      <w:r>
        <w:rPr>
          <w:rFonts w:ascii="arial" w:eastAsia="arial" w:hAnsi="arial" w:cs="arial"/>
          <w:color w:val="6D6E71"/>
          <w:sz w:val="18"/>
          <w:lang w:val="en-US" w:eastAsia="en-US" w:bidi="ar-SA"/>
        </w:rPr>
        <w:t xml:space="preserve">, but it provided that the reinstated bargaining prohibition would be repealed on June 30, 2013, pursuant to new s. 27(7) of the </w:t>
      </w:r>
      <w:r>
        <w:rPr>
          <w:rFonts w:ascii="arial" w:eastAsia="arial" w:hAnsi="arial" w:cs="arial"/>
          <w:i/>
          <w:color w:val="6D6E71"/>
          <w:sz w:val="18"/>
          <w:lang w:val="en-US" w:eastAsia="en-US" w:bidi="ar-SA"/>
        </w:rPr>
        <w:t>School Act</w:t>
      </w:r>
      <w:r>
        <w:rPr>
          <w:rFonts w:ascii="arial" w:eastAsia="arial" w:hAnsi="arial" w:cs="arial"/>
          <w:color w:val="6D6E71"/>
          <w:sz w:val="18"/>
          <w:lang w:val="en-US" w:eastAsia="en-US" w:bidi="ar-SA"/>
        </w:rPr>
        <w:t>.</w:t>
      </w:r>
    </w:p>
    <w:p>
      <w:pPr>
        <w:spacing w:before="120" w:after="20" w:line="240" w:lineRule="atLeast"/>
        <w:ind w:left="720" w:hanging="360"/>
        <w:jc w:val="both"/>
        <w:rPr>
          <w:rFonts w:ascii="arial" w:eastAsia="arial" w:hAnsi="arial" w:cs="arial"/>
          <w:sz w:val="20"/>
          <w:lang w:val="en-US" w:eastAsia="en-US" w:bidi="ar-SA"/>
        </w:rPr>
      </w:pPr>
      <w:bookmarkStart w:id="289" w:name="Forward_fnref_fnr-3"/>
      <w:hyperlink w:anchor="Backward_fnref_fnr-3" w:history="1">
        <w:r>
          <w:rPr>
            <w:rFonts w:ascii="arial" w:eastAsia="arial" w:hAnsi="arial" w:cs="arial"/>
            <w:b/>
            <w:color w:val="BE161D"/>
            <w:sz w:val="18"/>
            <w:shd w:val="clear" w:color="auto" w:fill="FFFFFF"/>
            <w:lang w:val="en-US" w:eastAsia="en-US" w:bidi="ar-SA"/>
          </w:rPr>
          <w:t>3</w:t>
        </w:r>
      </w:hyperlink>
      <w:bookmarkEnd w:id="289"/>
      <w:r>
        <w:rPr>
          <w:rFonts w:ascii="arial" w:eastAsia="arial" w:hAnsi="arial" w:cs="arial"/>
          <w:sz w:val="20"/>
          <w:lang w:val="en-US" w:eastAsia="en-US" w:bidi="ar-SA"/>
        </w:rPr>
        <w:tab/>
      </w:r>
      <w:r>
        <w:rPr>
          <w:rFonts w:ascii="arial" w:eastAsia="arial" w:hAnsi="arial" w:cs="arial"/>
          <w:color w:val="6D6E71"/>
          <w:sz w:val="18"/>
          <w:lang w:val="en-US" w:eastAsia="en-US" w:bidi="ar-SA"/>
        </w:rPr>
        <w:t xml:space="preserve">Sections 8 and 24 of the </w:t>
      </w:r>
      <w:r>
        <w:rPr>
          <w:rFonts w:ascii="arial" w:eastAsia="arial" w:hAnsi="arial" w:cs="arial"/>
          <w:i/>
          <w:color w:val="6D6E71"/>
          <w:sz w:val="18"/>
          <w:lang w:val="en-US" w:eastAsia="en-US" w:bidi="ar-SA"/>
        </w:rPr>
        <w:t>EIA</w:t>
      </w:r>
      <w:r>
        <w:rPr>
          <w:rFonts w:ascii="arial" w:eastAsia="arial" w:hAnsi="arial" w:cs="arial"/>
          <w:color w:val="6D6E71"/>
          <w:sz w:val="18"/>
          <w:lang w:val="en-US" w:eastAsia="en-US" w:bidi="ar-SA"/>
        </w:rPr>
        <w:t xml:space="preserve"> which essentially re-enacted the provisions of s. 5 of the </w:t>
      </w:r>
      <w:r>
        <w:rPr>
          <w:rFonts w:ascii="arial" w:eastAsia="arial" w:hAnsi="arial" w:cs="arial"/>
          <w:i/>
          <w:color w:val="6D6E71"/>
          <w:sz w:val="18"/>
          <w:lang w:val="en-US" w:eastAsia="en-US" w:bidi="ar-SA"/>
        </w:rPr>
        <w:t>Amendment Act</w:t>
      </w:r>
      <w:r>
        <w:rPr>
          <w:rFonts w:ascii="arial" w:eastAsia="arial" w:hAnsi="arial" w:cs="arial"/>
          <w:color w:val="6D6E71"/>
          <w:sz w:val="18"/>
          <w:lang w:val="en-US" w:eastAsia="en-US" w:bidi="ar-SA"/>
        </w:rPr>
        <w:t>.</w:t>
      </w:r>
    </w:p>
    <w:p>
      <w:pPr>
        <w:spacing w:before="120" w:after="20" w:line="240" w:lineRule="atLeast"/>
        <w:ind w:left="720" w:hanging="360"/>
        <w:jc w:val="both"/>
        <w:rPr>
          <w:rFonts w:ascii="arial" w:eastAsia="arial" w:hAnsi="arial" w:cs="arial"/>
          <w:sz w:val="20"/>
          <w:lang w:val="en-US" w:eastAsia="en-US" w:bidi="ar-SA"/>
        </w:rPr>
      </w:pPr>
      <w:bookmarkStart w:id="290" w:name="Forward_fnref_fnr-4"/>
      <w:hyperlink w:anchor="Backward_fnref_fnr-4" w:history="1">
        <w:r>
          <w:rPr>
            <w:rFonts w:ascii="arial" w:eastAsia="arial" w:hAnsi="arial" w:cs="arial"/>
            <w:b/>
            <w:color w:val="BE161D"/>
            <w:sz w:val="18"/>
            <w:shd w:val="clear" w:color="auto" w:fill="FFFFFF"/>
            <w:lang w:val="en-US" w:eastAsia="en-US" w:bidi="ar-SA"/>
          </w:rPr>
          <w:t>4</w:t>
        </w:r>
      </w:hyperlink>
      <w:bookmarkEnd w:id="290"/>
      <w:r>
        <w:rPr>
          <w:rFonts w:ascii="arial" w:eastAsia="arial" w:hAnsi="arial" w:cs="arial"/>
          <w:sz w:val="20"/>
          <w:lang w:val="en-US" w:eastAsia="en-US" w:bidi="ar-SA"/>
        </w:rPr>
        <w:tab/>
      </w:r>
      <w:r>
        <w:rPr>
          <w:rFonts w:ascii="arial" w:eastAsia="arial" w:hAnsi="arial" w:cs="arial"/>
          <w:color w:val="6D6E71"/>
          <w:sz w:val="18"/>
          <w:lang w:val="en-US" w:eastAsia="en-US" w:bidi="ar-SA"/>
        </w:rPr>
        <w:t xml:space="preserve">Section 13 of the </w:t>
      </w:r>
      <w:r>
        <w:rPr>
          <w:rFonts w:ascii="arial" w:eastAsia="arial" w:hAnsi="arial" w:cs="arial"/>
          <w:i/>
          <w:color w:val="6D6E71"/>
          <w:sz w:val="18"/>
          <w:lang w:val="en-US" w:eastAsia="en-US" w:bidi="ar-SA"/>
        </w:rPr>
        <w:t>EIA</w:t>
      </w:r>
      <w:r>
        <w:rPr>
          <w:rFonts w:ascii="arial" w:eastAsia="arial" w:hAnsi="arial" w:cs="arial"/>
          <w:color w:val="6D6E71"/>
          <w:sz w:val="18"/>
          <w:lang w:val="en-US" w:eastAsia="en-US" w:bidi="ar-SA"/>
        </w:rPr>
        <w:t xml:space="preserve"> which essentially re-enacted the provisions of s. 8 of </w:t>
      </w:r>
      <w:r>
        <w:rPr>
          <w:rFonts w:ascii="arial" w:eastAsia="arial" w:hAnsi="arial" w:cs="arial"/>
          <w:i/>
          <w:color w:val="6D6E71"/>
          <w:sz w:val="18"/>
          <w:lang w:val="en-US" w:eastAsia="en-US" w:bidi="ar-SA"/>
        </w:rPr>
        <w:t>PEFCA</w:t>
      </w:r>
      <w:r>
        <w:rPr>
          <w:rFonts w:ascii="arial" w:eastAsia="arial" w:hAnsi="arial" w:cs="arial"/>
          <w:color w:val="6D6E71"/>
          <w:sz w:val="18"/>
          <w:lang w:val="en-US" w:eastAsia="en-US" w:bidi="ar-SA"/>
        </w:rPr>
        <w:t xml:space="preserve"> by re-enacting s. 27(3)(d) to (j) of the </w:t>
      </w:r>
      <w:r>
        <w:rPr>
          <w:rFonts w:ascii="arial" w:eastAsia="arial" w:hAnsi="arial" w:cs="arial"/>
          <w:i/>
          <w:color w:val="6D6E71"/>
          <w:sz w:val="18"/>
          <w:lang w:val="en-US" w:eastAsia="en-US" w:bidi="ar-SA"/>
        </w:rPr>
        <w:t>School Act</w:t>
      </w:r>
      <w:r>
        <w:rPr>
          <w:rFonts w:ascii="arial" w:eastAsia="arial" w:hAnsi="arial" w:cs="arial"/>
          <w:color w:val="6D6E71"/>
          <w:sz w:val="18"/>
          <w:lang w:val="en-US" w:eastAsia="en-US" w:bidi="ar-SA"/>
        </w:rPr>
        <w:t>.</w:t>
      </w:r>
    </w:p>
    <w:p>
      <w:pPr>
        <w:spacing w:before="120" w:after="20" w:line="240" w:lineRule="atLeast"/>
        <w:ind w:left="720" w:hanging="360"/>
        <w:jc w:val="both"/>
        <w:rPr>
          <w:rFonts w:ascii="arial" w:eastAsia="arial" w:hAnsi="arial" w:cs="arial"/>
          <w:sz w:val="20"/>
          <w:lang w:val="en-US" w:eastAsia="en-US" w:bidi="ar-SA"/>
        </w:rPr>
      </w:pPr>
      <w:bookmarkStart w:id="291" w:name="Forward_fnref_fnr-5"/>
      <w:hyperlink w:anchor="Backward_fnref_fnr-5" w:history="1">
        <w:r>
          <w:rPr>
            <w:rFonts w:ascii="arial" w:eastAsia="arial" w:hAnsi="arial" w:cs="arial"/>
            <w:b/>
            <w:color w:val="BE161D"/>
            <w:sz w:val="18"/>
            <w:shd w:val="clear" w:color="auto" w:fill="FFFFFF"/>
            <w:lang w:val="en-US" w:eastAsia="en-US" w:bidi="ar-SA"/>
          </w:rPr>
          <w:t>5</w:t>
        </w:r>
      </w:hyperlink>
      <w:bookmarkEnd w:id="291"/>
      <w:r>
        <w:rPr>
          <w:rFonts w:ascii="arial" w:eastAsia="arial" w:hAnsi="arial" w:cs="arial"/>
          <w:sz w:val="20"/>
          <w:lang w:val="en-US" w:eastAsia="en-US" w:bidi="ar-SA"/>
        </w:rPr>
        <w:tab/>
      </w:r>
      <w:r>
        <w:rPr>
          <w:rFonts w:ascii="arial" w:eastAsia="arial" w:hAnsi="arial" w:cs="arial"/>
          <w:color w:val="6D6E71"/>
          <w:sz w:val="18"/>
          <w:lang w:val="en-US" w:eastAsia="en-US" w:bidi="ar-SA"/>
        </w:rPr>
        <w:t xml:space="preserve">The legislation in the Bill 28 Action at issue was s. 15 of </w:t>
      </w:r>
      <w:r>
        <w:rPr>
          <w:rFonts w:ascii="arial" w:eastAsia="arial" w:hAnsi="arial" w:cs="arial"/>
          <w:i/>
          <w:color w:val="6D6E71"/>
          <w:sz w:val="18"/>
          <w:lang w:val="en-US" w:eastAsia="en-US" w:bidi="ar-SA"/>
        </w:rPr>
        <w:t>PEFCA</w:t>
      </w:r>
      <w:r>
        <w:rPr>
          <w:rFonts w:ascii="arial" w:eastAsia="arial" w:hAnsi="arial" w:cs="arial"/>
          <w:color w:val="6D6E71"/>
          <w:sz w:val="18"/>
          <w:lang w:val="en-US" w:eastAsia="en-US" w:bidi="ar-SA"/>
        </w:rPr>
        <w:t xml:space="preserve">, which had added s. 78.1 to the </w:t>
      </w:r>
      <w:r>
        <w:rPr>
          <w:rFonts w:ascii="arial" w:eastAsia="arial" w:hAnsi="arial" w:cs="arial"/>
          <w:i/>
          <w:color w:val="6D6E71"/>
          <w:sz w:val="18"/>
          <w:lang w:val="en-US" w:eastAsia="en-US" w:bidi="ar-SA"/>
        </w:rPr>
        <w:t>School Act</w:t>
      </w:r>
      <w:r>
        <w:rPr>
          <w:rFonts w:ascii="arial" w:eastAsia="arial" w:hAnsi="arial" w:cs="arial"/>
          <w:color w:val="6D6E71"/>
          <w:sz w:val="18"/>
          <w:lang w:val="en-US" w:eastAsia="en-US" w:bidi="ar-SA"/>
        </w:rPr>
        <w:t xml:space="preserve">; this was repealed by s. 17 of the </w:t>
      </w:r>
      <w:r>
        <w:rPr>
          <w:rFonts w:ascii="arial" w:eastAsia="arial" w:hAnsi="arial" w:cs="arial"/>
          <w:i/>
          <w:color w:val="6D6E71"/>
          <w:sz w:val="18"/>
          <w:lang w:val="en-US" w:eastAsia="en-US" w:bidi="ar-SA"/>
        </w:rPr>
        <w:t>EIA</w:t>
      </w:r>
      <w:r>
        <w:rPr>
          <w:rFonts w:ascii="arial" w:eastAsia="arial" w:hAnsi="arial" w:cs="arial"/>
          <w:color w:val="6D6E71"/>
          <w:sz w:val="18"/>
          <w:lang w:val="en-US" w:eastAsia="en-US" w:bidi="ar-SA"/>
        </w:rPr>
        <w:t>.</w:t>
      </w:r>
    </w:p>
    <w:p>
      <w:pPr>
        <w:spacing w:before="120" w:after="20" w:line="240" w:lineRule="atLeast"/>
        <w:ind w:left="720" w:hanging="360"/>
        <w:jc w:val="both"/>
        <w:rPr>
          <w:rFonts w:ascii="arial" w:eastAsia="arial" w:hAnsi="arial" w:cs="arial"/>
          <w:sz w:val="20"/>
          <w:lang w:val="en-US" w:eastAsia="en-US" w:bidi="ar-SA"/>
        </w:rPr>
      </w:pPr>
      <w:bookmarkStart w:id="292" w:name="Forward_fnref_fnr-6"/>
      <w:hyperlink w:anchor="Backward_fnref_fnr-6" w:history="1">
        <w:r>
          <w:rPr>
            <w:rFonts w:ascii="arial" w:eastAsia="arial" w:hAnsi="arial" w:cs="arial"/>
            <w:b/>
            <w:color w:val="BE161D"/>
            <w:sz w:val="18"/>
            <w:shd w:val="clear" w:color="auto" w:fill="FFFFFF"/>
            <w:lang w:val="en-US" w:eastAsia="en-US" w:bidi="ar-SA"/>
          </w:rPr>
          <w:t>6</w:t>
        </w:r>
      </w:hyperlink>
      <w:bookmarkEnd w:id="292"/>
      <w:r>
        <w:rPr>
          <w:rFonts w:ascii="arial" w:eastAsia="arial" w:hAnsi="arial" w:cs="arial"/>
          <w:sz w:val="20"/>
          <w:lang w:val="en-US" w:eastAsia="en-US" w:bidi="ar-SA"/>
        </w:rPr>
        <w:tab/>
      </w:r>
      <w:r>
        <w:rPr>
          <w:rFonts w:ascii="arial" w:eastAsia="arial" w:hAnsi="arial" w:cs="arial"/>
          <w:i/>
          <w:color w:val="6D6E71"/>
          <w:sz w:val="18"/>
          <w:lang w:val="en-US" w:eastAsia="en-US" w:bidi="ar-SA"/>
        </w:rPr>
        <w:t xml:space="preserve"> Learning Improvement Fund Regulation</w:t>
      </w:r>
      <w:r>
        <w:rPr>
          <w:rFonts w:ascii="arial" w:eastAsia="arial" w:hAnsi="arial" w:cs="arial"/>
          <w:color w:val="6D6E71"/>
          <w:sz w:val="18"/>
          <w:lang w:val="en-US" w:eastAsia="en-US" w:bidi="ar-SA"/>
        </w:rPr>
        <w:t xml:space="preserve">, B.C. Reg. 103/2012, established pursuant to ss. 18, 19 of the </w:t>
      </w:r>
      <w:r>
        <w:rPr>
          <w:rFonts w:ascii="arial" w:eastAsia="arial" w:hAnsi="arial" w:cs="arial"/>
          <w:i/>
          <w:color w:val="6D6E71"/>
          <w:sz w:val="18"/>
          <w:lang w:val="en-US" w:eastAsia="en-US" w:bidi="ar-SA"/>
        </w:rPr>
        <w:t>EIA</w:t>
      </w:r>
      <w:r>
        <w:rPr>
          <w:rFonts w:ascii="arial" w:eastAsia="arial" w:hAnsi="arial" w:cs="arial"/>
          <w:color w:val="6D6E71"/>
          <w:sz w:val="18"/>
          <w:lang w:val="en-US" w:eastAsia="en-US" w:bidi="ar-SA"/>
        </w:rPr>
        <w:t>.</w:t>
      </w:r>
    </w:p>
    <w:p>
      <w:pPr>
        <w:spacing w:before="120" w:after="20" w:line="240" w:lineRule="atLeast"/>
        <w:ind w:left="720" w:hanging="360"/>
        <w:jc w:val="both"/>
        <w:rPr>
          <w:rFonts w:ascii="arial" w:eastAsia="arial" w:hAnsi="arial" w:cs="arial"/>
          <w:sz w:val="20"/>
          <w:lang w:val="en-US" w:eastAsia="en-US" w:bidi="ar-SA"/>
        </w:rPr>
      </w:pPr>
      <w:bookmarkStart w:id="293" w:name="Forward_fnref_fnr-7"/>
      <w:hyperlink w:anchor="Backward_fnref_fnr-7" w:history="1">
        <w:r>
          <w:rPr>
            <w:rFonts w:ascii="arial" w:eastAsia="arial" w:hAnsi="arial" w:cs="arial"/>
            <w:b/>
            <w:color w:val="BE161D"/>
            <w:sz w:val="18"/>
            <w:shd w:val="clear" w:color="auto" w:fill="FFFFFF"/>
            <w:lang w:val="en-US" w:eastAsia="en-US" w:bidi="ar-SA"/>
          </w:rPr>
          <w:t>7</w:t>
        </w:r>
      </w:hyperlink>
      <w:bookmarkEnd w:id="293"/>
      <w:r>
        <w:rPr>
          <w:rFonts w:ascii="arial" w:eastAsia="arial" w:hAnsi="arial" w:cs="arial"/>
          <w:sz w:val="20"/>
          <w:lang w:val="en-US" w:eastAsia="en-US" w:bidi="ar-SA"/>
        </w:rPr>
        <w:tab/>
      </w:r>
      <w:r>
        <w:rPr>
          <w:rFonts w:ascii="arial" w:eastAsia="arial" w:hAnsi="arial" w:cs="arial"/>
          <w:color w:val="6D6E71"/>
          <w:sz w:val="18"/>
          <w:lang w:val="en-US" w:eastAsia="en-US" w:bidi="ar-SA"/>
        </w:rPr>
        <w:t xml:space="preserve">Class Size and Compensation Regulation, </w:t>
      </w:r>
      <w:hyperlink r:id="rId841" w:history="1">
        <w:r>
          <w:rPr>
            <w:rFonts w:ascii="arial" w:eastAsia="arial" w:hAnsi="arial" w:cs="arial"/>
            <w:i/>
            <w:color w:val="0077CC"/>
            <w:sz w:val="18"/>
            <w:u w:val="single"/>
            <w:shd w:val="clear" w:color="auto" w:fill="FFFFFF"/>
            <w:lang w:val="en-US" w:eastAsia="en-US" w:bidi="ar-SA"/>
          </w:rPr>
          <w:t>B.C. Reg 52/2012</w:t>
        </w:r>
      </w:hyperlink>
      <w:r>
        <w:rPr>
          <w:rFonts w:ascii="arial" w:eastAsia="arial" w:hAnsi="arial" w:cs="arial"/>
          <w:color w:val="6D6E71"/>
          <w:sz w:val="18"/>
          <w:lang w:val="en-US" w:eastAsia="en-US" w:bidi="ar-SA"/>
        </w:rPr>
        <w:t xml:space="preserve">; also challenged is its enabling legislation, s. 14(c) of the </w:t>
      </w:r>
      <w:r>
        <w:rPr>
          <w:rFonts w:ascii="arial" w:eastAsia="arial" w:hAnsi="arial" w:cs="arial"/>
          <w:i/>
          <w:color w:val="6D6E71"/>
          <w:sz w:val="18"/>
          <w:lang w:val="en-US" w:eastAsia="en-US" w:bidi="ar-SA"/>
        </w:rPr>
        <w:t>EIA</w:t>
      </w:r>
      <w:r>
        <w:rPr>
          <w:rFonts w:ascii="arial" w:eastAsia="arial" w:hAnsi="arial" w:cs="arial"/>
          <w:color w:val="6D6E71"/>
          <w:sz w:val="18"/>
          <w:lang w:val="en-US" w:eastAsia="en-US" w:bidi="ar-SA"/>
        </w:rPr>
        <w:t xml:space="preserve">, which resulted in changes to s. 76.1(2.1) to (2.4) of the </w:t>
      </w:r>
      <w:r>
        <w:rPr>
          <w:rFonts w:ascii="arial" w:eastAsia="arial" w:hAnsi="arial" w:cs="arial"/>
          <w:i/>
          <w:color w:val="6D6E71"/>
          <w:sz w:val="18"/>
          <w:lang w:val="en-US" w:eastAsia="en-US" w:bidi="ar-SA"/>
        </w:rPr>
        <w:t>School Act</w:t>
      </w:r>
      <w:r>
        <w:rPr>
          <w:rFonts w:ascii="arial" w:eastAsia="arial" w:hAnsi="arial" w:cs="arial"/>
          <w:color w:val="6D6E71"/>
          <w:sz w:val="18"/>
          <w:lang w:val="en-US" w:eastAsia="en-US" w:bidi="ar-SA"/>
        </w:rPr>
        <w:t>.</w:t>
      </w:r>
    </w:p>
    <w:p>
      <w:pPr>
        <w:spacing w:before="120" w:after="20" w:line="240" w:lineRule="atLeast"/>
        <w:ind w:left="720" w:hanging="360"/>
        <w:jc w:val="both"/>
        <w:rPr>
          <w:rFonts w:ascii="arial" w:eastAsia="arial" w:hAnsi="arial" w:cs="arial"/>
          <w:sz w:val="20"/>
          <w:lang w:val="en-US" w:eastAsia="en-US" w:bidi="ar-SA"/>
        </w:rPr>
      </w:pPr>
      <w:bookmarkStart w:id="294" w:name="Forward_fnref_fnr-8"/>
      <w:hyperlink w:anchor="Backward_fnref_fnr-8" w:history="1">
        <w:r>
          <w:rPr>
            <w:rFonts w:ascii="arial" w:eastAsia="arial" w:hAnsi="arial" w:cs="arial"/>
            <w:b/>
            <w:color w:val="BE161D"/>
            <w:sz w:val="18"/>
            <w:shd w:val="clear" w:color="auto" w:fill="FFFFFF"/>
            <w:lang w:val="en-US" w:eastAsia="en-US" w:bidi="ar-SA"/>
          </w:rPr>
          <w:t>8</w:t>
        </w:r>
      </w:hyperlink>
      <w:bookmarkEnd w:id="294"/>
      <w:r>
        <w:rPr>
          <w:rFonts w:ascii="arial" w:eastAsia="arial" w:hAnsi="arial" w:cs="arial"/>
          <w:sz w:val="20"/>
          <w:lang w:val="en-US" w:eastAsia="en-US" w:bidi="ar-SA"/>
        </w:rPr>
        <w:tab/>
      </w:r>
      <w:r>
        <w:rPr>
          <w:rFonts w:ascii="arial" w:eastAsia="arial" w:hAnsi="arial" w:cs="arial"/>
          <w:color w:val="6D6E71"/>
          <w:sz w:val="18"/>
          <w:lang w:val="en-US" w:eastAsia="en-US" w:bidi="ar-SA"/>
        </w:rPr>
        <w:t xml:space="preserve">For a helpful description of the Wagner model see </w:t>
      </w:r>
      <w:r>
        <w:rPr>
          <w:rFonts w:ascii="arial" w:eastAsia="arial" w:hAnsi="arial" w:cs="arial"/>
          <w:i/>
          <w:color w:val="6D6E71"/>
          <w:sz w:val="18"/>
          <w:lang w:val="en-US" w:eastAsia="en-US" w:bidi="ar-SA"/>
        </w:rPr>
        <w:t>Mounted Police Association of Ontario v. Canada (Attorney General)</w:t>
      </w:r>
      <w:r>
        <w:rPr>
          <w:rFonts w:ascii="arial" w:eastAsia="arial" w:hAnsi="arial" w:cs="arial"/>
          <w:color w:val="6D6E71"/>
          <w:sz w:val="18"/>
          <w:lang w:val="en-US" w:eastAsia="en-US" w:bidi="ar-SA"/>
        </w:rPr>
        <w:t xml:space="preserve">, </w:t>
      </w:r>
      <w:hyperlink r:id="rId868" w:history="1">
        <w:r>
          <w:rPr>
            <w:rFonts w:ascii="arial" w:eastAsia="arial" w:hAnsi="arial" w:cs="arial"/>
            <w:i/>
            <w:color w:val="0077CC"/>
            <w:sz w:val="18"/>
            <w:u w:val="single"/>
            <w:shd w:val="clear" w:color="auto" w:fill="FFFFFF"/>
            <w:lang w:val="en-US" w:eastAsia="en-US" w:bidi="ar-SA"/>
          </w:rPr>
          <w:t>2012 ONCA 363</w:t>
        </w:r>
      </w:hyperlink>
      <w:r>
        <w:rPr>
          <w:rFonts w:ascii="arial" w:eastAsia="arial" w:hAnsi="arial" w:cs="arial"/>
          <w:color w:val="6D6E71"/>
          <w:sz w:val="18"/>
          <w:lang w:val="en-US" w:eastAsia="en-US" w:bidi="ar-SA"/>
        </w:rPr>
        <w:t xml:space="preserve"> at paras. 23-29.</w:t>
      </w:r>
    </w:p>
    <w:p>
      <w:pPr>
        <w:rPr>
          <w:rFonts w:ascii="arial" w:eastAsia="arial" w:hAnsi="arial" w:cs="arial"/>
          <w:sz w:val="20"/>
          <w:lang w:val="en-US" w:eastAsia="en-US" w:bidi="ar-SA"/>
        </w:rPr>
      </w:pPr>
    </w:p>
    <w:p>
      <w:pPr>
        <w:ind w:left="200"/>
        <w:rPr>
          <w:rFonts w:ascii="arial" w:eastAsia="arial" w:hAnsi="arial" w:cs="arial"/>
          <w:sz w:val="20"/>
          <w:lang w:val="en-US" w:eastAsia="en-US" w:bidi="ar-SA"/>
        </w:rPr>
        <w:sectPr>
          <w:type w:val="continuous"/>
          <w:pgMar w:top="840" w:right="1000" w:bottom="840" w:left="1000" w:header="400" w:footer="400"/>
          <w:pgNumType w:fmt="decimal"/>
          <w:cols w:space="720"/>
        </w:sectPr>
      </w:pPr>
      <w:r>
        <w:rPr>
          <w:rFonts w:ascii="arial" w:eastAsia="arial" w:hAnsi="arial" w:cs="arial"/>
          <w:sz w:val="20"/>
          <w:lang w:val="en-US" w:eastAsia="en-US" w:bidi="ar-SA"/>
        </w:rPr>
        <w:br/>
      </w:r>
      <w:r>
        <w:pict>
          <v:line id="_x0000_s1234" style="position:absolute;z-index:251896832" from="0,10pt" to="512pt,10pt" strokecolor="black" strokeweight="1pt">
            <v:stroke linestyle="single"/>
          </v:line>
        </w:pict>
      </w:r>
      <w:r>
        <w:rPr>
          <w:b/>
          <w:color w:val="767676"/>
          <w:sz w:val="16"/>
          <w:lang w:val="en-US" w:eastAsia="en-US" w:bidi="ar-SA"/>
        </w:rPr>
        <w:t>End of Document</w:t>
      </w:r>
    </w:p>
    <w:p>
      <w:pPr>
        <w:rPr>
          <w:rFonts w:ascii="arial" w:eastAsia="arial" w:hAnsi="arial" w:cs="arial"/>
          <w:sz w:val="20"/>
          <w:lang w:val="en-US" w:eastAsia="en-US" w:bidi="ar-SA"/>
        </w:rPr>
        <w:sectPr>
          <w:headerReference w:type="even" r:id="rId883"/>
          <w:headerReference w:type="default" r:id="rId884"/>
          <w:footerReference w:type="even" r:id="rId885"/>
          <w:footerReference w:type="default" r:id="rId886"/>
          <w:headerReference w:type="first" r:id="rId887"/>
          <w:footerReference w:type="first" r:id="rId888"/>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eastAsia="arial" w:hAnsi="Arial" w:cs="Arial"/>
          <w:b/>
          <w:bCs/>
          <w:kern w:val="32"/>
          <w:sz w:val="32"/>
          <w:szCs w:val="32"/>
          <w:lang w:val="en-US" w:eastAsia="en-US" w:bidi="ar-SA"/>
        </w:rPr>
      </w:pPr>
      <w:hyperlink r:id="rId889" w:history="1">
        <w:r>
          <w:rPr>
            <w:rFonts w:ascii="arial" w:eastAsia="arial" w:hAnsi="arial" w:cs="arial"/>
            <w:b/>
            <w:bCs/>
            <w:i/>
            <w:color w:val="0077CC"/>
            <w:kern w:val="32"/>
            <w:sz w:val="28"/>
            <w:szCs w:val="32"/>
            <w:u w:val="single"/>
            <w:shd w:val="clear" w:color="auto" w:fill="FFFFFF"/>
            <w:lang w:val="en-US" w:eastAsia="en-US" w:bidi="ar-SA"/>
          </w:rPr>
          <w:t>Cameron v. Albrich, [2011] B.C.J. No. 806</w:t>
        </w:r>
      </w:hyperlink>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Judgments</w:t>
      </w:r>
    </w:p>
    <w:p>
      <w:pPr>
        <w:rPr>
          <w:rFonts w:ascii="arial" w:eastAsia="arial" w:hAnsi="arial" w:cs="arial"/>
          <w:sz w:val="20"/>
          <w:lang w:val="en-US" w:eastAsia="en-US" w:bidi="ar-SA"/>
        </w:rPr>
      </w:pP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Vancouver, British Columbia</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R.D. Punnett J.</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Heard: November 23, 2010.</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Judgment: April 29, 2011.</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Docket: S103983</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Registry: Vancouver</w:t>
      </w:r>
    </w:p>
    <w:p>
      <w:pPr>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r>
        <w:rPr>
          <w:rFonts w:ascii="arial" w:eastAsia="arial" w:hAnsi="arial" w:cs="arial"/>
          <w:b/>
          <w:color w:val="000000"/>
          <w:sz w:val="20"/>
          <w:lang w:val="en-US" w:eastAsia="en-US" w:bidi="ar-SA"/>
        </w:rPr>
        <w:t>[2011] B.C.J. No. 806</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hyperlink r:id="rId890" w:history="1">
        <w:r>
          <w:rPr>
            <w:rFonts w:ascii="arial" w:eastAsia="arial" w:hAnsi="arial" w:cs="arial"/>
            <w:i/>
            <w:color w:val="0077CC"/>
            <w:sz w:val="20"/>
            <w:u w:val="single"/>
            <w:shd w:val="clear" w:color="auto" w:fill="FFFFFF"/>
            <w:lang w:val="en-US" w:eastAsia="en-US" w:bidi="ar-SA"/>
          </w:rPr>
          <w:t>2011 BCSC 549</w:t>
        </w:r>
      </w:hyperlink>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hyperlink r:id="rId890" w:history="1">
        <w:r>
          <w:rPr>
            <w:rFonts w:ascii="arial" w:eastAsia="arial" w:hAnsi="arial" w:cs="arial"/>
            <w:i/>
            <w:color w:val="0077CC"/>
            <w:sz w:val="20"/>
            <w:u w:val="single"/>
            <w:shd w:val="clear" w:color="auto" w:fill="FFFFFF"/>
            <w:lang w:val="en-US" w:eastAsia="en-US" w:bidi="ar-SA"/>
          </w:rPr>
          <w:t>[2011] 3 C.N.L.R. 129</w:t>
        </w:r>
      </w:hyperlink>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hyperlink r:id="rId890" w:history="1">
        <w:r>
          <w:rPr>
            <w:rFonts w:ascii="arial" w:eastAsia="arial" w:hAnsi="arial" w:cs="arial"/>
            <w:i/>
            <w:color w:val="0077CC"/>
            <w:sz w:val="20"/>
            <w:u w:val="single"/>
            <w:shd w:val="clear" w:color="auto" w:fill="FFFFFF"/>
            <w:lang w:val="en-US" w:eastAsia="en-US" w:bidi="ar-SA"/>
          </w:rPr>
          <w:t>2011 CarswellBC 1031</w:t>
        </w:r>
      </w:hyperlink>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hyperlink r:id="rId890" w:history="1">
        <w:r>
          <w:rPr>
            <w:rFonts w:ascii="arial" w:eastAsia="arial" w:hAnsi="arial" w:cs="arial"/>
            <w:i/>
            <w:color w:val="0077CC"/>
            <w:sz w:val="20"/>
            <w:u w:val="single"/>
            <w:shd w:val="clear" w:color="auto" w:fill="FFFFFF"/>
            <w:lang w:val="en-US" w:eastAsia="en-US" w:bidi="ar-SA"/>
          </w:rPr>
          <w:t>202 A.C.W.S. (3d) 1</w:t>
        </w:r>
      </w:hyperlink>
    </w:p>
    <w:p>
      <w:pPr>
        <w:spacing w:before="120" w:line="260" w:lineRule="atLeast"/>
        <w:rPr>
          <w:rFonts w:ascii="arial" w:eastAsia="arial" w:hAnsi="arial" w:cs="arial"/>
          <w:sz w:val="20"/>
          <w:lang w:val="en-US" w:eastAsia="en-US" w:bidi="ar-SA"/>
        </w:rPr>
      </w:pPr>
      <w:r>
        <w:rPr>
          <w:rFonts w:ascii="arial" w:eastAsia="arial" w:hAnsi="arial" w:cs="arial"/>
          <w:color w:val="000000"/>
          <w:sz w:val="20"/>
          <w:lang w:val="en-US" w:eastAsia="en-US" w:bidi="ar-SA"/>
        </w:rPr>
        <w:t>Between Ray Cameron, Plaintiff, and Frederick Albrich, Arnold Blain, Greg Blain, Leah Blain, Jodene Blain, Leslie Blain Jr., Norman Blain, Clinton Blankenship, Robin Blankenship, Shawn Blankenship, Barry Bryant, Charlene Bryant, Cindy Bryant, Kennth Bryant, Lavonne Comin, Eva Condin, Madison Condin, Jaydee Dick, Arlene Dixon, Leona Dobranski, Leslie Dobranski, Mark Dobranski, Norma Dobranski, Philip Dobranski, Darrin Dobranski, Jade Dyck, Tyler Dyck, John Epp, James Epp, Elizabeth Ferriss, Alfred Gardner, Dawn Gardner, Kenneth Gardner, Glen Gordon, Kevin Gordon, Marcie Gordon, Denise Gurney, Lesley Heidel, Adam Kato, Kimiko Kato, Taylor Kato, Emily Kirkpatrick, Darius Kirkpatrick, Lancette Lewis, Betty Lowry, James Lowry, Jodie Lulu, Denise Lulu, Wilfred Lulu, James Martin, Kenneth Martin, Kierstin Mujcin, Sherry Parnell, Erin Pelletier, Nicole Pigeon, Shantelle Price, Leona Raymond, Mitchell Sakowskl, Sharon Schamehorn, Daniel Schnell, Larry Schnell, Catherine Simzer, Jessica Timmerman, Jeffrey Timmerman, Rachel Tudan, Debra Van Norstrand, Teresa Vandell, Deloress Warneboldt, Austin West, Jared West, Ricky Wilson, Cimarone Wilson-Minnabarriet, Castin Wilson-Minnabarriet and Steven Wulff, Defendants</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(74 paras.)</w:t>
      </w:r>
    </w:p>
    <w:p>
      <w:pPr>
        <w:keepNext/>
        <w:spacing w:before="12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Case Summary</w:t>
      </w:r>
    </w:p>
    <w:p>
      <w:pPr>
        <w:spacing w:line="60" w:lineRule="exact"/>
        <w:rPr>
          <w:rFonts w:ascii="arial" w:eastAsia="arial" w:hAnsi="arial" w:cs="arial"/>
          <w:sz w:val="20"/>
          <w:lang w:val="en-US" w:eastAsia="en-US" w:bidi="ar-SA"/>
        </w:rPr>
      </w:pPr>
      <w:r>
        <w:pict>
          <v:line id="_x0000_s1235" style="position:absolute;z-index:251703296"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bookmarkStart w:id="295" w:name="Keywords_42"/>
      <w:bookmarkEnd w:id="295"/>
      <w:r>
        <w:rPr>
          <w:rFonts w:ascii="arial" w:eastAsia="arial" w:hAnsi="arial" w:cs="arial"/>
          <w:b/>
          <w:color w:val="000000"/>
          <w:sz w:val="20"/>
          <w:lang w:val="en-US" w:eastAsia="en-US" w:bidi="ar-SA"/>
        </w:rPr>
        <w:t>Aboriginal law — Communities and governance — Membership in community — Official membership list — Practice and procedure — Courts — Jurisdiction — Parties — Standing — Application by defendants to strike plaintiff's action allowed — Plaintiff sought declaratory relief on basis that 74 defendants were invalidly listed as Band members — Action struck, as it was within exclusive jurisdiction of Federal Court — Maintenance of Band list was statutory duty pursuant to Indian Act — Relevant entities were thus akin to federal board, commission or other tribunal — Alternatively, plaintiff lacked standing — Despite asserting individual losses caused by invalid membership, nature of rights affected was collective — Federal Courts Act, s. 2 — Indian Act, s. 10.</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Civil litigation — Civil procedure — Parties — Standing — Pleadings — Striking out pleadings or allegations — Grounds — Lack of jurisdiction — Courts — Jurisdiction — Federal courts — Application by defendants to strike plaintiff's action allowed — Plaintiff sought declaratory relief on basis that 74 defendants were invalidly listed as Band members — Action struck, as it was within exclusive jurisdiction of Federal Court — Maintenance of Band list was statutory duty pursuant to Indian Act — Relevant entities were thus akin to federal board, commission or other tribunal — Alternatively, plaintiff lacked standing — Despite asserting individual losses caused by invalid membership, nature of rights affected was collective — Federal Courts Act, s. 2 — Indian Act, s. 10.</w:t>
      </w:r>
    </w:p>
    <w:p>
      <w:pPr>
        <w:rPr>
          <w:rFonts w:ascii="arial" w:eastAsia="arial" w:hAnsi="arial" w:cs="arial"/>
          <w:sz w:val="20"/>
          <w:lang w:val="en-US" w:eastAsia="en-US" w:bidi="ar-SA"/>
        </w:rPr>
      </w:pPr>
    </w:p>
    <w:tbl>
      <w:tblPr>
        <w:tblStyle w:val="TableNormal"/>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
      <w:tblGrid>
        <w:gridCol w:w="10225"/>
      </w:tblGrid>
      <w:tr>
        <w:tblPrEx>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Ex>
        <w:tc>
          <w:tcPr/>
          <w:p>
            <w:pPr>
              <w:rPr>
                <w:rFonts w:ascii="arial" w:eastAsia="arial" w:hAnsi="arial" w:cs="arial"/>
                <w:sz w:val="20"/>
                <w:lang w:val="en-US" w:eastAsia="en-US" w:bidi="ar-SA"/>
              </w:rPr>
            </w:pPr>
            <w:bookmarkStart w:id="296" w:name="Case Summary_40"/>
            <w:bookmarkEnd w:id="296"/>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Application by five defendants to strike the action of the plaintiff, Cameron. The proceeding related to a dispute over the membership of the Ashcroft Indian Band. The plaintiff contested the membership of 74 of the 250 Band members. The 74 defendants were presently on the Band list as members. The plaintiff contended that the defendant had failed to apply for membership. The plaintiff sought declarations striking the defendants from the Band's membership list and orders requiring them to apply for membership in the Band pursuant to the Band's membership rules. The plaintiff also sought a declaration that the Band's voters list be based on a membership list which accorded with the membership rules. The defendants submitted that they had no authority to remove their own names from the Band list and thus the plaintiff failed to name the proper entities as defendants. The defendant applicants sought to strike the claim on the basis that the matter was within the exclusive jurisdiction of the Federal Court, or if it was not, the Supreme Court ought to decline jurisdiction. The applicants further submitted that the plaintiff lacked standing to bring the claim. </w:t>
            </w:r>
            <w:r>
              <w:rPr>
                <w:rFonts w:ascii="arial" w:eastAsia="arial" w:hAnsi="arial" w:cs="arial"/>
                <w:sz w:val="20"/>
                <w:lang w:val="en-US" w:eastAsia="en-US" w:bidi="ar-SA"/>
              </w:rPr>
              <w:cr/>
            </w:r>
          </w:p>
          <w:p>
            <w:pPr>
              <w:spacing w:before="120" w:line="260" w:lineRule="atLeast"/>
              <w:ind w:left="240"/>
              <w:jc w:val="both"/>
              <w:rPr>
                <w:rFonts w:ascii="arial" w:eastAsia="arial" w:hAnsi="arial" w:cs="arial"/>
                <w:sz w:val="20"/>
                <w:lang w:val="en-US" w:eastAsia="en-US" w:bidi="ar-SA"/>
              </w:rPr>
            </w:pPr>
            <w:bookmarkStart w:id="297" w:name="Holdings of Court_34"/>
            <w:bookmarkEnd w:id="297"/>
            <w:r>
              <w:rPr>
                <w:rFonts w:ascii="arial" w:eastAsia="arial" w:hAnsi="arial" w:cs="arial"/>
                <w:color w:val="000000"/>
                <w:sz w:val="20"/>
                <w:lang w:val="en-US" w:eastAsia="en-US" w:bidi="ar-SA"/>
              </w:rPr>
              <w:t>HELD: Application allowed.</w:t>
            </w:r>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The subject matter of the dispute was compliance with the Membership Rules by the Band, Band Council, Membership Committee and Membership Clerk. A Band Council acting pursuant to the Membership Rules, regardless of compliance, did so pursuant to the Indian Act. The Band's maintenance of the Band list was a statutory duty pursuant to s. 10 of the Indian Act. The nature of a Band, Band Council and the appointed Membership Committee and Clerk were thus akin to a federal board, commission or other tribunal as defined in the Federal Courts Act. Therefore, the Federal Court had exclusive jurisdiction with respect to the relief sought. Had jurisdiction been found, the plaintiff should have named the Band Council, the Membership Committee and the Band as additional defendants, as the defendants named did not have the authority to give effect to the declaratory relief sought. Alternatively, the plaintiff did not have standing to advance his claim. Despite claiming personal damages caused by the alleged invalid memberships, the nature of the rights asserted was collective and did not reside with any one individual. </w:t>
            </w:r>
            <w:r>
              <w:rPr>
                <w:rFonts w:ascii="arial" w:eastAsia="arial" w:hAnsi="arial" w:cs="arial"/>
                <w:sz w:val="20"/>
                <w:lang w:val="en-US" w:eastAsia="en-US" w:bidi="ar-SA"/>
              </w:rPr>
              <w:cr/>
            </w:r>
          </w:p>
          <w:p>
            <w:pPr>
              <w:rPr>
                <w:rFonts w:ascii="arial" w:eastAsia="arial" w:hAnsi="arial" w:cs="arial"/>
                <w:sz w:val="20"/>
                <w:lang w:val="en-US" w:eastAsia="en-US" w:bidi="ar-SA"/>
              </w:rPr>
            </w:pPr>
          </w:p>
        </w:tc>
      </w:tr>
    </w:tbl>
    <w:p>
      <w:pPr>
        <w:jc w:val="both"/>
        <w:rPr>
          <w:rFonts w:ascii="arial" w:eastAsia="arial" w:hAnsi="arial" w:cs="arial"/>
          <w:sz w:val="20"/>
          <w:lang w:val="en-US" w:eastAsia="en-US" w:bidi="ar-SA"/>
        </w:rPr>
      </w:pPr>
      <w:bookmarkStart w:id="298" w:name="Legislation Cited_29"/>
      <w:bookmarkEnd w:id="298"/>
      <w:r>
        <w:rPr>
          <w:rFonts w:ascii="arial" w:eastAsia="arial" w:hAnsi="arial" w:cs="arial"/>
          <w:sz w:val="20"/>
          <w:lang w:val="en-US" w:eastAsia="en-US" w:bidi="ar-SA"/>
        </w:rPr>
        <w:br/>
      </w:r>
    </w:p>
    <w:p>
      <w:pPr>
        <w:keepNext/>
        <w:spacing w:before="24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Statutes, Regulations and Rules Cited:</w:t>
      </w:r>
    </w:p>
    <w:p>
      <w:pPr>
        <w:spacing w:line="60" w:lineRule="exact"/>
        <w:rPr>
          <w:rFonts w:ascii="arial" w:eastAsia="arial" w:hAnsi="arial" w:cs="arial"/>
          <w:sz w:val="20"/>
          <w:lang w:val="en-US" w:eastAsia="en-US" w:bidi="ar-SA"/>
        </w:rPr>
      </w:pPr>
      <w:r>
        <w:pict>
          <v:line id="_x0000_s1236" style="position:absolute;z-index:251754496"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 Civil Rules, Rule 6-2(7)(a), Rule 9-5, Rule 9-5(1), Rule 21-8</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Federal Courts Act, </w:t>
      </w:r>
      <w:hyperlink r:id="rId891" w:history="1">
        <w:r>
          <w:rPr>
            <w:rFonts w:ascii="arial" w:eastAsia="arial" w:hAnsi="arial" w:cs="arial"/>
            <w:i/>
            <w:color w:val="0077CC"/>
            <w:sz w:val="20"/>
            <w:u w:val="single"/>
            <w:shd w:val="clear" w:color="auto" w:fill="FFFFFF"/>
            <w:lang w:val="en-US" w:eastAsia="en-US" w:bidi="ar-SA"/>
          </w:rPr>
          <w:t>R.S.C. 1985, c. F-7, s. 2</w:t>
        </w:r>
      </w:hyperlink>
      <w:r>
        <w:rPr>
          <w:rFonts w:ascii="arial" w:eastAsia="arial" w:hAnsi="arial" w:cs="arial"/>
          <w:color w:val="000000"/>
          <w:sz w:val="20"/>
          <w:lang w:val="en-US" w:eastAsia="en-US" w:bidi="ar-SA"/>
        </w:rPr>
        <w:t>, s. 18</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Indian Act, </w:t>
      </w:r>
      <w:hyperlink r:id="rId892" w:history="1">
        <w:r>
          <w:rPr>
            <w:rFonts w:ascii="arial" w:eastAsia="arial" w:hAnsi="arial" w:cs="arial"/>
            <w:i/>
            <w:color w:val="0077CC"/>
            <w:sz w:val="20"/>
            <w:u w:val="single"/>
            <w:shd w:val="clear" w:color="auto" w:fill="FFFFFF"/>
            <w:lang w:val="en-US" w:eastAsia="en-US" w:bidi="ar-SA"/>
          </w:rPr>
          <w:t>R.S.C. 1985, c. I-5, s. 10</w:t>
        </w:r>
      </w:hyperlink>
      <w:r>
        <w:rPr>
          <w:rFonts w:ascii="arial" w:eastAsia="arial" w:hAnsi="arial" w:cs="arial"/>
          <w:color w:val="000000"/>
          <w:sz w:val="20"/>
          <w:lang w:val="en-US" w:eastAsia="en-US" w:bidi="ar-SA"/>
        </w:rPr>
        <w:t>, s. 10(1), s. 10(2), s. 10(4), s. 10(6), s. 10(7), s. 10(8), s. 10(9), s. 10(10), s. 10(11), s. 74</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Indian Band Election Regulations, C.R.C. 1978, c. 952, s. 4(1)</w:t>
      </w:r>
      <w:r>
        <w:rPr>
          <w:rFonts w:ascii="arial" w:eastAsia="arial" w:hAnsi="arial" w:cs="arial"/>
          <w:sz w:val="20"/>
          <w:lang w:val="en-US" w:eastAsia="en-US" w:bidi="ar-SA"/>
        </w:rPr>
        <w:cr/>
      </w:r>
    </w:p>
    <w:p>
      <w:pPr>
        <w:keepNext/>
        <w:spacing w:before="240" w:line="340" w:lineRule="atLeast"/>
        <w:rPr>
          <w:rFonts w:ascii="arial" w:eastAsia="arial" w:hAnsi="arial" w:cs="arial"/>
          <w:sz w:val="20"/>
          <w:lang w:val="en-US" w:eastAsia="en-US" w:bidi="ar-SA"/>
        </w:rPr>
      </w:pPr>
      <w:bookmarkStart w:id="299" w:name="Counsel_42"/>
      <w:bookmarkEnd w:id="299"/>
      <w:r>
        <w:rPr>
          <w:rFonts w:ascii="arial" w:eastAsia="arial" w:hAnsi="arial" w:cs="arial"/>
          <w:b/>
          <w:color w:val="000000"/>
          <w:sz w:val="28"/>
          <w:lang w:val="en-US" w:eastAsia="en-US" w:bidi="ar-SA"/>
        </w:rPr>
        <w:t>Counsel</w:t>
      </w:r>
    </w:p>
    <w:p>
      <w:pPr>
        <w:spacing w:line="60" w:lineRule="exact"/>
        <w:rPr>
          <w:rFonts w:ascii="arial" w:eastAsia="arial" w:hAnsi="arial" w:cs="arial"/>
          <w:sz w:val="20"/>
          <w:lang w:val="en-US" w:eastAsia="en-US" w:bidi="ar-SA"/>
        </w:rPr>
      </w:pPr>
      <w:r>
        <w:pict>
          <v:line id="_x0000_s1237" style="position:absolute;z-index:251805696"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Counsel for the Applicants/Defendants Greg Blain, Leah Blain, Robin Blankenship, Madison Condin, Nicole Pigeon: F.M. Kirchner, K.M. Blomfield.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Counsel for Respondent/Plaintiff: R.M. Kyle.</w:t>
      </w:r>
      <w:r>
        <w:rPr>
          <w:rFonts w:ascii="arial" w:eastAsia="arial" w:hAnsi="arial" w:cs="arial"/>
          <w:sz w:val="20"/>
          <w:lang w:val="en-US" w:eastAsia="en-US" w:bidi="ar-SA"/>
        </w:rPr>
        <w:cr/>
      </w:r>
    </w:p>
    <w:p>
      <w:pPr>
        <w:spacing w:after="240"/>
        <w:rPr>
          <w:rFonts w:ascii="arial" w:eastAsia="arial" w:hAnsi="arial" w:cs="arial"/>
          <w:sz w:val="20"/>
          <w:lang w:val="en-US" w:eastAsia="en-US" w:bidi="ar-SA"/>
        </w:rPr>
      </w:pPr>
      <w:bookmarkStart w:id="300" w:name="Judgment_43"/>
      <w:bookmarkEnd w:id="300"/>
      <w:r>
        <w:pict>
          <v:line id="_x0000_s1238" style="position:absolute;z-index:251854848" from="0,12pt" to="512pt,12pt" strokecolor="#009ddb" strokeweight="1.5pt">
            <v:stroke linestyle="single"/>
          </v:line>
        </w:pict>
      </w:r>
    </w:p>
    <w:p>
      <w:pPr>
        <w:spacing w:before="120" w:line="260" w:lineRule="atLeast"/>
        <w:jc w:val="center"/>
        <w:rPr>
          <w:rFonts w:ascii="arial" w:eastAsia="arial" w:hAnsi="arial" w:cs="arial"/>
          <w:sz w:val="20"/>
          <w:lang w:val="en-US" w:eastAsia="en-US" w:bidi="ar-SA"/>
        </w:rPr>
      </w:pPr>
      <w:r>
        <w:rPr>
          <w:rFonts w:ascii="arial" w:eastAsia="arial" w:hAnsi="arial" w:cs="arial"/>
          <w:b/>
          <w:color w:val="000000"/>
          <w:sz w:val="20"/>
          <w:lang w:val="en-US" w:eastAsia="en-US" w:bidi="ar-SA"/>
        </w:rPr>
        <w:t>Reasons for Judgment</w:t>
      </w:r>
      <w:r>
        <w:rPr>
          <w:rFonts w:ascii="arial" w:eastAsia="arial" w:hAnsi="arial" w:cs="arial"/>
          <w:sz w:val="20"/>
          <w:lang w:val="en-US" w:eastAsia="en-US" w:bidi="ar-SA"/>
        </w:rPr>
        <w:cr/>
      </w:r>
    </w:p>
    <w:p>
      <w:pPr>
        <w:rPr>
          <w:rFonts w:ascii="arial" w:eastAsia="arial" w:hAnsi="arial" w:cs="arial"/>
          <w:sz w:val="20"/>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2704"/>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rFonts w:ascii="arial" w:eastAsia="arial" w:hAnsi="arial" w:cs="arial"/>
                <w:sz w:val="20"/>
                <w:lang w:val="en-US" w:eastAsia="en-US" w:bidi="ar-SA"/>
              </w:rPr>
            </w:pPr>
            <w:bookmarkStart w:id="301" w:name="R.D. PUNNETT J."/>
            <w:bookmarkEnd w:id="301"/>
            <w:r>
              <w:rPr>
                <w:rFonts w:ascii="arial" w:eastAsia="arial" w:hAnsi="arial" w:cs="arial"/>
                <w:b/>
                <w:color w:val="000000"/>
                <w:sz w:val="30"/>
                <w:lang w:val="en-US" w:eastAsia="en-US" w:bidi="ar-SA"/>
              </w:rPr>
              <w:t>R.D. PUNNETT J.</w:t>
            </w:r>
          </w:p>
        </w:tc>
      </w:tr>
    </w:tbl>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Introduction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This is an application to strike this action. The proceeding relates to a dispute over who are the members of the Ashcroft Indian Band (the "Band"). The respondent plaintiff and the applicant defendants are, according to Band records, members of the Band. Of the approximately 250 Band members, the plaintiff contests the membership of the 74 defendants in the Band. This application was brought by five of the defendants who submit that:</w:t>
      </w:r>
      <w:r>
        <w:rPr>
          <w:rFonts w:ascii="arial" w:eastAsia="arial" w:hAnsi="arial" w:cs="arial"/>
          <w:sz w:val="20"/>
          <w:lang w:val="en-US" w:eastAsia="en-US" w:bidi="ar-SA"/>
        </w:rPr>
        <w:cr/>
      </w:r>
    </w:p>
    <w:p>
      <w:pPr>
        <w:numPr>
          <w:numId w:val="15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relief sought by the plaintiff in this claim is within the exclusive jurisdiction of the Federal Court;</w:t>
      </w:r>
    </w:p>
    <w:p>
      <w:pPr>
        <w:numPr>
          <w:numId w:val="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even if this matter does not fall within the exclusive jurisdiction of the Federal Court, this Court ought to decline jurisdiction; and</w:t>
      </w:r>
    </w:p>
    <w:p>
      <w:pPr>
        <w:numPr>
          <w:numId w:val="3"/>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in any event, the plaintiff has no standing to bring this claim.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Preliminary Matters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i/>
          <w:color w:val="000000"/>
          <w:sz w:val="20"/>
          <w:lang w:val="en-US" w:eastAsia="en-US" w:bidi="ar-SA"/>
        </w:rPr>
        <w:t>Service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There are 74 defendants. The plaintiff however has only served the pleadings on the five defendants represented in this hearing. I raised with counsel the concern that all parties had not been served and given the opportunity to be present. Counsel acknowledged that any order made will only be binding on those parties served to date; however, due to the high cost of locating and serving all of the defendants, counsel were of the view that resolution of the issues on this application will likely be persuasive with respect to the remaining defendants if they are eventually served. On that basis the application was heard.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i/>
          <w:color w:val="000000"/>
          <w:sz w:val="20"/>
          <w:lang w:val="en-US" w:eastAsia="en-US" w:bidi="ar-SA"/>
        </w:rPr>
        <w:t>Admissibility of Affidavit Evidence on Motion to Strike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In support of their application the defendants filed the affidavit of Greg Blain, one of the defendants and the current Chief of the Band. He deposes that he and others have been members of the Band since at least the 1990s and have as such received Band funds for educational purposes, been permitted to run for and hold positions in the Band government including as Ashcroft Councilors, have been included in the voters list and have been permitted to vote.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The plaintiff objects to the defendant Greg Blain's affidavit stating that the application to strike pleadings does not permit the admission of evidence and that the pleadings must be accepted as true. The defendants however state that the material goes to the issue of jurisdiction and that in such circumstances affidavit evidence is admissible.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xml:space="preserve">  The defendants in their motion refer to </w:t>
      </w:r>
      <w:r>
        <w:rPr>
          <w:rFonts w:ascii="arial" w:eastAsia="arial" w:hAnsi="arial" w:cs="arial"/>
          <w:i/>
          <w:color w:val="000000"/>
          <w:sz w:val="20"/>
          <w:lang w:val="en-US" w:eastAsia="en-US" w:bidi="ar-SA"/>
        </w:rPr>
        <w:t>Supreme Court Civil Rules</w:t>
      </w:r>
      <w:r>
        <w:rPr>
          <w:rFonts w:ascii="arial" w:eastAsia="arial" w:hAnsi="arial" w:cs="arial"/>
          <w:color w:val="000000"/>
          <w:sz w:val="20"/>
          <w:lang w:val="en-US" w:eastAsia="en-US" w:bidi="ar-SA"/>
        </w:rPr>
        <w:t xml:space="preserve"> 9-5(1) (Scandalous, frivolous or vexatious matters) and 21-8 (Jurisdiction). They submit that, while they have in their application referred to Rule 9-5, in fact their application is based on the issue of jurisdiction, not on Rule 9-5. An application challenging the jurisdiction of the court can be supported by affidavit evidence: </w:t>
      </w:r>
      <w:r>
        <w:rPr>
          <w:rFonts w:ascii="arial" w:eastAsia="arial" w:hAnsi="arial" w:cs="arial"/>
          <w:i/>
          <w:color w:val="000000"/>
          <w:sz w:val="20"/>
          <w:lang w:val="en-US" w:eastAsia="en-US" w:bidi="ar-SA"/>
        </w:rPr>
        <w:t>Western Aerial Applications Ltd. v. Turbomeca USA, Inc.,</w:t>
      </w:r>
      <w:r>
        <w:rPr>
          <w:rFonts w:ascii="arial" w:eastAsia="arial" w:hAnsi="arial" w:cs="arial"/>
          <w:color w:val="000000"/>
          <w:sz w:val="20"/>
          <w:lang w:val="en-US" w:eastAsia="en-US" w:bidi="ar-SA"/>
        </w:rPr>
        <w:t xml:space="preserve"> </w:t>
      </w:r>
      <w:hyperlink r:id="rId893" w:history="1">
        <w:r>
          <w:rPr>
            <w:rFonts w:ascii="arial" w:eastAsia="arial" w:hAnsi="arial" w:cs="arial"/>
            <w:i/>
            <w:color w:val="0077CC"/>
            <w:sz w:val="20"/>
            <w:u w:val="single"/>
            <w:shd w:val="clear" w:color="auto" w:fill="FFFFFF"/>
            <w:lang w:val="en-US" w:eastAsia="en-US" w:bidi="ar-SA"/>
          </w:rPr>
          <w:t>2009 BCSC 123</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Purple Echo Productions, Inc. v. KCTS Television,</w:t>
      </w:r>
      <w:r>
        <w:rPr>
          <w:rFonts w:ascii="arial" w:eastAsia="arial" w:hAnsi="arial" w:cs="arial"/>
          <w:color w:val="000000"/>
          <w:sz w:val="20"/>
          <w:lang w:val="en-US" w:eastAsia="en-US" w:bidi="ar-SA"/>
        </w:rPr>
        <w:t xml:space="preserve"> </w:t>
      </w:r>
      <w:hyperlink r:id="rId894" w:history="1">
        <w:r>
          <w:rPr>
            <w:rFonts w:ascii="arial" w:eastAsia="arial" w:hAnsi="arial" w:cs="arial"/>
            <w:i/>
            <w:color w:val="0077CC"/>
            <w:sz w:val="20"/>
            <w:u w:val="single"/>
            <w:shd w:val="clear" w:color="auto" w:fill="FFFFFF"/>
            <w:lang w:val="en-US" w:eastAsia="en-US" w:bidi="ar-SA"/>
          </w:rPr>
          <w:t>2008 BCCA 85</w:t>
        </w:r>
      </w:hyperlink>
      <w:r>
        <w:rPr>
          <w:rFonts w:ascii="arial" w:eastAsia="arial" w:hAnsi="arial" w:cs="arial"/>
          <w:color w:val="000000"/>
          <w:sz w:val="20"/>
          <w:lang w:val="en-US" w:eastAsia="en-US" w:bidi="ar-SA"/>
        </w:rPr>
        <w:t xml:space="preserve"> at para. 34. As a result the affidavit of Greg Blain is admissible in so far as it addresses the issue of jurisdiction. However, as it is not clear if it is based on direct knowledge or on information and belief it carries little weight and in any event is not relevant given my conclusions in this matter.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Background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The plaintiff's action is against the individual defendants recorded on the Ashcroft Indian Band membership list (the "Band List" or the "List"). He states they have not been properly added to the List. He seeks the following declarations in his prayer for relief:</w:t>
      </w:r>
      <w:r>
        <w:rPr>
          <w:rFonts w:ascii="arial" w:eastAsia="arial" w:hAnsi="arial" w:cs="arial"/>
          <w:sz w:val="20"/>
          <w:lang w:val="en-US" w:eastAsia="en-US" w:bidi="ar-SA"/>
        </w:rPr>
        <w:cr/>
      </w:r>
    </w:p>
    <w:p>
      <w:pPr>
        <w:numPr>
          <w:numId w:val="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A declaration that the defendants be struck from the </w:t>
      </w:r>
      <w:r>
        <w:rPr>
          <w:rFonts w:ascii="arial" w:eastAsia="arial" w:hAnsi="arial" w:cs="arial"/>
          <w:i/>
          <w:color w:val="000000"/>
          <w:sz w:val="20"/>
          <w:lang w:val="en-US" w:eastAsia="en-US" w:bidi="ar-SA"/>
        </w:rPr>
        <w:t>Ashcroft Indian Band's Membership List;</w:t>
      </w:r>
    </w:p>
    <w:p>
      <w:pPr>
        <w:numPr>
          <w:numId w:val="5"/>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A declaration that the defendants be required to apply for membership in the Ashcroft Indian Band pursuant to the </w:t>
      </w:r>
      <w:r>
        <w:rPr>
          <w:rFonts w:ascii="arial" w:eastAsia="arial" w:hAnsi="arial" w:cs="arial"/>
          <w:i/>
          <w:color w:val="000000"/>
          <w:sz w:val="20"/>
          <w:lang w:val="en-US" w:eastAsia="en-US" w:bidi="ar-SA"/>
        </w:rPr>
        <w:t>Ashcroft Indian Band's Membership Rules</w:t>
      </w:r>
      <w:r>
        <w:rPr>
          <w:rFonts w:ascii="arial" w:eastAsia="arial" w:hAnsi="arial" w:cs="arial"/>
          <w:color w:val="000000"/>
          <w:sz w:val="20"/>
          <w:lang w:val="en-US" w:eastAsia="en-US" w:bidi="ar-SA"/>
        </w:rPr>
        <w:t xml:space="preserve"> if they wish to seek membership in the Ashcroft Indian Band; and</w:t>
      </w:r>
    </w:p>
    <w:p>
      <w:pPr>
        <w:numPr>
          <w:numId w:val="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 declaration that any Voters List for use by the Ashcroft Indian Band be prepared based on a membership list that accords with the Ashcroft Indian Band's Membership Rules.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xml:space="preserve">  The plaintiff's claim is based on the </w:t>
      </w:r>
      <w:r>
        <w:rPr>
          <w:rFonts w:ascii="arial" w:eastAsia="arial" w:hAnsi="arial" w:cs="arial"/>
          <w:i/>
          <w:color w:val="000000"/>
          <w:sz w:val="20"/>
          <w:lang w:val="en-US" w:eastAsia="en-US" w:bidi="ar-SA"/>
        </w:rPr>
        <w:t>Ashcroft Indian Band Membership Rules</w:t>
      </w:r>
      <w:r>
        <w:rPr>
          <w:rFonts w:ascii="arial" w:eastAsia="arial" w:hAnsi="arial" w:cs="arial"/>
          <w:color w:val="000000"/>
          <w:sz w:val="20"/>
          <w:lang w:val="en-US" w:eastAsia="en-US" w:bidi="ar-SA"/>
        </w:rPr>
        <w:t xml:space="preserve"> (the "</w:t>
      </w:r>
      <w:r>
        <w:rPr>
          <w:rFonts w:ascii="arial" w:eastAsia="arial" w:hAnsi="arial" w:cs="arial"/>
          <w:i/>
          <w:color w:val="000000"/>
          <w:sz w:val="20"/>
          <w:lang w:val="en-US" w:eastAsia="en-US" w:bidi="ar-SA"/>
        </w:rPr>
        <w:t>Membership Rules</w:t>
      </w:r>
      <w:r>
        <w:rPr>
          <w:rFonts w:ascii="arial" w:eastAsia="arial" w:hAnsi="arial" w:cs="arial"/>
          <w:color w:val="000000"/>
          <w:sz w:val="20"/>
          <w:lang w:val="en-US" w:eastAsia="en-US" w:bidi="ar-SA"/>
        </w:rPr>
        <w:t>" or "</w:t>
      </w:r>
      <w:r>
        <w:rPr>
          <w:rFonts w:ascii="arial" w:eastAsia="arial" w:hAnsi="arial" w:cs="arial"/>
          <w:i/>
          <w:color w:val="000000"/>
          <w:sz w:val="20"/>
          <w:lang w:val="en-US" w:eastAsia="en-US" w:bidi="ar-SA"/>
        </w:rPr>
        <w:t>Rules</w:t>
      </w:r>
      <w:r>
        <w:rPr>
          <w:rFonts w:ascii="arial" w:eastAsia="arial" w:hAnsi="arial" w:cs="arial"/>
          <w:color w:val="000000"/>
          <w:sz w:val="20"/>
          <w:lang w:val="en-US" w:eastAsia="en-US" w:bidi="ar-SA"/>
        </w:rPr>
        <w:t xml:space="preserve">") which govern the membership of the Band pursuant to s. 10 of the </w:t>
      </w:r>
      <w:r>
        <w:rPr>
          <w:rFonts w:ascii="arial" w:eastAsia="arial" w:hAnsi="arial" w:cs="arial"/>
          <w:i/>
          <w:color w:val="000000"/>
          <w:sz w:val="20"/>
          <w:lang w:val="en-US" w:eastAsia="en-US" w:bidi="ar-SA"/>
        </w:rPr>
        <w:t>Indian Act,</w:t>
      </w:r>
      <w:r>
        <w:rPr>
          <w:rFonts w:ascii="arial" w:eastAsia="arial" w:hAnsi="arial" w:cs="arial"/>
          <w:color w:val="000000"/>
          <w:sz w:val="20"/>
          <w:lang w:val="en-US" w:eastAsia="en-US" w:bidi="ar-SA"/>
        </w:rPr>
        <w:t xml:space="preserve"> </w:t>
      </w:r>
      <w:hyperlink r:id="rId895" w:history="1">
        <w:r>
          <w:rPr>
            <w:rFonts w:ascii="arial" w:eastAsia="arial" w:hAnsi="arial" w:cs="arial"/>
            <w:i/>
            <w:color w:val="0077CC"/>
            <w:sz w:val="20"/>
            <w:u w:val="single"/>
            <w:shd w:val="clear" w:color="auto" w:fill="FFFFFF"/>
            <w:lang w:val="en-US" w:eastAsia="en-US" w:bidi="ar-SA"/>
          </w:rPr>
          <w:t>R.S.C. 1985, c. I-5</w:t>
        </w:r>
      </w:hyperlink>
      <w:r>
        <w:rPr>
          <w:rFonts w:ascii="arial" w:eastAsia="arial" w:hAnsi="arial" w:cs="arial"/>
          <w:color w:val="000000"/>
          <w:sz w:val="20"/>
          <w:lang w:val="en-US" w:eastAsia="en-US" w:bidi="ar-SA"/>
        </w:rPr>
        <w:t>, which provides: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Band control of membership</w:t>
      </w:r>
    </w:p>
    <w:p>
      <w:pPr>
        <w:spacing w:before="120" w:line="260" w:lineRule="atLeast"/>
        <w:ind w:left="1080"/>
        <w:rPr>
          <w:rFonts w:ascii="arial" w:eastAsia="arial" w:hAnsi="arial" w:cs="arial"/>
          <w:sz w:val="20"/>
          <w:lang w:val="en-US" w:eastAsia="en-US" w:bidi="ar-SA"/>
        </w:rPr>
      </w:pP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xml:space="preserve"> (1) A band may assume control of its own membership if it establishes membership rules for itself in writing in accordance with this section and if, after the band has given appropriate notice of its intention to assume control of its own membership, a majority of the electors of the band gives its consent to the band's control of its own membership.</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Membership rules</w:t>
      </w:r>
    </w:p>
    <w:p>
      <w:pPr>
        <w:numPr>
          <w:numId w:val="7"/>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A band may, pursuant to the consent of a majority of the electors of the band,</w:t>
      </w:r>
    </w:p>
    <w:p>
      <w:pPr>
        <w:spacing w:before="120" w:line="260" w:lineRule="atLeast"/>
        <w:ind w:left="1440"/>
        <w:rPr>
          <w:rFonts w:ascii="arial" w:eastAsia="arial" w:hAnsi="arial" w:cs="arial"/>
          <w:sz w:val="20"/>
          <w:lang w:val="en-US" w:eastAsia="en-US" w:bidi="ar-SA"/>
        </w:rPr>
      </w:pPr>
      <w:r>
        <w:rPr>
          <w:rFonts w:ascii="arial" w:eastAsia="arial" w:hAnsi="arial" w:cs="arial"/>
          <w:color w:val="000000"/>
          <w:sz w:val="20"/>
          <w:lang w:val="en-US" w:eastAsia="en-US" w:bidi="ar-SA"/>
        </w:rPr>
        <w:t>(</w:t>
      </w:r>
      <w:r>
        <w:rPr>
          <w:rFonts w:ascii="arial" w:eastAsia="arial" w:hAnsi="arial" w:cs="arial"/>
          <w:i/>
          <w:color w:val="000000"/>
          <w:sz w:val="20"/>
          <w:lang w:val="en-US" w:eastAsia="en-US" w:bidi="ar-SA"/>
        </w:rPr>
        <w:t>a</w:t>
      </w:r>
      <w:r>
        <w:rPr>
          <w:rFonts w:ascii="arial" w:eastAsia="arial" w:hAnsi="arial" w:cs="arial"/>
          <w:color w:val="000000"/>
          <w:sz w:val="20"/>
          <w:lang w:val="en-US" w:eastAsia="en-US" w:bidi="ar-SA"/>
        </w:rPr>
        <w:t>) after it has given appropriate notice of its intention to do so, establish membership rules for itself; and</w:t>
      </w:r>
    </w:p>
    <w:p>
      <w:pPr>
        <w:spacing w:before="120" w:line="260" w:lineRule="atLeast"/>
        <w:ind w:left="1440"/>
        <w:rPr>
          <w:rFonts w:ascii="arial" w:eastAsia="arial" w:hAnsi="arial" w:cs="arial"/>
          <w:sz w:val="20"/>
          <w:lang w:val="en-US" w:eastAsia="en-US" w:bidi="ar-SA"/>
        </w:rPr>
      </w:pPr>
      <w:r>
        <w:rPr>
          <w:rFonts w:ascii="arial" w:eastAsia="arial" w:hAnsi="arial" w:cs="arial"/>
          <w:color w:val="000000"/>
          <w:sz w:val="20"/>
          <w:lang w:val="en-US" w:eastAsia="en-US" w:bidi="ar-SA"/>
        </w:rPr>
        <w:t>(</w:t>
      </w:r>
      <w:r>
        <w:rPr>
          <w:rFonts w:ascii="arial" w:eastAsia="arial" w:hAnsi="arial" w:cs="arial"/>
          <w:i/>
          <w:color w:val="000000"/>
          <w:sz w:val="20"/>
          <w:lang w:val="en-US" w:eastAsia="en-US" w:bidi="ar-SA"/>
        </w:rPr>
        <w:t>b</w:t>
      </w:r>
      <w:r>
        <w:rPr>
          <w:rFonts w:ascii="arial" w:eastAsia="arial" w:hAnsi="arial" w:cs="arial"/>
          <w:color w:val="000000"/>
          <w:sz w:val="20"/>
          <w:lang w:val="en-US" w:eastAsia="en-US" w:bidi="ar-SA"/>
        </w:rPr>
        <w:t>) provide for a mechanism for reviewing decisions on membership.</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Acquired rights</w:t>
      </w:r>
    </w:p>
    <w:p>
      <w:pPr>
        <w:numPr>
          <w:numId w:val="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Membership rules established by a band under this section may not deprive any person who had the right to have his name entered in the Band List for that band, immediately prior to the time the rules were established, of the right to have his name so entered by reason only of a situation that existed or an action that was taken before the rules came into force.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Notice to the Minister</w:t>
      </w:r>
    </w:p>
    <w:p>
      <w:pPr>
        <w:numPr>
          <w:numId w:val="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Where the conditions set out in subsection (1) have been met with respect to a band, the council of the band shall forthwith give notice to the Minister in writing that the band is assuming control of its own membership and shall provide the Minister with a copy of the membership rules for the band.</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Notice to band and copy of Band List</w:t>
      </w:r>
    </w:p>
    <w:p>
      <w:pPr>
        <w:numPr>
          <w:numId w:val="1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On receipt of a notice from the council of a band under subsection (6), the Minister shall, if the conditions set out in subsection (1) have been complied with, forthwith</w:t>
      </w:r>
    </w:p>
    <w:p>
      <w:pPr>
        <w:spacing w:before="120" w:line="260" w:lineRule="atLeast"/>
        <w:ind w:left="1440"/>
        <w:rPr>
          <w:rFonts w:ascii="arial" w:eastAsia="arial" w:hAnsi="arial" w:cs="arial"/>
          <w:sz w:val="20"/>
          <w:lang w:val="en-US" w:eastAsia="en-US" w:bidi="ar-SA"/>
        </w:rPr>
      </w:pPr>
      <w:r>
        <w:rPr>
          <w:rFonts w:ascii="arial" w:eastAsia="arial" w:hAnsi="arial" w:cs="arial"/>
          <w:color w:val="000000"/>
          <w:sz w:val="20"/>
          <w:lang w:val="en-US" w:eastAsia="en-US" w:bidi="ar-SA"/>
        </w:rPr>
        <w:t>(</w:t>
      </w:r>
      <w:r>
        <w:rPr>
          <w:rFonts w:ascii="arial" w:eastAsia="arial" w:hAnsi="arial" w:cs="arial"/>
          <w:i/>
          <w:color w:val="000000"/>
          <w:sz w:val="20"/>
          <w:lang w:val="en-US" w:eastAsia="en-US" w:bidi="ar-SA"/>
        </w:rPr>
        <w:t>a</w:t>
      </w:r>
      <w:r>
        <w:rPr>
          <w:rFonts w:ascii="arial" w:eastAsia="arial" w:hAnsi="arial" w:cs="arial"/>
          <w:color w:val="000000"/>
          <w:sz w:val="20"/>
          <w:lang w:val="en-US" w:eastAsia="en-US" w:bidi="ar-SA"/>
        </w:rPr>
        <w:t>) give notice to the band that it has control of its own membership; and</w:t>
      </w:r>
    </w:p>
    <w:p>
      <w:pPr>
        <w:spacing w:before="120" w:line="260" w:lineRule="atLeast"/>
        <w:ind w:left="1440"/>
        <w:rPr>
          <w:rFonts w:ascii="arial" w:eastAsia="arial" w:hAnsi="arial" w:cs="arial"/>
          <w:sz w:val="20"/>
          <w:lang w:val="en-US" w:eastAsia="en-US" w:bidi="ar-SA"/>
        </w:rPr>
      </w:pPr>
      <w:r>
        <w:rPr>
          <w:rFonts w:ascii="arial" w:eastAsia="arial" w:hAnsi="arial" w:cs="arial"/>
          <w:color w:val="000000"/>
          <w:sz w:val="20"/>
          <w:lang w:val="en-US" w:eastAsia="en-US" w:bidi="ar-SA"/>
        </w:rPr>
        <w:t>(</w:t>
      </w:r>
      <w:r>
        <w:rPr>
          <w:rFonts w:ascii="arial" w:eastAsia="arial" w:hAnsi="arial" w:cs="arial"/>
          <w:i/>
          <w:color w:val="000000"/>
          <w:sz w:val="20"/>
          <w:lang w:val="en-US" w:eastAsia="en-US" w:bidi="ar-SA"/>
        </w:rPr>
        <w:t>b</w:t>
      </w:r>
      <w:r>
        <w:rPr>
          <w:rFonts w:ascii="arial" w:eastAsia="arial" w:hAnsi="arial" w:cs="arial"/>
          <w:color w:val="000000"/>
          <w:sz w:val="20"/>
          <w:lang w:val="en-US" w:eastAsia="en-US" w:bidi="ar-SA"/>
        </w:rPr>
        <w:t>) direct the Registrar to provide the band with a copy of the Band List maintained in the Department.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Effective date of band's membership rules</w:t>
      </w:r>
    </w:p>
    <w:p>
      <w:pPr>
        <w:numPr>
          <w:numId w:val="1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Where a band assumes control of its membership under this section, the membership rules established by the band shall have effect from the day on which notice is given to the Minister under subsection (6), and any additions to or deletions from the Band List of the band by the Registrar on or after that day are of no effect unless they are in accordance with the membership rules established by the band.</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Band to maintain Band List</w:t>
      </w:r>
    </w:p>
    <w:p>
      <w:pPr>
        <w:numPr>
          <w:numId w:val="1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 band shall maintain its own Band List from the date on which a copy of the Band List is received by the band under paragraph (7)(</w:t>
      </w:r>
      <w:r>
        <w:rPr>
          <w:rFonts w:ascii="arial" w:eastAsia="arial" w:hAnsi="arial" w:cs="arial"/>
          <w:i/>
          <w:color w:val="000000"/>
          <w:sz w:val="20"/>
          <w:lang w:val="en-US" w:eastAsia="en-US" w:bidi="ar-SA"/>
        </w:rPr>
        <w:t>b</w:t>
      </w:r>
      <w:r>
        <w:rPr>
          <w:rFonts w:ascii="arial" w:eastAsia="arial" w:hAnsi="arial" w:cs="arial"/>
          <w:color w:val="000000"/>
          <w:sz w:val="20"/>
          <w:lang w:val="en-US" w:eastAsia="en-US" w:bidi="ar-SA"/>
        </w:rPr>
        <w:t>), and, subject to section 13.2, the Department shall have no further responsibility with respect to that Band List from that date.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Deletions and additions</w:t>
      </w:r>
    </w:p>
    <w:p>
      <w:pPr>
        <w:numPr>
          <w:numId w:val="1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 band may at any time add to or delete from a Band List maintained by it the name of any person who, in accordance with the membership rules of the band, is entitled or not entitled, as the case may be, to have his name included in that list.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Date of change</w:t>
      </w:r>
    </w:p>
    <w:p>
      <w:pPr>
        <w:numPr>
          <w:numId w:val="1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 Band List maintained by a band shall indicate the date on which each name was added thereto or deleted therefrom.</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R.S., 1985, c. I-5, s. 10; R.S., 1985, c. 32 (1st Supp.), s. 4.</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xml:space="preserve">  The relevant provisions of the </w:t>
      </w:r>
      <w:r>
        <w:rPr>
          <w:rFonts w:ascii="arial" w:eastAsia="arial" w:hAnsi="arial" w:cs="arial"/>
          <w:i/>
          <w:color w:val="000000"/>
          <w:sz w:val="20"/>
          <w:lang w:val="en-US" w:eastAsia="en-US" w:bidi="ar-SA"/>
        </w:rPr>
        <w:t>Membership Rules</w:t>
      </w:r>
      <w:r>
        <w:rPr>
          <w:rFonts w:ascii="arial" w:eastAsia="arial" w:hAnsi="arial" w:cs="arial"/>
          <w:color w:val="000000"/>
          <w:sz w:val="20"/>
          <w:lang w:val="en-US" w:eastAsia="en-US" w:bidi="ar-SA"/>
        </w:rPr>
        <w:t xml:space="preserve"> state:</w:t>
      </w:r>
      <w:r>
        <w:rPr>
          <w:rFonts w:ascii="arial" w:eastAsia="arial" w:hAnsi="arial" w:cs="arial"/>
          <w:sz w:val="20"/>
          <w:lang w:val="en-US" w:eastAsia="en-US" w:bidi="ar-SA"/>
        </w:rPr>
        <w:cr/>
      </w:r>
    </w:p>
    <w:p>
      <w:pPr>
        <w:numPr>
          <w:numId w:val="15"/>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(3) "Band List" means a list of persons that is maintained under section 8 of the </w:t>
      </w:r>
      <w:r>
        <w:rPr>
          <w:rFonts w:ascii="arial" w:eastAsia="arial" w:hAnsi="arial" w:cs="arial"/>
          <w:color w:val="000000"/>
          <w:sz w:val="20"/>
          <w:u w:val="single"/>
          <w:lang w:val="en-US" w:eastAsia="en-US" w:bidi="ar-SA"/>
        </w:rPr>
        <w:t>Indian Act,</w:t>
      </w:r>
      <w:r>
        <w:rPr>
          <w:rFonts w:ascii="arial" w:eastAsia="arial" w:hAnsi="arial" w:cs="arial"/>
          <w:color w:val="000000"/>
          <w:sz w:val="20"/>
          <w:lang w:val="en-US" w:eastAsia="en-US" w:bidi="ar-SA"/>
        </w:rPr>
        <w:t xml:space="preserve"> 1985, by the Band or the Department of Indian Affairs and Northern Development;</w:t>
      </w:r>
    </w:p>
    <w:p>
      <w:pPr>
        <w:numPr>
          <w:numId w:val="15"/>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(14) "Membership Clerk" (the "Clerk") means a person appointed by the Council to perform the duties of registrar of Band membership;</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2.(15) "Membership Committee" (the "Committee") means a committee appointed by Council ...</w:t>
      </w:r>
    </w:p>
    <w:p>
      <w:pPr>
        <w:numPr>
          <w:numId w:val="1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(16) "Member of the Band" means a person whose name appears on the Band List or is entitled to have his name appear on the Band List,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numPr>
          <w:numId w:val="1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Band hereby delegates to the Council the authority to enact regulations to administer these Rules in a fair, impartial manner without discriminating on the basis of sex, religion, age or family and in accordance with the best interests of the Band.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xml:space="preserve">  The defendants are, according to the Band List, Band members. However, the statement of claim alleges that 74 individuals are not entitled to be on the Band List and that the majority of them are not so entitled because they have not applied for membership as required by the </w:t>
      </w:r>
      <w:r>
        <w:rPr>
          <w:rFonts w:ascii="arial" w:eastAsia="arial" w:hAnsi="arial" w:cs="arial"/>
          <w:i/>
          <w:color w:val="000000"/>
          <w:sz w:val="20"/>
          <w:lang w:val="en-US" w:eastAsia="en-US" w:bidi="ar-SA"/>
        </w:rPr>
        <w:t>Membership Rules</w:t>
      </w:r>
      <w:r>
        <w:rPr>
          <w:rFonts w:ascii="arial" w:eastAsia="arial" w:hAnsi="arial" w:cs="arial"/>
          <w:color w:val="000000"/>
          <w:sz w:val="20"/>
          <w:lang w:val="en-US" w:eastAsia="en-US" w:bidi="ar-SA"/>
        </w:rPr>
        <w:t xml:space="preserve">. It is not disputed that the defendants are on the Band List as Band members. For the purposes of this application, it is accepted that they have not made application for Band membership. It is also accepted that their membership applications have never been voted on by the Band in accordance with the </w:t>
      </w:r>
      <w:r>
        <w:rPr>
          <w:rFonts w:ascii="arial" w:eastAsia="arial" w:hAnsi="arial" w:cs="arial"/>
          <w:i/>
          <w:color w:val="000000"/>
          <w:sz w:val="20"/>
          <w:lang w:val="en-US" w:eastAsia="en-US" w:bidi="ar-SA"/>
        </w:rPr>
        <w:t>Membership Rules.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xml:space="preserve">  The Band controls its own membership pursuant to s. 10 of the </w:t>
      </w:r>
      <w:r>
        <w:rPr>
          <w:rFonts w:ascii="arial" w:eastAsia="arial" w:hAnsi="arial" w:cs="arial"/>
          <w:i/>
          <w:color w:val="000000"/>
          <w:sz w:val="20"/>
          <w:lang w:val="en-US" w:eastAsia="en-US" w:bidi="ar-SA"/>
        </w:rPr>
        <w:t>Indian Act</w:t>
      </w:r>
      <w:r>
        <w:rPr>
          <w:rFonts w:ascii="arial" w:eastAsia="arial" w:hAnsi="arial" w:cs="arial"/>
          <w:color w:val="000000"/>
          <w:sz w:val="20"/>
          <w:lang w:val="en-US" w:eastAsia="en-US" w:bidi="ar-SA"/>
        </w:rPr>
        <w:t>. The Band assumed such control on September 25, 1987. At the time there were approximately 106 Band members.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The Band List, including additions and deletions to that list, is maintained by the Membership Clerk. The Membership Clerk also updates, verifies and provides the Band voters list, which consists of all Band members who are at least 18 years old, to the electoral officer for use in elections (the "Voters List").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xml:space="preserve">  The </w:t>
      </w:r>
      <w:r>
        <w:rPr>
          <w:rFonts w:ascii="arial" w:eastAsia="arial" w:hAnsi="arial" w:cs="arial"/>
          <w:i/>
          <w:color w:val="000000"/>
          <w:sz w:val="20"/>
          <w:lang w:val="en-US" w:eastAsia="en-US" w:bidi="ar-SA"/>
        </w:rPr>
        <w:t>Membership Rules</w:t>
      </w:r>
      <w:r>
        <w:rPr>
          <w:rFonts w:ascii="arial" w:eastAsia="arial" w:hAnsi="arial" w:cs="arial"/>
          <w:color w:val="000000"/>
          <w:sz w:val="20"/>
          <w:lang w:val="en-US" w:eastAsia="en-US" w:bidi="ar-SA"/>
        </w:rPr>
        <w:t xml:space="preserve"> set out the rules for entitlement to become a Band member. Under the </w:t>
      </w:r>
      <w:r>
        <w:rPr>
          <w:rFonts w:ascii="arial" w:eastAsia="arial" w:hAnsi="arial" w:cs="arial"/>
          <w:i/>
          <w:color w:val="000000"/>
          <w:sz w:val="20"/>
          <w:lang w:val="en-US" w:eastAsia="en-US" w:bidi="ar-SA"/>
        </w:rPr>
        <w:t>Membership Rules,</w:t>
      </w:r>
      <w:r>
        <w:rPr>
          <w:rFonts w:ascii="arial" w:eastAsia="arial" w:hAnsi="arial" w:cs="arial"/>
          <w:color w:val="000000"/>
          <w:sz w:val="20"/>
          <w:lang w:val="en-US" w:eastAsia="en-US" w:bidi="ar-SA"/>
        </w:rPr>
        <w:t xml:space="preserve"> certain categories of individuals are entitled to "automatic" membership based on certain criteria. Other categories of individuals who might be entitled to membership are required to apply for membership and be accepted by a majority of the Band electors. Ultimately, it is the Band who must approve new members.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The plaintiff states the issue is that the defendants have failed to apply for membership. The defendants submit they cannot give relief to the plaintiff's requests because they have no authority to remove their own names from the Band List.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Discussion</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i/>
          <w:color w:val="000000"/>
          <w:sz w:val="20"/>
          <w:lang w:val="en-US" w:eastAsia="en-US" w:bidi="ar-SA"/>
        </w:rPr>
        <w:t>Who are the Appropriate Parties?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The plaintiff acknowledges that it is the Band itself that has the authority to make decisions respecting Band membership. However, the plaintiff has not joined the Band as a defendant. His reasoning for not doing so is that the Band members have never had the opportunity to make a decision concerning the defendants' entitlement to membership because the defendants' have never applied under the rules thereby triggering the process that would allow the Band to consider their applications.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w:t>
      </w:r>
      <w:r>
        <w:rPr>
          <w:rFonts w:ascii="arial" w:eastAsia="arial" w:hAnsi="arial" w:cs="arial"/>
          <w:color w:val="000000"/>
          <w:sz w:val="20"/>
          <w:lang w:val="en-US" w:eastAsia="en-US" w:bidi="ar-SA"/>
        </w:rPr>
        <w:t>  The plaintiff claims that the defendants' failure to apply for membership in the Band has denied the Band members an opportunity to decide on their entitlement to membership. As a result, he seeks a declaration from the court striking those individuals from the Band List. He does not advance his claims against the Band, the Band Council or the Membership Clerk because, he says, there is no "decision" by these entities that is being challenged in these proceedings.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w:t>
      </w:r>
      <w:r>
        <w:rPr>
          <w:rFonts w:ascii="arial" w:eastAsia="arial" w:hAnsi="arial" w:cs="arial"/>
          <w:color w:val="000000"/>
          <w:sz w:val="20"/>
          <w:lang w:val="en-US" w:eastAsia="en-US" w:bidi="ar-SA"/>
        </w:rPr>
        <w:t xml:space="preserve">  The plaintiff further submits that the defendants are the proper parties as the relief sought directly affects them. They are the individuals whose membership is in issue. The plaintiff states that no relief is sought against the Band Council or the Membership Clerk because they have no jurisdiction with respect to the issue of the defendants' entitlement to membership as that lies with the Band. That argument however ignores the procedural processes contained in the </w:t>
      </w:r>
      <w:r>
        <w:rPr>
          <w:rFonts w:ascii="arial" w:eastAsia="arial" w:hAnsi="arial" w:cs="arial"/>
          <w:i/>
          <w:color w:val="000000"/>
          <w:sz w:val="20"/>
          <w:lang w:val="en-US" w:eastAsia="en-US" w:bidi="ar-SA"/>
        </w:rPr>
        <w:t>Membership Rules</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w:t>
      </w:r>
      <w:r>
        <w:rPr>
          <w:rFonts w:ascii="arial" w:eastAsia="arial" w:hAnsi="arial" w:cs="arial"/>
          <w:color w:val="000000"/>
          <w:sz w:val="20"/>
          <w:lang w:val="en-US" w:eastAsia="en-US" w:bidi="ar-SA"/>
        </w:rPr>
        <w:t>  The defendants submit that, in naming the defendants as individuals and not the Band or Band Council, the plaintiff has failed to name the person or entity which actually has the authority to strike the defendants from the Band List. Therefore, the declaration sought that they be struck from the membership is not something that is within their power to do.</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w:t>
      </w:r>
      <w:r>
        <w:rPr>
          <w:rFonts w:ascii="arial" w:eastAsia="arial" w:hAnsi="arial" w:cs="arial"/>
          <w:color w:val="000000"/>
          <w:sz w:val="20"/>
          <w:lang w:val="en-US" w:eastAsia="en-US" w:bidi="ar-SA"/>
        </w:rPr>
        <w:t xml:space="preserve">  The Band, through the </w:t>
      </w:r>
      <w:r>
        <w:rPr>
          <w:rFonts w:ascii="arial" w:eastAsia="arial" w:hAnsi="arial" w:cs="arial"/>
          <w:i/>
          <w:color w:val="000000"/>
          <w:sz w:val="20"/>
          <w:lang w:val="en-US" w:eastAsia="en-US" w:bidi="ar-SA"/>
        </w:rPr>
        <w:t>Membership Rules,</w:t>
      </w:r>
      <w:r>
        <w:rPr>
          <w:rFonts w:ascii="arial" w:eastAsia="arial" w:hAnsi="arial" w:cs="arial"/>
          <w:color w:val="000000"/>
          <w:sz w:val="20"/>
          <w:lang w:val="en-US" w:eastAsia="en-US" w:bidi="ar-SA"/>
        </w:rPr>
        <w:t xml:space="preserve"> has delegated to the Band Council control over the process of obtaining Band membership. It is the Band Council that is empowered to carry out the </w:t>
      </w:r>
      <w:r>
        <w:rPr>
          <w:rFonts w:ascii="arial" w:eastAsia="arial" w:hAnsi="arial" w:cs="arial"/>
          <w:i/>
          <w:color w:val="000000"/>
          <w:sz w:val="20"/>
          <w:lang w:val="en-US" w:eastAsia="en-US" w:bidi="ar-SA"/>
        </w:rPr>
        <w:t>Membership Rules</w:t>
      </w:r>
      <w:r>
        <w:rPr>
          <w:rFonts w:ascii="arial" w:eastAsia="arial" w:hAnsi="arial" w:cs="arial"/>
          <w:color w:val="000000"/>
          <w:sz w:val="20"/>
          <w:lang w:val="en-US" w:eastAsia="en-US" w:bidi="ar-SA"/>
        </w:rPr>
        <w:t xml:space="preserve">. In this instance, the </w:t>
      </w:r>
      <w:r>
        <w:rPr>
          <w:rFonts w:ascii="arial" w:eastAsia="arial" w:hAnsi="arial" w:cs="arial"/>
          <w:i/>
          <w:color w:val="000000"/>
          <w:sz w:val="20"/>
          <w:lang w:val="en-US" w:eastAsia="en-US" w:bidi="ar-SA"/>
        </w:rPr>
        <w:t>Membership Rules</w:t>
      </w:r>
      <w:r>
        <w:rPr>
          <w:rFonts w:ascii="arial" w:eastAsia="arial" w:hAnsi="arial" w:cs="arial"/>
          <w:color w:val="000000"/>
          <w:sz w:val="20"/>
          <w:lang w:val="en-US" w:eastAsia="en-US" w:bidi="ar-SA"/>
        </w:rPr>
        <w:t xml:space="preserve"> provide that the Membership Clerk, Membership Committee and Band Council make decisions. It is their responsibility to require that prospective members make application for membership. The failure of Band members to apply for membership is not the issue. The real issue is the failure of the Band Council to follow the </w:t>
      </w:r>
      <w:r>
        <w:rPr>
          <w:rFonts w:ascii="arial" w:eastAsia="arial" w:hAnsi="arial" w:cs="arial"/>
          <w:i/>
          <w:color w:val="000000"/>
          <w:sz w:val="20"/>
          <w:lang w:val="en-US" w:eastAsia="en-US" w:bidi="ar-SA"/>
        </w:rPr>
        <w:t>Membership Rules</w:t>
      </w:r>
      <w:r>
        <w:rPr>
          <w:rFonts w:ascii="arial" w:eastAsia="arial" w:hAnsi="arial" w:cs="arial"/>
          <w:color w:val="000000"/>
          <w:sz w:val="20"/>
          <w:lang w:val="en-US" w:eastAsia="en-US" w:bidi="ar-SA"/>
        </w:rPr>
        <w:t>. The subject matter of the dispute is the improper addition of parties who may or may not be entitled to be on the membership list.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w:t>
      </w:r>
      <w:r>
        <w:rPr>
          <w:rFonts w:ascii="arial" w:eastAsia="arial" w:hAnsi="arial" w:cs="arial"/>
          <w:color w:val="000000"/>
          <w:sz w:val="20"/>
          <w:lang w:val="en-US" w:eastAsia="en-US" w:bidi="ar-SA"/>
        </w:rPr>
        <w:t xml:space="preserve">  It follows then that what must be considered is the role played by the Band Council on behalf of the Band in its administration, pursuant to the </w:t>
      </w:r>
      <w:r>
        <w:rPr>
          <w:rFonts w:ascii="arial" w:eastAsia="arial" w:hAnsi="arial" w:cs="arial"/>
          <w:i/>
          <w:color w:val="000000"/>
          <w:sz w:val="20"/>
          <w:lang w:val="en-US" w:eastAsia="en-US" w:bidi="ar-SA"/>
        </w:rPr>
        <w:t>Membership Rules</w:t>
      </w:r>
      <w:r>
        <w:rPr>
          <w:rFonts w:ascii="arial" w:eastAsia="arial" w:hAnsi="arial" w:cs="arial"/>
          <w:color w:val="000000"/>
          <w:sz w:val="20"/>
          <w:lang w:val="en-US" w:eastAsia="en-US" w:bidi="ar-SA"/>
        </w:rPr>
        <w:t>, of the Band list.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i/>
          <w:color w:val="000000"/>
          <w:sz w:val="20"/>
          <w:lang w:val="en-US" w:eastAsia="en-US" w:bidi="ar-SA"/>
        </w:rPr>
        <w:t>Band Membership Rules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w:t>
      </w:r>
      <w:r>
        <w:rPr>
          <w:rFonts w:ascii="arial" w:eastAsia="arial" w:hAnsi="arial" w:cs="arial"/>
          <w:color w:val="000000"/>
          <w:sz w:val="20"/>
          <w:lang w:val="en-US" w:eastAsia="en-US" w:bidi="ar-SA"/>
        </w:rPr>
        <w:t xml:space="preserve">  As noted earlier the </w:t>
      </w:r>
      <w:r>
        <w:rPr>
          <w:rFonts w:ascii="arial" w:eastAsia="arial" w:hAnsi="arial" w:cs="arial"/>
          <w:i/>
          <w:color w:val="000000"/>
          <w:sz w:val="20"/>
          <w:lang w:val="en-US" w:eastAsia="en-US" w:bidi="ar-SA"/>
        </w:rPr>
        <w:t>Membership Rules</w:t>
      </w:r>
      <w:r>
        <w:rPr>
          <w:rFonts w:ascii="arial" w:eastAsia="arial" w:hAnsi="arial" w:cs="arial"/>
          <w:color w:val="000000"/>
          <w:sz w:val="20"/>
          <w:lang w:val="en-US" w:eastAsia="en-US" w:bidi="ar-SA"/>
        </w:rPr>
        <w:t xml:space="preserve"> require that a prospective member apply to the Band to become a Band member. Upon receipt of the prospective member's application the Membership Clerk assesses it and then forwards it to the Membership Committee. The Membership Committee then makes a recommendation to the Band Council and the Band Council schedules a membership referendum. Such referendums are to be held four times a year.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w:t>
      </w:r>
      <w:r>
        <w:rPr>
          <w:rFonts w:ascii="arial" w:eastAsia="arial" w:hAnsi="arial" w:cs="arial"/>
          <w:color w:val="000000"/>
          <w:sz w:val="20"/>
          <w:lang w:val="en-US" w:eastAsia="en-US" w:bidi="ar-SA"/>
        </w:rPr>
        <w:t xml:space="preserve">  For reasons not disclosed in the material, the </w:t>
      </w:r>
      <w:r>
        <w:rPr>
          <w:rFonts w:ascii="arial" w:eastAsia="arial" w:hAnsi="arial" w:cs="arial"/>
          <w:i/>
          <w:color w:val="000000"/>
          <w:sz w:val="20"/>
          <w:lang w:val="en-US" w:eastAsia="en-US" w:bidi="ar-SA"/>
        </w:rPr>
        <w:t>Membership Rules</w:t>
      </w:r>
      <w:r>
        <w:rPr>
          <w:rFonts w:ascii="arial" w:eastAsia="arial" w:hAnsi="arial" w:cs="arial"/>
          <w:color w:val="000000"/>
          <w:sz w:val="20"/>
          <w:lang w:val="en-US" w:eastAsia="en-US" w:bidi="ar-SA"/>
        </w:rPr>
        <w:t xml:space="preserve"> with respect to applying for membership do not appear to have been followed. As noted, those </w:t>
      </w:r>
      <w:r>
        <w:rPr>
          <w:rFonts w:ascii="arial" w:eastAsia="arial" w:hAnsi="arial" w:cs="arial"/>
          <w:i/>
          <w:color w:val="000000"/>
          <w:sz w:val="20"/>
          <w:lang w:val="en-US" w:eastAsia="en-US" w:bidi="ar-SA"/>
        </w:rPr>
        <w:t>Membership Rules</w:t>
      </w:r>
      <w:r>
        <w:rPr>
          <w:rFonts w:ascii="arial" w:eastAsia="arial" w:hAnsi="arial" w:cs="arial"/>
          <w:color w:val="000000"/>
          <w:sz w:val="20"/>
          <w:lang w:val="en-US" w:eastAsia="en-US" w:bidi="ar-SA"/>
        </w:rPr>
        <w:t xml:space="preserve"> give the Band Council the authority to assess, recommend and arrange for referendums on membership applications. Given the defendants are shown as members, at some point they were added to the Membership List. For the purposes of this application, that occurred without the required application for membership being made. The Band Council through its Membership Committee has, on that assumption, failed to comply with the </w:t>
      </w:r>
      <w:r>
        <w:rPr>
          <w:rFonts w:ascii="arial" w:eastAsia="arial" w:hAnsi="arial" w:cs="arial"/>
          <w:i/>
          <w:color w:val="000000"/>
          <w:sz w:val="20"/>
          <w:lang w:val="en-US" w:eastAsia="en-US" w:bidi="ar-SA"/>
        </w:rPr>
        <w:t>Membership Rules</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Okemow-Clark v. Lucky Man Cree Nation,</w:t>
      </w:r>
      <w:r>
        <w:rPr>
          <w:rFonts w:ascii="arial" w:eastAsia="arial" w:hAnsi="arial" w:cs="arial"/>
          <w:color w:val="000000"/>
          <w:sz w:val="20"/>
          <w:lang w:val="en-US" w:eastAsia="en-US" w:bidi="ar-SA"/>
        </w:rPr>
        <w:t xml:space="preserve"> </w:t>
      </w:r>
      <w:hyperlink r:id="rId896" w:history="1">
        <w:r>
          <w:rPr>
            <w:rFonts w:ascii="arial" w:eastAsia="arial" w:hAnsi="arial" w:cs="arial"/>
            <w:i/>
            <w:color w:val="0077CC"/>
            <w:sz w:val="20"/>
            <w:u w:val="single"/>
            <w:shd w:val="clear" w:color="auto" w:fill="FFFFFF"/>
            <w:lang w:val="en-US" w:eastAsia="en-US" w:bidi="ar-SA"/>
          </w:rPr>
          <w:t>2008 FC 888</w:t>
        </w:r>
      </w:hyperlink>
      <w:r>
        <w:rPr>
          <w:rFonts w:ascii="arial" w:eastAsia="arial" w:hAnsi="arial" w:cs="arial"/>
          <w:color w:val="000000"/>
          <w:sz w:val="20"/>
          <w:lang w:val="en-US" w:eastAsia="en-US" w:bidi="ar-SA"/>
        </w:rPr>
        <w:t xml:space="preserve">, the Federal Court was faced with a situation where the chief determined that certain members were in fact not members. It was alleged that he did so without following the band's membership code and the </w:t>
      </w:r>
      <w:r>
        <w:rPr>
          <w:rFonts w:ascii="arial" w:eastAsia="arial" w:hAnsi="arial" w:cs="arial"/>
          <w:i/>
          <w:color w:val="000000"/>
          <w:sz w:val="20"/>
          <w:lang w:val="en-US" w:eastAsia="en-US" w:bidi="ar-SA"/>
        </w:rPr>
        <w:t>Indian Act</w:t>
      </w:r>
      <w:r>
        <w:rPr>
          <w:rFonts w:ascii="arial" w:eastAsia="arial" w:hAnsi="arial" w:cs="arial"/>
          <w:color w:val="000000"/>
          <w:sz w:val="20"/>
          <w:lang w:val="en-US" w:eastAsia="en-US" w:bidi="ar-SA"/>
        </w:rPr>
        <w:t>. The chief argued that there was no decision and no federal board or tribunal was involved. The court found that in fact a decision had been made and that it was also a decision of the band council in that they had acted on it. The court reasoned that judicial review is concerned with the legality of a decision and it should not be immune to review merely because there is no evidence of a decision being formally made or compliance with membership rules. In other words, judicial review cannot be avoided by ignoring rules and not making a formal decision, yet creating a situation and acting on it and in doing so effectively determining the issue.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w:t>
      </w:r>
      <w:r>
        <w:rPr>
          <w:rFonts w:ascii="arial" w:eastAsia="arial" w:hAnsi="arial" w:cs="arial"/>
          <w:color w:val="000000"/>
          <w:sz w:val="20"/>
          <w:lang w:val="en-US" w:eastAsia="en-US" w:bidi="ar-SA"/>
        </w:rPr>
        <w:t xml:space="preserve">  I find that the fact that the Band Council or Membership Clerk failed to comply with the </w:t>
      </w:r>
      <w:r>
        <w:rPr>
          <w:rFonts w:ascii="arial" w:eastAsia="arial" w:hAnsi="arial" w:cs="arial"/>
          <w:i/>
          <w:color w:val="000000"/>
          <w:sz w:val="20"/>
          <w:lang w:val="en-US" w:eastAsia="en-US" w:bidi="ar-SA"/>
        </w:rPr>
        <w:t>Membership Rules</w:t>
      </w:r>
      <w:r>
        <w:rPr>
          <w:rFonts w:ascii="arial" w:eastAsia="arial" w:hAnsi="arial" w:cs="arial"/>
          <w:color w:val="000000"/>
          <w:sz w:val="20"/>
          <w:lang w:val="en-US" w:eastAsia="en-US" w:bidi="ar-SA"/>
        </w:rPr>
        <w:t xml:space="preserve"> does not mean there was no decision. The Band delegated certain functions to the Band Council, the Membership Committee and the Membership Clerk. It is their alleged failure to comply with the </w:t>
      </w:r>
      <w:r>
        <w:rPr>
          <w:rFonts w:ascii="arial" w:eastAsia="arial" w:hAnsi="arial" w:cs="arial"/>
          <w:i/>
          <w:color w:val="000000"/>
          <w:sz w:val="20"/>
          <w:lang w:val="en-US" w:eastAsia="en-US" w:bidi="ar-SA"/>
        </w:rPr>
        <w:t>Membership Rules</w:t>
      </w:r>
      <w:r>
        <w:rPr>
          <w:rFonts w:ascii="arial" w:eastAsia="arial" w:hAnsi="arial" w:cs="arial"/>
          <w:color w:val="000000"/>
          <w:sz w:val="20"/>
          <w:lang w:val="en-US" w:eastAsia="en-US" w:bidi="ar-SA"/>
        </w:rPr>
        <w:t xml:space="preserve"> that is at the root of the dispute. The Band Council decided to place individuals on the Band List without following the </w:t>
      </w:r>
      <w:r>
        <w:rPr>
          <w:rFonts w:ascii="arial" w:eastAsia="arial" w:hAnsi="arial" w:cs="arial"/>
          <w:i/>
          <w:color w:val="000000"/>
          <w:sz w:val="20"/>
          <w:lang w:val="en-US" w:eastAsia="en-US" w:bidi="ar-SA"/>
        </w:rPr>
        <w:t>Membership Rules</w:t>
      </w:r>
      <w:r>
        <w:rPr>
          <w:rFonts w:ascii="arial" w:eastAsia="arial" w:hAnsi="arial" w:cs="arial"/>
          <w:color w:val="000000"/>
          <w:sz w:val="20"/>
          <w:lang w:val="en-US" w:eastAsia="en-US" w:bidi="ar-SA"/>
        </w:rPr>
        <w:t>. This may be a decision that is subject to judicial review in the appropriate court and between the appropriate parties.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w:t>
      </w:r>
      <w:r>
        <w:rPr>
          <w:rFonts w:ascii="arial" w:eastAsia="arial" w:hAnsi="arial" w:cs="arial"/>
          <w:color w:val="000000"/>
          <w:sz w:val="20"/>
          <w:lang w:val="en-US" w:eastAsia="en-US" w:bidi="ar-SA"/>
        </w:rPr>
        <w:t xml:space="preserve">  The named defendants are an identifiable group that does have an interest in the outcome of the litigation. The named defendants' rights under the </w:t>
      </w:r>
      <w:r>
        <w:rPr>
          <w:rFonts w:ascii="arial" w:eastAsia="arial" w:hAnsi="arial" w:cs="arial"/>
          <w:i/>
          <w:color w:val="000000"/>
          <w:sz w:val="20"/>
          <w:lang w:val="en-US" w:eastAsia="en-US" w:bidi="ar-SA"/>
        </w:rPr>
        <w:t>Indian Act</w:t>
      </w:r>
      <w:r>
        <w:rPr>
          <w:rFonts w:ascii="arial" w:eastAsia="arial" w:hAnsi="arial" w:cs="arial"/>
          <w:color w:val="000000"/>
          <w:sz w:val="20"/>
          <w:lang w:val="en-US" w:eastAsia="en-US" w:bidi="ar-SA"/>
        </w:rPr>
        <w:t xml:space="preserve"> and entitlement under the </w:t>
      </w:r>
      <w:r>
        <w:rPr>
          <w:rFonts w:ascii="arial" w:eastAsia="arial" w:hAnsi="arial" w:cs="arial"/>
          <w:i/>
          <w:color w:val="000000"/>
          <w:sz w:val="20"/>
          <w:lang w:val="en-US" w:eastAsia="en-US" w:bidi="ar-SA"/>
        </w:rPr>
        <w:t>Band Rules</w:t>
      </w:r>
      <w:r>
        <w:rPr>
          <w:rFonts w:ascii="arial" w:eastAsia="arial" w:hAnsi="arial" w:cs="arial"/>
          <w:color w:val="000000"/>
          <w:sz w:val="20"/>
          <w:lang w:val="en-US" w:eastAsia="en-US" w:bidi="ar-SA"/>
        </w:rPr>
        <w:t xml:space="preserve"> will be affected by the outcome of this litigation. Therefore, the plaintiff was correct to name the parties with a direct interest in the litigation in the action: </w:t>
      </w:r>
      <w:r>
        <w:rPr>
          <w:rFonts w:ascii="arial" w:eastAsia="arial" w:hAnsi="arial" w:cs="arial"/>
          <w:i/>
          <w:color w:val="000000"/>
          <w:sz w:val="20"/>
          <w:lang w:val="en-US" w:eastAsia="en-US" w:bidi="ar-SA"/>
        </w:rPr>
        <w:t>Sutherland v. Hudson's Bay Co.,</w:t>
      </w:r>
      <w:r>
        <w:rPr>
          <w:rFonts w:ascii="arial" w:eastAsia="arial" w:hAnsi="arial" w:cs="arial"/>
          <w:color w:val="000000"/>
          <w:sz w:val="20"/>
          <w:lang w:val="en-US" w:eastAsia="en-US" w:bidi="ar-SA"/>
        </w:rPr>
        <w:t xml:space="preserve"> </w:t>
      </w:r>
      <w:hyperlink r:id="rId897" w:history="1">
        <w:r>
          <w:rPr>
            <w:rFonts w:ascii="arial" w:eastAsia="arial" w:hAnsi="arial" w:cs="arial"/>
            <w:i/>
            <w:color w:val="0077CC"/>
            <w:sz w:val="20"/>
            <w:u w:val="single"/>
            <w:shd w:val="clear" w:color="auto" w:fill="FFFFFF"/>
            <w:lang w:val="en-US" w:eastAsia="en-US" w:bidi="ar-SA"/>
          </w:rPr>
          <w:t>2005 CanLII 63803</w:t>
        </w:r>
      </w:hyperlink>
      <w:r>
        <w:rPr>
          <w:rFonts w:ascii="arial" w:eastAsia="arial" w:hAnsi="arial" w:cs="arial"/>
          <w:color w:val="000000"/>
          <w:sz w:val="20"/>
          <w:lang w:val="en-US" w:eastAsia="en-US" w:bidi="ar-SA"/>
        </w:rPr>
        <w:t xml:space="preserve"> (ON S.C.), at para. 7.</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w:t>
      </w:r>
      <w:r>
        <w:rPr>
          <w:rFonts w:ascii="arial" w:eastAsia="arial" w:hAnsi="arial" w:cs="arial"/>
          <w:color w:val="000000"/>
          <w:sz w:val="20"/>
          <w:lang w:val="en-US" w:eastAsia="en-US" w:bidi="ar-SA"/>
        </w:rPr>
        <w:t>  However, the plaintiff has failed to name all of the appropriate parties in his application. Assuming this Court has jurisdiction, the plaintiff should have named as additional defendants the Band Council, the Membership Committee and the Band.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w:t>
      </w:r>
      <w:r>
        <w:rPr>
          <w:rFonts w:ascii="arial" w:eastAsia="arial" w:hAnsi="arial" w:cs="arial"/>
          <w:color w:val="000000"/>
          <w:sz w:val="20"/>
          <w:lang w:val="en-US" w:eastAsia="en-US" w:bidi="ar-SA"/>
        </w:rPr>
        <w:t>  The issue of this Court's jurisdiction and the standing of the plaintiff must now be addressed.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Exclusive Jurisdiction of the Federal Court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i/>
          <w:color w:val="000000"/>
          <w:sz w:val="20"/>
          <w:lang w:val="en-US" w:eastAsia="en-US" w:bidi="ar-SA"/>
        </w:rPr>
        <w:t>The Federal Court Act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w:t>
      </w:r>
      <w:r>
        <w:rPr>
          <w:rFonts w:ascii="arial" w:eastAsia="arial" w:hAnsi="arial" w:cs="arial"/>
          <w:color w:val="000000"/>
          <w:sz w:val="20"/>
          <w:lang w:val="en-US" w:eastAsia="en-US" w:bidi="ar-SA"/>
        </w:rPr>
        <w:t xml:space="preserve">  The defendants submit that the plaintiff is seeking declaratory relief against a "federal board, commission or other tribunal" and as a result under s. 2 of the </w:t>
      </w:r>
      <w:r>
        <w:rPr>
          <w:rFonts w:ascii="arial" w:eastAsia="arial" w:hAnsi="arial" w:cs="arial"/>
          <w:i/>
          <w:color w:val="000000"/>
          <w:sz w:val="20"/>
          <w:lang w:val="en-US" w:eastAsia="en-US" w:bidi="ar-SA"/>
        </w:rPr>
        <w:t>Federal Courts Act</w:t>
      </w:r>
      <w:r>
        <w:rPr>
          <w:rFonts w:ascii="arial" w:eastAsia="arial" w:hAnsi="arial" w:cs="arial"/>
          <w:color w:val="000000"/>
          <w:sz w:val="20"/>
          <w:lang w:val="en-US" w:eastAsia="en-US" w:bidi="ar-SA"/>
        </w:rPr>
        <w:t>, R.S. 1985, c. F-7, the Federal Court has exclusive jurisdiction. The plaintiff replies that no relief is being sought against a "federal board, commission or other tribunal" because there is no "decision" of the Band, the Band Council, the Membership Committee or the Membership Clerk that is being challenged in these proceedings.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w:t>
      </w:r>
      <w:r>
        <w:rPr>
          <w:rFonts w:ascii="arial" w:eastAsia="arial" w:hAnsi="arial" w:cs="arial"/>
          <w:color w:val="000000"/>
          <w:sz w:val="20"/>
          <w:lang w:val="en-US" w:eastAsia="en-US" w:bidi="ar-SA"/>
        </w:rPr>
        <w:t xml:space="preserve">  Given my finding that the subject matter of the dispute is compliance with the </w:t>
      </w:r>
      <w:r>
        <w:rPr>
          <w:rFonts w:ascii="arial" w:eastAsia="arial" w:hAnsi="arial" w:cs="arial"/>
          <w:i/>
          <w:color w:val="000000"/>
          <w:sz w:val="20"/>
          <w:lang w:val="en-US" w:eastAsia="en-US" w:bidi="ar-SA"/>
        </w:rPr>
        <w:t>Membership Rules</w:t>
      </w:r>
      <w:r>
        <w:rPr>
          <w:rFonts w:ascii="arial" w:eastAsia="arial" w:hAnsi="arial" w:cs="arial"/>
          <w:color w:val="000000"/>
          <w:sz w:val="20"/>
          <w:lang w:val="en-US" w:eastAsia="en-US" w:bidi="ar-SA"/>
        </w:rPr>
        <w:t xml:space="preserve"> by the Band, Band Council, Membership Committee and Membership Clerk then whether they are a "federal board, commission or other tribunal" must be determined. If I conclude that they are a "federal board, commission or other tribunal" then I must decline jurisdiction.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w:t>
      </w:r>
      <w:r>
        <w:rPr>
          <w:rFonts w:ascii="arial" w:eastAsia="arial" w:hAnsi="arial" w:cs="arial"/>
          <w:color w:val="000000"/>
          <w:sz w:val="20"/>
          <w:lang w:val="en-US" w:eastAsia="en-US" w:bidi="ar-SA"/>
        </w:rPr>
        <w:t xml:space="preserve">  The Federal Court has exclusive jurisdiction with respect to declarations and other relief sought against a "federal board, commission or other tribunal". Section 18 of the </w:t>
      </w:r>
      <w:r>
        <w:rPr>
          <w:rFonts w:ascii="arial" w:eastAsia="arial" w:hAnsi="arial" w:cs="arial"/>
          <w:i/>
          <w:color w:val="000000"/>
          <w:sz w:val="20"/>
          <w:lang w:val="en-US" w:eastAsia="en-US" w:bidi="ar-SA"/>
        </w:rPr>
        <w:t>Federal Courts Act</w:t>
      </w:r>
      <w:r>
        <w:rPr>
          <w:rFonts w:ascii="arial" w:eastAsia="arial" w:hAnsi="arial" w:cs="arial"/>
          <w:color w:val="000000"/>
          <w:sz w:val="20"/>
          <w:lang w:val="en-US" w:eastAsia="en-US" w:bidi="ar-SA"/>
        </w:rPr>
        <w:t xml:space="preserve"> provides: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Extraordinary remedies, federal tribunals</w:t>
      </w:r>
    </w:p>
    <w:p>
      <w:pPr>
        <w:spacing w:before="120"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18.</w:t>
      </w:r>
      <w:r>
        <w:rPr>
          <w:rFonts w:ascii="arial" w:eastAsia="arial" w:hAnsi="arial" w:cs="arial"/>
          <w:color w:val="000000"/>
          <w:sz w:val="20"/>
          <w:lang w:val="en-US" w:eastAsia="en-US" w:bidi="ar-SA"/>
        </w:rPr>
        <w:t xml:space="preserve"> (1) Subject to section 28, the Federal Court has exclusive original jurisdiction:</w:t>
      </w:r>
    </w:p>
    <w:p>
      <w:pPr>
        <w:numPr>
          <w:numId w:val="18"/>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to issue an injunction, writ of </w:t>
      </w:r>
      <w:r>
        <w:rPr>
          <w:rFonts w:ascii="arial" w:eastAsia="arial" w:hAnsi="arial" w:cs="arial"/>
          <w:i/>
          <w:color w:val="000000"/>
          <w:sz w:val="20"/>
          <w:lang w:val="en-US" w:eastAsia="en-US" w:bidi="ar-SA"/>
        </w:rPr>
        <w:t>certiorari</w:t>
      </w:r>
      <w:r>
        <w:rPr>
          <w:rFonts w:ascii="arial" w:eastAsia="arial" w:hAnsi="arial" w:cs="arial"/>
          <w:color w:val="000000"/>
          <w:sz w:val="20"/>
          <w:lang w:val="en-US" w:eastAsia="en-US" w:bidi="ar-SA"/>
        </w:rPr>
        <w:t xml:space="preserve">, writ of prohibition, writ of </w:t>
      </w:r>
      <w:r>
        <w:rPr>
          <w:rFonts w:ascii="arial" w:eastAsia="arial" w:hAnsi="arial" w:cs="arial"/>
          <w:i/>
          <w:color w:val="000000"/>
          <w:sz w:val="20"/>
          <w:lang w:val="en-US" w:eastAsia="en-US" w:bidi="ar-SA"/>
        </w:rPr>
        <w:t>mandamus</w:t>
      </w:r>
      <w:r>
        <w:rPr>
          <w:rFonts w:ascii="arial" w:eastAsia="arial" w:hAnsi="arial" w:cs="arial"/>
          <w:color w:val="000000"/>
          <w:sz w:val="20"/>
          <w:lang w:val="en-US" w:eastAsia="en-US" w:bidi="ar-SA"/>
        </w:rPr>
        <w:t xml:space="preserve"> or writ of </w:t>
      </w:r>
      <w:r>
        <w:rPr>
          <w:rFonts w:ascii="arial" w:eastAsia="arial" w:hAnsi="arial" w:cs="arial"/>
          <w:i/>
          <w:color w:val="000000"/>
          <w:sz w:val="20"/>
          <w:lang w:val="en-US" w:eastAsia="en-US" w:bidi="ar-SA"/>
        </w:rPr>
        <w:t>quo warranto</w:t>
      </w:r>
      <w:r>
        <w:rPr>
          <w:rFonts w:ascii="arial" w:eastAsia="arial" w:hAnsi="arial" w:cs="arial"/>
          <w:color w:val="000000"/>
          <w:sz w:val="20"/>
          <w:lang w:val="en-US" w:eastAsia="en-US" w:bidi="ar-SA"/>
        </w:rPr>
        <w:t>, or grant declaratory relief, against any federal board, commission or other tribunal; and</w:t>
      </w:r>
    </w:p>
    <w:p>
      <w:pPr>
        <w:numPr>
          <w:numId w:val="18"/>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to hear and determine any application or other proceeding for relief in the nature of relief contemplated by paragraph (</w:t>
      </w:r>
      <w:r>
        <w:rPr>
          <w:rFonts w:ascii="arial" w:eastAsia="arial" w:hAnsi="arial" w:cs="arial"/>
          <w:i/>
          <w:color w:val="000000"/>
          <w:sz w:val="20"/>
          <w:lang w:val="en-US" w:eastAsia="en-US" w:bidi="ar-SA"/>
        </w:rPr>
        <w:t>a</w:t>
      </w:r>
      <w:r>
        <w:rPr>
          <w:rFonts w:ascii="arial" w:eastAsia="arial" w:hAnsi="arial" w:cs="arial"/>
          <w:color w:val="000000"/>
          <w:sz w:val="20"/>
          <w:lang w:val="en-US" w:eastAsia="en-US" w:bidi="ar-SA"/>
        </w:rPr>
        <w:t>), including any proceeding brought against the Attorney General of Canada, to obtain relief against a federal board, commission or other tribunal.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w:t>
      </w:r>
      <w:r>
        <w:rPr>
          <w:rFonts w:ascii="arial" w:eastAsia="arial" w:hAnsi="arial" w:cs="arial"/>
          <w:color w:val="000000"/>
          <w:sz w:val="20"/>
          <w:lang w:val="en-US" w:eastAsia="en-US" w:bidi="ar-SA"/>
        </w:rPr>
        <w:t xml:space="preserve">  A "federal board, commission or other tribunal" is defined in s. 2 of the </w:t>
      </w:r>
      <w:r>
        <w:rPr>
          <w:rFonts w:ascii="arial" w:eastAsia="arial" w:hAnsi="arial" w:cs="arial"/>
          <w:i/>
          <w:color w:val="000000"/>
          <w:sz w:val="20"/>
          <w:lang w:val="en-US" w:eastAsia="en-US" w:bidi="ar-SA"/>
        </w:rPr>
        <w:t>Federal Courts Act,</w:t>
      </w:r>
      <w:r>
        <w:rPr>
          <w:rFonts w:ascii="arial" w:eastAsia="arial" w:hAnsi="arial" w:cs="arial"/>
          <w:color w:val="000000"/>
          <w:sz w:val="20"/>
          <w:lang w:val="en-US" w:eastAsia="en-US" w:bidi="ar-SA"/>
        </w:rPr>
        <w:t xml:space="preserve"> as follows:</w:t>
      </w:r>
      <w:r>
        <w:rPr>
          <w:rFonts w:ascii="arial" w:eastAsia="arial" w:hAnsi="arial" w:cs="arial"/>
          <w:sz w:val="20"/>
          <w:lang w:val="en-US" w:eastAsia="en-US" w:bidi="ar-SA"/>
        </w:rPr>
        <w:cr/>
      </w:r>
    </w:p>
    <w:p>
      <w:pPr>
        <w:numPr>
          <w:numId w:val="19"/>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(1) In this Act, ... "federal board, commission or other tribunal" means any body, person or persons having, exercising or purporting to exercise jurisdiction or powers conferred by or under an Act of Parliament or by or under an order made pursuant to a prerogative of the Crown, other than the Tax Court of Canada or any of its judges, any such body constituted or established by or under a law of a province or any such person or persons appointed under or in accordance with a law of a province or under section 96 of the </w:t>
      </w:r>
      <w:r>
        <w:rPr>
          <w:rFonts w:ascii="arial" w:eastAsia="arial" w:hAnsi="arial" w:cs="arial"/>
          <w:i/>
          <w:color w:val="000000"/>
          <w:sz w:val="20"/>
          <w:lang w:val="en-US" w:eastAsia="en-US" w:bidi="ar-SA"/>
        </w:rPr>
        <w:t>Constitution Act, 1867</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w:t>
      </w:r>
      <w:r>
        <w:rPr>
          <w:rFonts w:ascii="arial" w:eastAsia="arial" w:hAnsi="arial" w:cs="arial"/>
          <w:color w:val="000000"/>
          <w:sz w:val="20"/>
          <w:lang w:val="en-US" w:eastAsia="en-US" w:bidi="ar-SA"/>
        </w:rPr>
        <w:t xml:space="preserve">  A "Band Council" under the </w:t>
      </w:r>
      <w:r>
        <w:rPr>
          <w:rFonts w:ascii="arial" w:eastAsia="arial" w:hAnsi="arial" w:cs="arial"/>
          <w:i/>
          <w:color w:val="000000"/>
          <w:sz w:val="20"/>
          <w:lang w:val="en-US" w:eastAsia="en-US" w:bidi="ar-SA"/>
        </w:rPr>
        <w:t>Indian Act</w:t>
      </w:r>
      <w:r>
        <w:rPr>
          <w:rFonts w:ascii="arial" w:eastAsia="arial" w:hAnsi="arial" w:cs="arial"/>
          <w:color w:val="000000"/>
          <w:sz w:val="20"/>
          <w:lang w:val="en-US" w:eastAsia="en-US" w:bidi="ar-SA"/>
        </w:rPr>
        <w:t xml:space="preserve"> means:</w:t>
      </w:r>
      <w:r>
        <w:rPr>
          <w:rFonts w:ascii="arial" w:eastAsia="arial" w:hAnsi="arial" w:cs="arial"/>
          <w:sz w:val="20"/>
          <w:lang w:val="en-US" w:eastAsia="en-US" w:bidi="ar-SA"/>
        </w:rPr>
        <w:cr/>
      </w:r>
    </w:p>
    <w:p>
      <w:pPr>
        <w:numPr>
          <w:numId w:val="20"/>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in the case of a band to which section 74 applies, the council established pursuant to that section,</w:t>
      </w:r>
    </w:p>
    <w:p>
      <w:pPr>
        <w:numPr>
          <w:numId w:val="20"/>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in the case of a band to which section 74 does not apply, the council chosen according to the custom of the band, or, where there is no council, the chief of the band chosen according to the custom of the band;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w:t>
      </w:r>
      <w:r>
        <w:rPr>
          <w:rFonts w:ascii="arial" w:eastAsia="arial" w:hAnsi="arial" w:cs="arial"/>
          <w:color w:val="000000"/>
          <w:sz w:val="20"/>
          <w:lang w:val="en-US" w:eastAsia="en-US" w:bidi="ar-SA"/>
        </w:rPr>
        <w:t xml:space="preserve">  The nature of a Band Council was considered in </w:t>
      </w:r>
      <w:r>
        <w:rPr>
          <w:rFonts w:ascii="arial" w:eastAsia="arial" w:hAnsi="arial" w:cs="arial"/>
          <w:i/>
          <w:color w:val="000000"/>
          <w:sz w:val="20"/>
          <w:lang w:val="en-US" w:eastAsia="en-US" w:bidi="ar-SA"/>
        </w:rPr>
        <w:t>Ermineskin v. Ermineskin Band Council</w:t>
      </w:r>
      <w:r>
        <w:rPr>
          <w:rFonts w:ascii="arial" w:eastAsia="arial" w:hAnsi="arial" w:cs="arial"/>
          <w:color w:val="000000"/>
          <w:sz w:val="20"/>
          <w:lang w:val="en-US" w:eastAsia="en-US" w:bidi="ar-SA"/>
        </w:rPr>
        <w:t xml:space="preserve"> </w:t>
      </w:r>
      <w:hyperlink r:id="rId898" w:history="1">
        <w:r>
          <w:rPr>
            <w:rFonts w:ascii="arial" w:eastAsia="arial" w:hAnsi="arial" w:cs="arial"/>
            <w:i/>
            <w:color w:val="0077CC"/>
            <w:sz w:val="20"/>
            <w:u w:val="single"/>
            <w:shd w:val="clear" w:color="auto" w:fill="FFFFFF"/>
            <w:lang w:val="en-US" w:eastAsia="en-US" w:bidi="ar-SA"/>
          </w:rPr>
          <w:t>(1995), 96 F.T.R. 181</w:t>
        </w:r>
      </w:hyperlink>
      <w:r>
        <w:rPr>
          <w:rFonts w:ascii="arial" w:eastAsia="arial" w:hAnsi="arial" w:cs="arial"/>
          <w:color w:val="000000"/>
          <w:sz w:val="20"/>
          <w:lang w:val="en-US" w:eastAsia="en-US" w:bidi="ar-SA"/>
        </w:rPr>
        <w:t xml:space="preserve">, </w:t>
      </w:r>
      <w:hyperlink r:id="rId898" w:history="1">
        <w:r>
          <w:rPr>
            <w:rFonts w:ascii="arial" w:eastAsia="arial" w:hAnsi="arial" w:cs="arial"/>
            <w:i/>
            <w:color w:val="0077CC"/>
            <w:sz w:val="20"/>
            <w:u w:val="single"/>
            <w:shd w:val="clear" w:color="auto" w:fill="FFFFFF"/>
            <w:lang w:val="en-US" w:eastAsia="en-US" w:bidi="ar-SA"/>
          </w:rPr>
          <w:t>[1995] F.C.J. No. 821</w:t>
        </w:r>
      </w:hyperlink>
      <w:r>
        <w:rPr>
          <w:rFonts w:ascii="arial" w:eastAsia="arial" w:hAnsi="arial" w:cs="arial"/>
          <w:color w:val="000000"/>
          <w:sz w:val="20"/>
          <w:lang w:val="en-US" w:eastAsia="en-US" w:bidi="ar-SA"/>
        </w:rPr>
        <w:t xml:space="preserve"> (F.C.T.D.). </w:t>
      </w:r>
      <w:r>
        <w:rPr>
          <w:rFonts w:ascii="arial" w:eastAsia="arial" w:hAnsi="arial" w:cs="arial"/>
          <w:i/>
          <w:color w:val="000000"/>
          <w:sz w:val="20"/>
          <w:lang w:val="en-US" w:eastAsia="en-US" w:bidi="ar-SA"/>
        </w:rPr>
        <w:t>Ermineskin</w:t>
      </w:r>
      <w:r>
        <w:rPr>
          <w:rFonts w:ascii="arial" w:eastAsia="arial" w:hAnsi="arial" w:cs="arial"/>
          <w:color w:val="000000"/>
          <w:sz w:val="20"/>
          <w:lang w:val="en-US" w:eastAsia="en-US" w:bidi="ar-SA"/>
        </w:rPr>
        <w:t xml:space="preserve"> was a judicial review of a Band Council decision to strike a person from the membership list of the band. The Ermineskin Band, like the Ashcroft Band, controlled its membership under s. 10 of the </w:t>
      </w:r>
      <w:r>
        <w:rPr>
          <w:rFonts w:ascii="arial" w:eastAsia="arial" w:hAnsi="arial" w:cs="arial"/>
          <w:i/>
          <w:color w:val="000000"/>
          <w:sz w:val="20"/>
          <w:lang w:val="en-US" w:eastAsia="en-US" w:bidi="ar-SA"/>
        </w:rPr>
        <w:t>Indian Act</w:t>
      </w:r>
      <w:r>
        <w:rPr>
          <w:rFonts w:ascii="arial" w:eastAsia="arial" w:hAnsi="arial" w:cs="arial"/>
          <w:color w:val="000000"/>
          <w:sz w:val="20"/>
          <w:lang w:val="en-US" w:eastAsia="en-US" w:bidi="ar-SA"/>
        </w:rPr>
        <w:t>. Its membership rules however, unlike those before this Court, provided that the Band Council had authority to maintain the membership list and to delete names. On the issue of the nature of the Band Council, the court held that the decision of the Band Council respecting membership was a decision by a "federal board, commission or other tribunal" stating at para. 14 (QuickLaw):</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14 ... the rules which the Ermineskin Band Council apply in exercising authority over Band membership are a "manifestation" of the powers conferred by the Government of Canada under the aegis of section 10 of the Indian Act. ... [T]he authority being exercised by the Band Council is derived from the Indian Act. It follows, therefore, that it is a decision of a federal board ...</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w:t>
      </w:r>
      <w:r>
        <w:rPr>
          <w:rFonts w:ascii="arial" w:eastAsia="arial" w:hAnsi="arial" w:cs="arial"/>
          <w:color w:val="000000"/>
          <w:sz w:val="20"/>
          <w:lang w:val="en-US" w:eastAsia="en-US" w:bidi="ar-SA"/>
        </w:rPr>
        <w:t xml:space="preserve">  In doing so the court cited </w:t>
      </w:r>
      <w:r>
        <w:rPr>
          <w:rFonts w:ascii="arial" w:eastAsia="arial" w:hAnsi="arial" w:cs="arial"/>
          <w:i/>
          <w:color w:val="000000"/>
          <w:sz w:val="20"/>
          <w:lang w:val="en-US" w:eastAsia="en-US" w:bidi="ar-SA"/>
        </w:rPr>
        <w:t>Lameman v. People's Government</w:t>
      </w:r>
      <w:r>
        <w:rPr>
          <w:rFonts w:ascii="arial" w:eastAsia="arial" w:hAnsi="arial" w:cs="arial"/>
          <w:color w:val="000000"/>
          <w:sz w:val="20"/>
          <w:lang w:val="en-US" w:eastAsia="en-US" w:bidi="ar-SA"/>
        </w:rPr>
        <w:t xml:space="preserve"> </w:t>
      </w:r>
      <w:hyperlink r:id="rId899" w:history="1">
        <w:r>
          <w:rPr>
            <w:rFonts w:ascii="arial" w:eastAsia="arial" w:hAnsi="arial" w:cs="arial"/>
            <w:i/>
            <w:color w:val="0077CC"/>
            <w:sz w:val="20"/>
            <w:u w:val="single"/>
            <w:shd w:val="clear" w:color="auto" w:fill="FFFFFF"/>
            <w:lang w:val="en-US" w:eastAsia="en-US" w:bidi="ar-SA"/>
          </w:rPr>
          <w:t>(1995), 90 F.T.R. 319</w:t>
        </w:r>
      </w:hyperlink>
      <w:r>
        <w:rPr>
          <w:rFonts w:ascii="arial" w:eastAsia="arial" w:hAnsi="arial" w:cs="arial"/>
          <w:color w:val="000000"/>
          <w:sz w:val="20"/>
          <w:lang w:val="en-US" w:eastAsia="en-US" w:bidi="ar-SA"/>
        </w:rPr>
        <w:t xml:space="preserve">, </w:t>
      </w:r>
      <w:hyperlink r:id="rId899" w:history="1">
        <w:r>
          <w:rPr>
            <w:rFonts w:ascii="arial" w:eastAsia="arial" w:hAnsi="arial" w:cs="arial"/>
            <w:i/>
            <w:color w:val="0077CC"/>
            <w:sz w:val="20"/>
            <w:u w:val="single"/>
            <w:shd w:val="clear" w:color="auto" w:fill="FFFFFF"/>
            <w:lang w:val="en-US" w:eastAsia="en-US" w:bidi="ar-SA"/>
          </w:rPr>
          <w:t>[1995] F.C.J. No. 242</w:t>
        </w:r>
      </w:hyperlink>
      <w:r>
        <w:rPr>
          <w:rFonts w:ascii="arial" w:eastAsia="arial" w:hAnsi="arial" w:cs="arial"/>
          <w:color w:val="000000"/>
          <w:sz w:val="20"/>
          <w:lang w:val="en-US" w:eastAsia="en-US" w:bidi="ar-SA"/>
        </w:rPr>
        <w:t xml:space="preserve"> (F.C.T.D.) at 2:</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jurisprudence has established that an Indian band council and persons purporting to exercise authority over members of Indian bands who are acting pursuant to provisions of the Indian Act, R.S.C. 1985, c.l-5, fall within the definition [of "federal board, commission or other tribunal"].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34</w:t>
      </w:r>
      <w:r>
        <w:rPr>
          <w:rFonts w:ascii="arial" w:eastAsia="arial" w:hAnsi="arial" w:cs="arial"/>
          <w:color w:val="000000"/>
          <w:sz w:val="20"/>
          <w:lang w:val="en-US" w:eastAsia="en-US" w:bidi="ar-SA"/>
        </w:rPr>
        <w:t xml:space="preserve">  I am satisfied that the Band Council in acting pursuant to the </w:t>
      </w:r>
      <w:r>
        <w:rPr>
          <w:rFonts w:ascii="arial" w:eastAsia="arial" w:hAnsi="arial" w:cs="arial"/>
          <w:i/>
          <w:color w:val="000000"/>
          <w:sz w:val="20"/>
          <w:lang w:val="en-US" w:eastAsia="en-US" w:bidi="ar-SA"/>
        </w:rPr>
        <w:t>Membership Rules</w:t>
      </w:r>
      <w:r>
        <w:rPr>
          <w:rFonts w:ascii="arial" w:eastAsia="arial" w:hAnsi="arial" w:cs="arial"/>
          <w:color w:val="000000"/>
          <w:sz w:val="20"/>
          <w:lang w:val="en-US" w:eastAsia="en-US" w:bidi="ar-SA"/>
        </w:rPr>
        <w:t xml:space="preserve">, even if not in compliance with the </w:t>
      </w:r>
      <w:r>
        <w:rPr>
          <w:rFonts w:ascii="arial" w:eastAsia="arial" w:hAnsi="arial" w:cs="arial"/>
          <w:i/>
          <w:color w:val="000000"/>
          <w:sz w:val="20"/>
          <w:lang w:val="en-US" w:eastAsia="en-US" w:bidi="ar-SA"/>
        </w:rPr>
        <w:t>Membership Rules</w:t>
      </w:r>
      <w:r>
        <w:rPr>
          <w:rFonts w:ascii="arial" w:eastAsia="arial" w:hAnsi="arial" w:cs="arial"/>
          <w:color w:val="000000"/>
          <w:sz w:val="20"/>
          <w:lang w:val="en-US" w:eastAsia="en-US" w:bidi="ar-SA"/>
        </w:rPr>
        <w:t xml:space="preserve">, is doing so pursuant to the </w:t>
      </w:r>
      <w:r>
        <w:rPr>
          <w:rFonts w:ascii="arial" w:eastAsia="arial" w:hAnsi="arial" w:cs="arial"/>
          <w:i/>
          <w:color w:val="000000"/>
          <w:sz w:val="20"/>
          <w:lang w:val="en-US" w:eastAsia="en-US" w:bidi="ar-SA"/>
        </w:rPr>
        <w:t>Indian Act</w:t>
      </w:r>
      <w:r>
        <w:rPr>
          <w:rFonts w:ascii="arial" w:eastAsia="arial" w:hAnsi="arial" w:cs="arial"/>
          <w:color w:val="000000"/>
          <w:sz w:val="20"/>
          <w:lang w:val="en-US" w:eastAsia="en-US" w:bidi="ar-SA"/>
        </w:rPr>
        <w:t>. As a result their decisions fall within the definition of a "federal board, commission or other tribunal" and any declarations sought against the Band Council must be sought in Federal Court.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35</w:t>
      </w:r>
      <w:r>
        <w:rPr>
          <w:rFonts w:ascii="arial" w:eastAsia="arial" w:hAnsi="arial" w:cs="arial"/>
          <w:color w:val="000000"/>
          <w:sz w:val="20"/>
          <w:lang w:val="en-US" w:eastAsia="en-US" w:bidi="ar-SA"/>
        </w:rPr>
        <w:t xml:space="preserve">  Likewise, the Membership Committee, appointed by the Band Council and the Membership Clerk, falls within the definition of "federal board, commission or other tribunal": </w:t>
      </w:r>
      <w:r>
        <w:rPr>
          <w:rFonts w:ascii="arial" w:eastAsia="arial" w:hAnsi="arial" w:cs="arial"/>
          <w:i/>
          <w:color w:val="000000"/>
          <w:sz w:val="20"/>
          <w:lang w:val="en-US" w:eastAsia="en-US" w:bidi="ar-SA"/>
        </w:rPr>
        <w:t>Parisier v. Ocean Man First Nation,</w:t>
      </w:r>
      <w:r>
        <w:rPr>
          <w:rFonts w:ascii="arial" w:eastAsia="arial" w:hAnsi="arial" w:cs="arial"/>
          <w:color w:val="000000"/>
          <w:sz w:val="20"/>
          <w:lang w:val="en-US" w:eastAsia="en-US" w:bidi="ar-SA"/>
        </w:rPr>
        <w:t xml:space="preserve"> </w:t>
      </w:r>
      <w:hyperlink r:id="rId900" w:history="1">
        <w:r>
          <w:rPr>
            <w:rFonts w:ascii="arial" w:eastAsia="arial" w:hAnsi="arial" w:cs="arial"/>
            <w:i/>
            <w:color w:val="0077CC"/>
            <w:sz w:val="20"/>
            <w:u w:val="single"/>
            <w:shd w:val="clear" w:color="auto" w:fill="FFFFFF"/>
            <w:lang w:val="en-US" w:eastAsia="en-US" w:bidi="ar-SA"/>
          </w:rPr>
          <w:t>108 F.T.R. 297</w:t>
        </w:r>
      </w:hyperlink>
      <w:r>
        <w:rPr>
          <w:rFonts w:ascii="arial" w:eastAsia="arial" w:hAnsi="arial" w:cs="arial"/>
          <w:color w:val="000000"/>
          <w:sz w:val="20"/>
          <w:lang w:val="en-US" w:eastAsia="en-US" w:bidi="ar-SA"/>
        </w:rPr>
        <w:t xml:space="preserve"> (F.C.T.D.), </w:t>
      </w:r>
      <w:hyperlink r:id="rId900" w:history="1">
        <w:r>
          <w:rPr>
            <w:rFonts w:ascii="arial" w:eastAsia="arial" w:hAnsi="arial" w:cs="arial"/>
            <w:i/>
            <w:color w:val="0077CC"/>
            <w:sz w:val="20"/>
            <w:u w:val="single"/>
            <w:shd w:val="clear" w:color="auto" w:fill="FFFFFF"/>
            <w:lang w:val="en-US" w:eastAsia="en-US" w:bidi="ar-SA"/>
          </w:rPr>
          <w:t>[1996] F.C.J. No. 129</w:t>
        </w:r>
      </w:hyperlink>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36</w:t>
      </w:r>
      <w:r>
        <w:rPr>
          <w:rFonts w:ascii="arial" w:eastAsia="arial" w:hAnsi="arial" w:cs="arial"/>
          <w:color w:val="000000"/>
          <w:sz w:val="20"/>
          <w:lang w:val="en-US" w:eastAsia="en-US" w:bidi="ar-SA"/>
        </w:rPr>
        <w:t xml:space="preserve">  This leads to the issue of the "Band" itself. In this case under the </w:t>
      </w:r>
      <w:r>
        <w:rPr>
          <w:rFonts w:ascii="arial" w:eastAsia="arial" w:hAnsi="arial" w:cs="arial"/>
          <w:i/>
          <w:color w:val="000000"/>
          <w:sz w:val="20"/>
          <w:lang w:val="en-US" w:eastAsia="en-US" w:bidi="ar-SA"/>
        </w:rPr>
        <w:t>Membership Rules</w:t>
      </w:r>
      <w:r>
        <w:rPr>
          <w:rFonts w:ascii="arial" w:eastAsia="arial" w:hAnsi="arial" w:cs="arial"/>
          <w:color w:val="000000"/>
          <w:sz w:val="20"/>
          <w:lang w:val="en-US" w:eastAsia="en-US" w:bidi="ar-SA"/>
        </w:rPr>
        <w:t xml:space="preserve"> the Band members make the determination of who is and who is not a member.</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i/>
          <w:color w:val="000000"/>
          <w:sz w:val="20"/>
          <w:lang w:val="en-US" w:eastAsia="en-US" w:bidi="ar-SA"/>
        </w:rPr>
        <w:t>Band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37</w:t>
      </w:r>
      <w:r>
        <w:rPr>
          <w:rFonts w:ascii="arial" w:eastAsia="arial" w:hAnsi="arial" w:cs="arial"/>
          <w:color w:val="000000"/>
          <w:sz w:val="20"/>
          <w:lang w:val="en-US" w:eastAsia="en-US" w:bidi="ar-SA"/>
        </w:rPr>
        <w:t xml:space="preserve">  The </w:t>
      </w:r>
      <w:r>
        <w:rPr>
          <w:rFonts w:ascii="arial" w:eastAsia="arial" w:hAnsi="arial" w:cs="arial"/>
          <w:i/>
          <w:color w:val="000000"/>
          <w:sz w:val="20"/>
          <w:lang w:val="en-US" w:eastAsia="en-US" w:bidi="ar-SA"/>
        </w:rPr>
        <w:t>Indian Act</w:t>
      </w:r>
      <w:r>
        <w:rPr>
          <w:rFonts w:ascii="arial" w:eastAsia="arial" w:hAnsi="arial" w:cs="arial"/>
          <w:color w:val="000000"/>
          <w:sz w:val="20"/>
          <w:lang w:val="en-US" w:eastAsia="en-US" w:bidi="ar-SA"/>
        </w:rPr>
        <w:t xml:space="preserve"> defines a "Band" as: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"band" means a body of Indians</w:t>
      </w:r>
    </w:p>
    <w:p>
      <w:pPr>
        <w:numPr>
          <w:numId w:val="2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for whose use and benefit in common, lands, the legal title to which is vested in Her Majesty, have been set apart before, on or after September 4, 1951,</w:t>
      </w:r>
    </w:p>
    <w:p>
      <w:pPr>
        <w:numPr>
          <w:numId w:val="2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for whose use and benefit in common, moneys are held by Her Majesty, or</w:t>
      </w:r>
    </w:p>
    <w:p>
      <w:pPr>
        <w:numPr>
          <w:numId w:val="2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declared by the Governor in Council to be a band for the purposes of this Act;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38</w:t>
      </w:r>
      <w:r>
        <w:rPr>
          <w:rFonts w:ascii="arial" w:eastAsia="arial" w:hAnsi="arial" w:cs="arial"/>
          <w:color w:val="000000"/>
          <w:sz w:val="20"/>
          <w:lang w:val="en-US" w:eastAsia="en-US" w:bidi="ar-SA"/>
        </w:rPr>
        <w:t xml:space="preserve">  The plaintiff submits that a "Band" is not a federal board, commission or tribunal. They rely on </w:t>
      </w:r>
      <w:r>
        <w:rPr>
          <w:rFonts w:ascii="arial" w:eastAsia="arial" w:hAnsi="arial" w:cs="arial"/>
          <w:i/>
          <w:color w:val="000000"/>
          <w:sz w:val="20"/>
          <w:lang w:val="en-US" w:eastAsia="en-US" w:bidi="ar-SA"/>
        </w:rPr>
        <w:t>Chapman v. Chicago</w:t>
      </w:r>
      <w:r>
        <w:rPr>
          <w:rFonts w:ascii="arial" w:eastAsia="arial" w:hAnsi="arial" w:cs="arial"/>
          <w:color w:val="000000"/>
          <w:sz w:val="20"/>
          <w:lang w:val="en-US" w:eastAsia="en-US" w:bidi="ar-SA"/>
        </w:rPr>
        <w:t xml:space="preserve"> </w:t>
      </w:r>
      <w:hyperlink r:id="rId901" w:history="1">
        <w:r>
          <w:rPr>
            <w:rFonts w:ascii="arial" w:eastAsia="arial" w:hAnsi="arial" w:cs="arial"/>
            <w:i/>
            <w:color w:val="0077CC"/>
            <w:sz w:val="20"/>
            <w:u w:val="single"/>
            <w:shd w:val="clear" w:color="auto" w:fill="FFFFFF"/>
            <w:lang w:val="en-US" w:eastAsia="en-US" w:bidi="ar-SA"/>
          </w:rPr>
          <w:t>(1991), 5 O.R. (3d) 220</w:t>
        </w:r>
      </w:hyperlink>
      <w:r>
        <w:rPr>
          <w:rFonts w:ascii="arial" w:eastAsia="arial" w:hAnsi="arial" w:cs="arial"/>
          <w:color w:val="000000"/>
          <w:sz w:val="20"/>
          <w:lang w:val="en-US" w:eastAsia="en-US" w:bidi="ar-SA"/>
        </w:rPr>
        <w:t xml:space="preserve">, </w:t>
      </w:r>
      <w:hyperlink r:id="rId902" w:history="1">
        <w:r>
          <w:rPr>
            <w:rFonts w:ascii="arial" w:eastAsia="arial" w:hAnsi="arial" w:cs="arial"/>
            <w:i/>
            <w:color w:val="0077CC"/>
            <w:sz w:val="20"/>
            <w:u w:val="single"/>
            <w:shd w:val="clear" w:color="auto" w:fill="FFFFFF"/>
            <w:lang w:val="en-US" w:eastAsia="en-US" w:bidi="ar-SA"/>
          </w:rPr>
          <w:t>[1991] O.J. No. 1607</w:t>
        </w:r>
      </w:hyperlink>
      <w:r>
        <w:rPr>
          <w:rFonts w:ascii="arial" w:eastAsia="arial" w:hAnsi="arial" w:cs="arial"/>
          <w:color w:val="000000"/>
          <w:sz w:val="20"/>
          <w:lang w:val="en-US" w:eastAsia="en-US" w:bidi="ar-SA"/>
        </w:rPr>
        <w:t xml:space="preserve"> (Div. Ct.) where Maloney J. held that: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An Indian Band, however, is not a federal board or tribunal within the meaning of those terms as they are used in the FCA (Sabattis v. Oromoctow Indian Band </w:t>
      </w:r>
      <w:hyperlink r:id="rId903" w:history="1">
        <w:r>
          <w:rPr>
            <w:rFonts w:ascii="arial" w:eastAsia="arial" w:hAnsi="arial" w:cs="arial"/>
            <w:i/>
            <w:color w:val="0077CC"/>
            <w:sz w:val="20"/>
            <w:u w:val="single"/>
            <w:shd w:val="clear" w:color="auto" w:fill="FFFFFF"/>
            <w:lang w:val="en-US" w:eastAsia="en-US" w:bidi="ar-SA"/>
          </w:rPr>
          <w:t>(1986), 32 D.L.R. (4th) 680</w:t>
        </w:r>
      </w:hyperlink>
      <w:r>
        <w:rPr>
          <w:rFonts w:ascii="arial" w:eastAsia="arial" w:hAnsi="arial" w:cs="arial"/>
          <w:color w:val="000000"/>
          <w:sz w:val="20"/>
          <w:lang w:val="en-US" w:eastAsia="en-US" w:bidi="ar-SA"/>
        </w:rPr>
        <w:t xml:space="preserve"> ...).</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39</w:t>
      </w:r>
      <w:r>
        <w:rPr>
          <w:rFonts w:ascii="arial" w:eastAsia="arial" w:hAnsi="arial" w:cs="arial"/>
          <w:color w:val="000000"/>
          <w:sz w:val="20"/>
          <w:lang w:val="en-US" w:eastAsia="en-US" w:bidi="ar-SA"/>
        </w:rPr>
        <w:t xml:space="preserve">  In addition they submit that issues arising in relation to a first nation's control of its </w:t>
      </w:r>
      <w:r>
        <w:rPr>
          <w:rFonts w:ascii="arial" w:eastAsia="arial" w:hAnsi="arial" w:cs="arial"/>
          <w:i/>
          <w:color w:val="000000"/>
          <w:sz w:val="20"/>
          <w:lang w:val="en-US" w:eastAsia="en-US" w:bidi="ar-SA"/>
        </w:rPr>
        <w:t>Membership Rules</w:t>
      </w:r>
      <w:r>
        <w:rPr>
          <w:rFonts w:ascii="arial" w:eastAsia="arial" w:hAnsi="arial" w:cs="arial"/>
          <w:color w:val="000000"/>
          <w:sz w:val="20"/>
          <w:lang w:val="en-US" w:eastAsia="en-US" w:bidi="ar-SA"/>
        </w:rPr>
        <w:t xml:space="preserve"> are not within the exclusive jurisdiction of the Federal Court because they are inherent rights, not rights conferred by the </w:t>
      </w:r>
      <w:r>
        <w:rPr>
          <w:rFonts w:ascii="arial" w:eastAsia="arial" w:hAnsi="arial" w:cs="arial"/>
          <w:i/>
          <w:color w:val="000000"/>
          <w:sz w:val="20"/>
          <w:lang w:val="en-US" w:eastAsia="en-US" w:bidi="ar-SA"/>
        </w:rPr>
        <w:t>Indian Act: Campbell v. British Columbia (Attorney General),</w:t>
      </w:r>
      <w:r>
        <w:rPr>
          <w:rFonts w:ascii="arial" w:eastAsia="arial" w:hAnsi="arial" w:cs="arial"/>
          <w:color w:val="000000"/>
          <w:sz w:val="20"/>
          <w:lang w:val="en-US" w:eastAsia="en-US" w:bidi="ar-SA"/>
        </w:rPr>
        <w:t xml:space="preserve"> </w:t>
      </w:r>
      <w:hyperlink r:id="rId904" w:history="1">
        <w:r>
          <w:rPr>
            <w:rFonts w:ascii="arial" w:eastAsia="arial" w:hAnsi="arial" w:cs="arial"/>
            <w:i/>
            <w:color w:val="0077CC"/>
            <w:sz w:val="20"/>
            <w:u w:val="single"/>
            <w:shd w:val="clear" w:color="auto" w:fill="FFFFFF"/>
            <w:lang w:val="en-US" w:eastAsia="en-US" w:bidi="ar-SA"/>
          </w:rPr>
          <w:t>2000 BCSC 1123</w:t>
        </w:r>
      </w:hyperlink>
      <w:r>
        <w:rPr>
          <w:rFonts w:ascii="arial" w:eastAsia="arial" w:hAnsi="arial" w:cs="arial"/>
          <w:color w:val="000000"/>
          <w:sz w:val="20"/>
          <w:lang w:val="en-US" w:eastAsia="en-US" w:bidi="ar-SA"/>
        </w:rPr>
        <w:t xml:space="preserve"> and </w:t>
      </w:r>
      <w:r>
        <w:rPr>
          <w:rFonts w:ascii="arial" w:eastAsia="arial" w:hAnsi="arial" w:cs="arial"/>
          <w:i/>
          <w:color w:val="000000"/>
          <w:sz w:val="20"/>
          <w:lang w:val="en-US" w:eastAsia="en-US" w:bidi="ar-SA"/>
        </w:rPr>
        <w:t>Devils Gap Cottagers (1982) Ltd. v. Rat Portage Band No. 38B (Wauzhushk Onigum Nation),</w:t>
      </w:r>
      <w:r>
        <w:rPr>
          <w:rFonts w:ascii="arial" w:eastAsia="arial" w:hAnsi="arial" w:cs="arial"/>
          <w:color w:val="000000"/>
          <w:sz w:val="20"/>
          <w:lang w:val="en-US" w:eastAsia="en-US" w:bidi="ar-SA"/>
        </w:rPr>
        <w:t xml:space="preserve"> </w:t>
      </w:r>
      <w:hyperlink r:id="rId905" w:history="1">
        <w:r>
          <w:rPr>
            <w:rFonts w:ascii="arial" w:eastAsia="arial" w:hAnsi="arial" w:cs="arial"/>
            <w:i/>
            <w:color w:val="0077CC"/>
            <w:sz w:val="20"/>
            <w:u w:val="single"/>
            <w:shd w:val="clear" w:color="auto" w:fill="FFFFFF"/>
            <w:lang w:val="en-US" w:eastAsia="en-US" w:bidi="ar-SA"/>
          </w:rPr>
          <w:t>2008 FC 812</w:t>
        </w:r>
      </w:hyperlink>
      <w:r>
        <w:rPr>
          <w:rFonts w:ascii="arial" w:eastAsia="arial" w:hAnsi="arial" w:cs="arial"/>
          <w:color w:val="000000"/>
          <w:sz w:val="20"/>
          <w:lang w:val="en-US" w:eastAsia="en-US" w:bidi="ar-SA"/>
        </w:rPr>
        <w:t xml:space="preserve">. They also refer to the </w:t>
      </w:r>
      <w:r>
        <w:rPr>
          <w:rFonts w:ascii="arial" w:eastAsia="arial" w:hAnsi="arial" w:cs="arial"/>
          <w:i/>
          <w:color w:val="000000"/>
          <w:sz w:val="20"/>
          <w:lang w:val="en-US" w:eastAsia="en-US" w:bidi="ar-SA"/>
        </w:rPr>
        <w:t>UN Declaration on the Rights of Indigenous Peoples,</w:t>
      </w:r>
      <w:r>
        <w:rPr>
          <w:rFonts w:ascii="arial" w:eastAsia="arial" w:hAnsi="arial" w:cs="arial"/>
          <w:color w:val="000000"/>
          <w:sz w:val="20"/>
          <w:lang w:val="en-US" w:eastAsia="en-US" w:bidi="ar-SA"/>
        </w:rPr>
        <w:t xml:space="preserve"> which was endorsed by the Government of Canada on November 12, 2010. Control over membership as an inherent right of First Nations was expressly recognized in article 33 of the </w:t>
      </w:r>
      <w:r>
        <w:rPr>
          <w:rFonts w:ascii="arial" w:eastAsia="arial" w:hAnsi="arial" w:cs="arial"/>
          <w:i/>
          <w:color w:val="000000"/>
          <w:sz w:val="20"/>
          <w:lang w:val="en-US" w:eastAsia="en-US" w:bidi="ar-SA"/>
        </w:rPr>
        <w:t>Declaration</w:t>
      </w:r>
      <w:r>
        <w:rPr>
          <w:rFonts w:ascii="arial" w:eastAsia="arial" w:hAnsi="arial" w:cs="arial"/>
          <w:color w:val="000000"/>
          <w:sz w:val="20"/>
          <w:lang w:val="en-US" w:eastAsia="en-US" w:bidi="ar-SA"/>
        </w:rPr>
        <w: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Article 33</w:t>
      </w:r>
    </w:p>
    <w:p>
      <w:pPr>
        <w:numPr>
          <w:numId w:val="22"/>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Indigenous peoples have the right to determine their own identity or membership in accordance with their customs and traditions this does not impair the right of indigenous individuals to obtain citizenship of the States in which they live.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40</w:t>
      </w:r>
      <w:r>
        <w:rPr>
          <w:rFonts w:ascii="arial" w:eastAsia="arial" w:hAnsi="arial" w:cs="arial"/>
          <w:color w:val="000000"/>
          <w:sz w:val="20"/>
          <w:lang w:val="en-US" w:eastAsia="en-US" w:bidi="ar-SA"/>
        </w:rPr>
        <w:t xml:space="preserve">  The Plaintiff further submit that legislation is presumed to conform to international law referring to the Supreme Court of Canada in </w:t>
      </w:r>
      <w:r>
        <w:rPr>
          <w:rFonts w:ascii="arial" w:eastAsia="arial" w:hAnsi="arial" w:cs="arial"/>
          <w:i/>
          <w:color w:val="000000"/>
          <w:sz w:val="20"/>
          <w:lang w:val="en-US" w:eastAsia="en-US" w:bidi="ar-SA"/>
        </w:rPr>
        <w:t>14957 Canada Ltée (Spraytech, Societe d'arrosage) v. Hudson (Town),</w:t>
      </w:r>
      <w:r>
        <w:rPr>
          <w:rFonts w:ascii="arial" w:eastAsia="arial" w:hAnsi="arial" w:cs="arial"/>
          <w:color w:val="000000"/>
          <w:sz w:val="20"/>
          <w:lang w:val="en-US" w:eastAsia="en-US" w:bidi="ar-SA"/>
        </w:rPr>
        <w:t xml:space="preserve"> </w:t>
      </w:r>
      <w:hyperlink r:id="rId906" w:history="1">
        <w:r>
          <w:rPr>
            <w:rFonts w:ascii="arial" w:eastAsia="arial" w:hAnsi="arial" w:cs="arial"/>
            <w:i/>
            <w:color w:val="0077CC"/>
            <w:sz w:val="20"/>
            <w:u w:val="single"/>
            <w:shd w:val="clear" w:color="auto" w:fill="FFFFFF"/>
            <w:lang w:val="en-US" w:eastAsia="en-US" w:bidi="ar-SA"/>
          </w:rPr>
          <w:t>2001 SCC 40</w:t>
        </w:r>
      </w:hyperlink>
      <w:r>
        <w:rPr>
          <w:rFonts w:ascii="arial" w:eastAsia="arial" w:hAnsi="arial" w:cs="arial"/>
          <w:color w:val="000000"/>
          <w:sz w:val="20"/>
          <w:lang w:val="en-US" w:eastAsia="en-US" w:bidi="ar-SA"/>
        </w:rPr>
        <w:t>, at para. 30</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30 ... My reasons for the Court in </w:t>
      </w:r>
      <w:r>
        <w:rPr>
          <w:rFonts w:ascii="arial" w:eastAsia="arial" w:hAnsi="arial" w:cs="arial"/>
          <w:i/>
          <w:color w:val="000000"/>
          <w:sz w:val="20"/>
          <w:lang w:val="en-US" w:eastAsia="en-US" w:bidi="ar-SA"/>
        </w:rPr>
        <w:t>Baker v. Canada (Minister of Citizenship and Immigration),</w:t>
      </w:r>
      <w:r>
        <w:rPr>
          <w:rFonts w:ascii="arial" w:eastAsia="arial" w:hAnsi="arial" w:cs="arial"/>
          <w:color w:val="000000"/>
          <w:sz w:val="20"/>
          <w:lang w:val="en-US" w:eastAsia="en-US" w:bidi="ar-SA"/>
        </w:rPr>
        <w:t xml:space="preserve"> </w:t>
      </w:r>
      <w:hyperlink r:id="rId907" w:history="1">
        <w:r>
          <w:rPr>
            <w:rFonts w:ascii="arial" w:eastAsia="arial" w:hAnsi="arial" w:cs="arial"/>
            <w:i/>
            <w:color w:val="0077CC"/>
            <w:sz w:val="20"/>
            <w:u w:val="single"/>
            <w:shd w:val="clear" w:color="auto" w:fill="FFFFFF"/>
            <w:lang w:val="en-US" w:eastAsia="en-US" w:bidi="ar-SA"/>
          </w:rPr>
          <w:t>[1999] 2 S.C.R. 817</w:t>
        </w:r>
      </w:hyperlink>
      <w:r>
        <w:rPr>
          <w:rFonts w:ascii="arial" w:eastAsia="arial" w:hAnsi="arial" w:cs="arial"/>
          <w:color w:val="000000"/>
          <w:sz w:val="20"/>
          <w:lang w:val="en-US" w:eastAsia="en-US" w:bidi="ar-SA"/>
        </w:rPr>
        <w:t xml:space="preserve">, at para. 70, observed that "the values reflected in international human rights law may help inform the contextual approach to statutory interpretation and judicial review". As stated in </w:t>
      </w:r>
      <w:r>
        <w:rPr>
          <w:rFonts w:ascii="arial" w:eastAsia="arial" w:hAnsi="arial" w:cs="arial"/>
          <w:i/>
          <w:color w:val="000000"/>
          <w:sz w:val="20"/>
          <w:lang w:val="en-US" w:eastAsia="en-US" w:bidi="ar-SA"/>
        </w:rPr>
        <w:t>Driedger on the Construction of Statutes, supra,</w:t>
      </w:r>
      <w:r>
        <w:rPr>
          <w:rFonts w:ascii="arial" w:eastAsia="arial" w:hAnsi="arial" w:cs="arial"/>
          <w:color w:val="000000"/>
          <w:sz w:val="20"/>
          <w:lang w:val="en-US" w:eastAsia="en-US" w:bidi="ar-SA"/>
        </w:rPr>
        <w:t xml:space="preserve"> at p. 330:</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legislature is presumed to respect the values and principles enshrined in international law, both customary and conventional. These constitute a part of the legal context in which legislation is enacted and read. </w:t>
      </w:r>
      <w:r>
        <w:rPr>
          <w:rFonts w:ascii="arial" w:eastAsia="arial" w:hAnsi="arial" w:cs="arial"/>
          <w:color w:val="000000"/>
          <w:sz w:val="20"/>
          <w:u w:val="single"/>
          <w:lang w:val="en-US" w:eastAsia="en-US" w:bidi="ar-SA"/>
        </w:rPr>
        <w:t>In so far as possible, therefore, interpretations that reflect these values and principles are preferred.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41</w:t>
      </w:r>
      <w:r>
        <w:rPr>
          <w:rFonts w:ascii="arial" w:eastAsia="arial" w:hAnsi="arial" w:cs="arial"/>
          <w:color w:val="000000"/>
          <w:sz w:val="20"/>
          <w:lang w:val="en-US" w:eastAsia="en-US" w:bidi="ar-SA"/>
        </w:rPr>
        <w:t xml:space="preserve">  As a result they argue that, even if the Band falls within s. 18 of the </w:t>
      </w:r>
      <w:r>
        <w:rPr>
          <w:rFonts w:ascii="arial" w:eastAsia="arial" w:hAnsi="arial" w:cs="arial"/>
          <w:i/>
          <w:color w:val="000000"/>
          <w:sz w:val="20"/>
          <w:lang w:val="en-US" w:eastAsia="en-US" w:bidi="ar-SA"/>
        </w:rPr>
        <w:t>Federal Courts Act,</w:t>
      </w:r>
      <w:r>
        <w:rPr>
          <w:rFonts w:ascii="arial" w:eastAsia="arial" w:hAnsi="arial" w:cs="arial"/>
          <w:color w:val="000000"/>
          <w:sz w:val="20"/>
          <w:lang w:val="en-US" w:eastAsia="en-US" w:bidi="ar-SA"/>
        </w:rPr>
        <w:t xml:space="preserve"> that jurisdiction is not exclusive. This despite the fact that the relief sought by the plaintiff is a declaration directing that the defendants apply for membership as required by the </w:t>
      </w:r>
      <w:r>
        <w:rPr>
          <w:rFonts w:ascii="arial" w:eastAsia="arial" w:hAnsi="arial" w:cs="arial"/>
          <w:i/>
          <w:color w:val="000000"/>
          <w:sz w:val="20"/>
          <w:lang w:val="en-US" w:eastAsia="en-US" w:bidi="ar-SA"/>
        </w:rPr>
        <w:t>Membership Rules</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42</w:t>
      </w:r>
      <w:r>
        <w:rPr>
          <w:rFonts w:ascii="arial" w:eastAsia="arial" w:hAnsi="arial" w:cs="arial"/>
          <w:color w:val="000000"/>
          <w:sz w:val="20"/>
          <w:lang w:val="en-US" w:eastAsia="en-US" w:bidi="ar-SA"/>
        </w:rPr>
        <w:t xml:space="preserve">  The defendants argue that the authority given under the </w:t>
      </w:r>
      <w:r>
        <w:rPr>
          <w:rFonts w:ascii="arial" w:eastAsia="arial" w:hAnsi="arial" w:cs="arial"/>
          <w:i/>
          <w:color w:val="000000"/>
          <w:sz w:val="20"/>
          <w:lang w:val="en-US" w:eastAsia="en-US" w:bidi="ar-SA"/>
        </w:rPr>
        <w:t>Membership Rules</w:t>
      </w:r>
      <w:r>
        <w:rPr>
          <w:rFonts w:ascii="arial" w:eastAsia="arial" w:hAnsi="arial" w:cs="arial"/>
          <w:color w:val="000000"/>
          <w:sz w:val="20"/>
          <w:lang w:val="en-US" w:eastAsia="en-US" w:bidi="ar-SA"/>
        </w:rPr>
        <w:t xml:space="preserve"> is a "manifestation" of the powers conferred by the Government of Canada under s. 10 of the </w:t>
      </w:r>
      <w:r>
        <w:rPr>
          <w:rFonts w:ascii="arial" w:eastAsia="arial" w:hAnsi="arial" w:cs="arial"/>
          <w:i/>
          <w:color w:val="000000"/>
          <w:sz w:val="20"/>
          <w:lang w:val="en-US" w:eastAsia="en-US" w:bidi="ar-SA"/>
        </w:rPr>
        <w:t>Indian Act</w:t>
      </w:r>
      <w:r>
        <w:rPr>
          <w:rFonts w:ascii="arial" w:eastAsia="arial" w:hAnsi="arial" w:cs="arial"/>
          <w:color w:val="000000"/>
          <w:sz w:val="20"/>
          <w:lang w:val="en-US" w:eastAsia="en-US" w:bidi="ar-SA"/>
        </w:rPr>
        <w:t xml:space="preserve">. As discussed earlier, s. 10 of the </w:t>
      </w:r>
      <w:r>
        <w:rPr>
          <w:rFonts w:ascii="arial" w:eastAsia="arial" w:hAnsi="arial" w:cs="arial"/>
          <w:i/>
          <w:color w:val="000000"/>
          <w:sz w:val="20"/>
          <w:lang w:val="en-US" w:eastAsia="en-US" w:bidi="ar-SA"/>
        </w:rPr>
        <w:t>Indian Act</w:t>
      </w:r>
      <w:r>
        <w:rPr>
          <w:rFonts w:ascii="arial" w:eastAsia="arial" w:hAnsi="arial" w:cs="arial"/>
          <w:color w:val="000000"/>
          <w:sz w:val="20"/>
          <w:lang w:val="en-US" w:eastAsia="en-US" w:bidi="ar-SA"/>
        </w:rPr>
        <w:t xml:space="preserve"> permits a Band to assume control over its Band List. The Band has assumed that control and established its </w:t>
      </w:r>
      <w:r>
        <w:rPr>
          <w:rFonts w:ascii="arial" w:eastAsia="arial" w:hAnsi="arial" w:cs="arial"/>
          <w:i/>
          <w:color w:val="000000"/>
          <w:sz w:val="20"/>
          <w:lang w:val="en-US" w:eastAsia="en-US" w:bidi="ar-SA"/>
        </w:rPr>
        <w:t>Membership Rules</w:t>
      </w:r>
      <w:r>
        <w:rPr>
          <w:rFonts w:ascii="arial" w:eastAsia="arial" w:hAnsi="arial" w:cs="arial"/>
          <w:color w:val="000000"/>
          <w:sz w:val="20"/>
          <w:lang w:val="en-US" w:eastAsia="en-US" w:bidi="ar-SA"/>
        </w:rPr>
        <w:t xml:space="preserve"> pursuant to s. 10. However, at issue is whether that makes the Band a "federal board, commission or other tribunal". Does the grant of such powers bring the Band within that definition? In doing so, is it exercising a statutory duty delegated to it by Parliament? The defendants rest their submission on the argument that matters relating to membership arise under the authority of s. 10 of the </w:t>
      </w:r>
      <w:r>
        <w:rPr>
          <w:rFonts w:ascii="arial" w:eastAsia="arial" w:hAnsi="arial" w:cs="arial"/>
          <w:i/>
          <w:color w:val="000000"/>
          <w:sz w:val="20"/>
          <w:lang w:val="en-US" w:eastAsia="en-US" w:bidi="ar-SA"/>
        </w:rPr>
        <w:t>Indian Act</w:t>
      </w:r>
      <w:r>
        <w:rPr>
          <w:rFonts w:ascii="arial" w:eastAsia="arial" w:hAnsi="arial" w:cs="arial"/>
          <w:color w:val="000000"/>
          <w:sz w:val="20"/>
          <w:lang w:val="en-US" w:eastAsia="en-US" w:bidi="ar-SA"/>
        </w:rPr>
        <w:t xml:space="preserve"> and hence the exercise of those powers by the Band, Band Council or others under the </w:t>
      </w:r>
      <w:r>
        <w:rPr>
          <w:rFonts w:ascii="arial" w:eastAsia="arial" w:hAnsi="arial" w:cs="arial"/>
          <w:i/>
          <w:color w:val="000000"/>
          <w:sz w:val="20"/>
          <w:lang w:val="en-US" w:eastAsia="en-US" w:bidi="ar-SA"/>
        </w:rPr>
        <w:t>Membership Rules</w:t>
      </w:r>
      <w:r>
        <w:rPr>
          <w:rFonts w:ascii="arial" w:eastAsia="arial" w:hAnsi="arial" w:cs="arial"/>
          <w:color w:val="000000"/>
          <w:sz w:val="20"/>
          <w:lang w:val="en-US" w:eastAsia="en-US" w:bidi="ar-SA"/>
        </w:rPr>
        <w:t>, because of their nature as an exercise of statutory duty, are exercised as a federal board.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43</w:t>
      </w:r>
      <w:r>
        <w:rPr>
          <w:rFonts w:ascii="arial" w:eastAsia="arial" w:hAnsi="arial" w:cs="arial"/>
          <w:color w:val="000000"/>
          <w:sz w:val="20"/>
          <w:lang w:val="en-US" w:eastAsia="en-US" w:bidi="ar-SA"/>
        </w:rPr>
        <w:t xml:space="preserve">  They refer to </w:t>
      </w:r>
      <w:r>
        <w:rPr>
          <w:rFonts w:ascii="arial" w:eastAsia="arial" w:hAnsi="arial" w:cs="arial"/>
          <w:i/>
          <w:color w:val="000000"/>
          <w:sz w:val="20"/>
          <w:lang w:val="en-US" w:eastAsia="en-US" w:bidi="ar-SA"/>
        </w:rPr>
        <w:t>Horseman v. Horse Lake First Nation</w:t>
      </w:r>
      <w:r>
        <w:rPr>
          <w:rFonts w:ascii="arial" w:eastAsia="arial" w:hAnsi="arial" w:cs="arial"/>
          <w:color w:val="000000"/>
          <w:sz w:val="20"/>
          <w:lang w:val="en-US" w:eastAsia="en-US" w:bidi="ar-SA"/>
        </w:rPr>
        <w:t xml:space="preserve">, </w:t>
      </w:r>
      <w:hyperlink r:id="rId908" w:history="1">
        <w:r>
          <w:rPr>
            <w:rFonts w:ascii="arial" w:eastAsia="arial" w:hAnsi="arial" w:cs="arial"/>
            <w:i/>
            <w:color w:val="0077CC"/>
            <w:sz w:val="20"/>
            <w:u w:val="single"/>
            <w:shd w:val="clear" w:color="auto" w:fill="FFFFFF"/>
            <w:lang w:val="en-US" w:eastAsia="en-US" w:bidi="ar-SA"/>
          </w:rPr>
          <w:t>2005 ABCA 15</w:t>
        </w:r>
      </w:hyperlink>
      <w:r>
        <w:rPr>
          <w:rFonts w:ascii="arial" w:eastAsia="arial" w:hAnsi="arial" w:cs="arial"/>
          <w:color w:val="000000"/>
          <w:sz w:val="20"/>
          <w:lang w:val="en-US" w:eastAsia="en-US" w:bidi="ar-SA"/>
        </w:rPr>
        <w:t xml:space="preserve">, in support. In </w:t>
      </w:r>
      <w:r>
        <w:rPr>
          <w:rFonts w:ascii="arial" w:eastAsia="arial" w:hAnsi="arial" w:cs="arial"/>
          <w:i/>
          <w:color w:val="000000"/>
          <w:sz w:val="20"/>
          <w:lang w:val="en-US" w:eastAsia="en-US" w:bidi="ar-SA"/>
        </w:rPr>
        <w:t>Horseman</w:t>
      </w:r>
      <w:r>
        <w:rPr>
          <w:rFonts w:ascii="arial" w:eastAsia="arial" w:hAnsi="arial" w:cs="arial"/>
          <w:color w:val="000000"/>
          <w:sz w:val="20"/>
          <w:lang w:val="en-US" w:eastAsia="en-US" w:bidi="ar-SA"/>
        </w:rPr>
        <w:t xml:space="preserve"> the plaintiff sought damages in tort for her allegedly wrongful removal from the Band and also sought a declaration that "she was, and still is, a member of her aboriginal community" (para. 1). The majority held that the Court of Queen's Bench had jurisdiction respecting the tort action but struck the declaratory relief plea on the basis that "[o]nly the Federal Court would have jurisdiction to make such a declaration (para. 57). The majority stated as well at para. 68 that: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[68] ... no order pronounced in the Court of Queen's Bench in the context of this litigation as presently framed can have the effect of restoring the Respondent to the rolls of the Horse Lake First Nation. The Court of Queen's Bench has no jurisdiction to grant such an order or to declare that the Respondent "is and at all material times has been a member of the Band". ...</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44</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Horseman,</w:t>
      </w:r>
      <w:r>
        <w:rPr>
          <w:rFonts w:ascii="arial" w:eastAsia="arial" w:hAnsi="arial" w:cs="arial"/>
          <w:color w:val="000000"/>
          <w:sz w:val="20"/>
          <w:lang w:val="en-US" w:eastAsia="en-US" w:bidi="ar-SA"/>
        </w:rPr>
        <w:t xml:space="preserve"> it was the Band, through its council, that had the authority to remove the respondent from the registry and as such would act as a federal board, commission or other tribunal.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45</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Sabattis v. Oromocto Indian Band</w:t>
      </w:r>
      <w:r>
        <w:rPr>
          <w:rFonts w:ascii="arial" w:eastAsia="arial" w:hAnsi="arial" w:cs="arial"/>
          <w:color w:val="000000"/>
          <w:sz w:val="20"/>
          <w:lang w:val="en-US" w:eastAsia="en-US" w:bidi="ar-SA"/>
        </w:rPr>
        <w:t xml:space="preserve"> </w:t>
      </w:r>
      <w:hyperlink r:id="rId903" w:history="1">
        <w:r>
          <w:rPr>
            <w:rFonts w:ascii="arial" w:eastAsia="arial" w:hAnsi="arial" w:cs="arial"/>
            <w:i/>
            <w:color w:val="0077CC"/>
            <w:sz w:val="20"/>
            <w:u w:val="single"/>
            <w:shd w:val="clear" w:color="auto" w:fill="FFFFFF"/>
            <w:lang w:val="en-US" w:eastAsia="en-US" w:bidi="ar-SA"/>
          </w:rPr>
          <w:t>(1987), 32 D.L.R. (4th) 680</w:t>
        </w:r>
      </w:hyperlink>
      <w:r>
        <w:rPr>
          <w:rFonts w:ascii="arial" w:eastAsia="arial" w:hAnsi="arial" w:cs="arial"/>
          <w:color w:val="000000"/>
          <w:sz w:val="20"/>
          <w:lang w:val="en-US" w:eastAsia="en-US" w:bidi="ar-SA"/>
        </w:rPr>
        <w:t xml:space="preserve">, </w:t>
      </w:r>
      <w:hyperlink r:id="rId903" w:history="1">
        <w:r>
          <w:rPr>
            <w:rFonts w:ascii="arial" w:eastAsia="arial" w:hAnsi="arial" w:cs="arial"/>
            <w:i/>
            <w:color w:val="0077CC"/>
            <w:sz w:val="20"/>
            <w:u w:val="single"/>
            <w:shd w:val="clear" w:color="auto" w:fill="FFFFFF"/>
            <w:lang w:val="en-US" w:eastAsia="en-US" w:bidi="ar-SA"/>
          </w:rPr>
          <w:t>76 N.B.R. (2d) 227</w:t>
        </w:r>
      </w:hyperlink>
      <w:r>
        <w:rPr>
          <w:rFonts w:ascii="arial" w:eastAsia="arial" w:hAnsi="arial" w:cs="arial"/>
          <w:color w:val="000000"/>
          <w:sz w:val="20"/>
          <w:lang w:val="en-US" w:eastAsia="en-US" w:bidi="ar-SA"/>
        </w:rPr>
        <w:t xml:space="preserve"> (N.B.C.A.) the issue before the New Brunswick Court of Appeal was whether the Band's power to nominate and elect chief and councillors and to surrender any right or interest of the Band in a reserve conferred upon the Band by the </w:t>
      </w:r>
      <w:r>
        <w:rPr>
          <w:rFonts w:ascii="arial" w:eastAsia="arial" w:hAnsi="arial" w:cs="arial"/>
          <w:i/>
          <w:color w:val="000000"/>
          <w:sz w:val="20"/>
          <w:lang w:val="en-US" w:eastAsia="en-US" w:bidi="ar-SA"/>
        </w:rPr>
        <w:t>Indian Act</w:t>
      </w:r>
      <w:r>
        <w:rPr>
          <w:rFonts w:ascii="arial" w:eastAsia="arial" w:hAnsi="arial" w:cs="arial"/>
          <w:color w:val="000000"/>
          <w:sz w:val="20"/>
          <w:lang w:val="en-US" w:eastAsia="en-US" w:bidi="ar-SA"/>
        </w:rPr>
        <w:t xml:space="preserve"> were powers that would bring them within the definition of "federal board, commission or tribunal". The court at said the following:</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sections of the Indian Act to which counsel refer do not, in my opinion, confer upon an Indian Band powers that are in any way analogous to those conferred upon a municipal council by a provincial legislature. The Band does not, by virtue of those sections, exercise any municipal or governmental power in relation to the reserve nor does it act as agent for the Minister of Indian Affairs and Northern Development or perform any decisive role in the exercise by the Minister of his statutory authority relative to the reserve. The Band's role, in my view, is more akin to that of an elector in a municipal context or to a shareholder in a corporate context. Thus, on examining the nature of the powers conferred on an Indian band and the character and function of the band, I am of the opinion that the sections of the Indian Act relied upon by counsel do no more than establish procedures for the election of a chief and councillors, (and the Act recognizes that a Council may exist by the custom of the band), and for the surrender of reserve lands (and such surrenders must be to the Crown in any event), and do not amount to a delegation of either governmental or administrative powers by the Parliament of Canada. I would therefore conclude that an Indian Band is not the type of tribunal contemplated by the definition in s. 2 of the </w:t>
      </w:r>
      <w:r>
        <w:rPr>
          <w:rFonts w:ascii="arial" w:eastAsia="arial" w:hAnsi="arial" w:cs="arial"/>
          <w:i/>
          <w:color w:val="000000"/>
          <w:sz w:val="20"/>
          <w:lang w:val="en-US" w:eastAsia="en-US" w:bidi="ar-SA"/>
        </w:rPr>
        <w:t>Federal Court Act</w:t>
      </w:r>
      <w:r>
        <w:rPr>
          <w:rFonts w:ascii="arial" w:eastAsia="arial" w:hAnsi="arial" w:cs="arial"/>
          <w:color w:val="000000"/>
          <w:sz w:val="20"/>
          <w:lang w:val="en-US" w:eastAsia="en-US" w:bidi="ar-SA"/>
        </w:rPr>
        <w:t xml:space="preserve"> which has application to "any body or any person or persons having, exercising or purporting to exercise jurisdiction or powers conferred by or under an Act of the Parliament of Canada".</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For the reasons I have given, I would respectfully disagree with the learned trial judge and hold that the Oromocto Indian Band is not a "federal board, commission or other tribunal" as defined in the </w:t>
      </w:r>
      <w:r>
        <w:rPr>
          <w:rFonts w:ascii="arial" w:eastAsia="arial" w:hAnsi="arial" w:cs="arial"/>
          <w:i/>
          <w:color w:val="000000"/>
          <w:sz w:val="20"/>
          <w:lang w:val="en-US" w:eastAsia="en-US" w:bidi="ar-SA"/>
        </w:rPr>
        <w:t>Federal Court Act</w:t>
      </w:r>
      <w:r>
        <w:rPr>
          <w:rFonts w:ascii="arial" w:eastAsia="arial" w:hAnsi="arial" w:cs="arial"/>
          <w:color w:val="000000"/>
          <w:sz w:val="20"/>
          <w:lang w:val="en-US" w:eastAsia="en-US" w:bidi="ar-SA"/>
        </w:rPr>
        <w:t xml:space="preserve"> and that the Court of Queen's Bench of New Brunswick has jurisdiction to hear this matter.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46</w:t>
      </w:r>
      <w:r>
        <w:rPr>
          <w:rFonts w:ascii="arial" w:eastAsia="arial" w:hAnsi="arial" w:cs="arial"/>
          <w:color w:val="000000"/>
          <w:sz w:val="20"/>
          <w:lang w:val="en-US" w:eastAsia="en-US" w:bidi="ar-SA"/>
        </w:rPr>
        <w:t>  As a result a "band" is not a federal board unless it is exercising a statutory duty delegated to it by Parliament.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47</w:t>
      </w:r>
      <w:r>
        <w:rPr>
          <w:rFonts w:ascii="arial" w:eastAsia="arial" w:hAnsi="arial" w:cs="arial"/>
          <w:color w:val="000000"/>
          <w:sz w:val="20"/>
          <w:lang w:val="en-US" w:eastAsia="en-US" w:bidi="ar-SA"/>
        </w:rPr>
        <w:t xml:space="preserve">  This is consistent with the comments of Dawson J. in </w:t>
      </w:r>
      <w:r>
        <w:rPr>
          <w:rFonts w:ascii="arial" w:eastAsia="arial" w:hAnsi="arial" w:cs="arial"/>
          <w:i/>
          <w:color w:val="000000"/>
          <w:sz w:val="20"/>
          <w:lang w:val="en-US" w:eastAsia="en-US" w:bidi="ar-SA"/>
        </w:rPr>
        <w:t>Devil's Gap</w:t>
      </w:r>
      <w:r>
        <w:rPr>
          <w:rFonts w:ascii="arial" w:eastAsia="arial" w:hAnsi="arial" w:cs="arial"/>
          <w:color w:val="000000"/>
          <w:sz w:val="20"/>
          <w:lang w:val="en-US" w:eastAsia="en-US" w:bidi="ar-SA"/>
        </w:rPr>
        <w:t xml:space="preserve"> at paras. 33 and 55 where he refers to </w:t>
      </w:r>
      <w:r>
        <w:rPr>
          <w:rFonts w:ascii="arial" w:eastAsia="arial" w:hAnsi="arial" w:cs="arial"/>
          <w:i/>
          <w:color w:val="000000"/>
          <w:sz w:val="20"/>
          <w:lang w:val="en-US" w:eastAsia="en-US" w:bidi="ar-SA"/>
        </w:rPr>
        <w:t>J. G. Mortgage Development Corp. v. Canada (Minister of Public Works)</w:t>
      </w:r>
      <w:r>
        <w:rPr>
          <w:rFonts w:ascii="arial" w:eastAsia="arial" w:hAnsi="arial" w:cs="arial"/>
          <w:color w:val="000000"/>
          <w:sz w:val="20"/>
          <w:lang w:val="en-US" w:eastAsia="en-US" w:bidi="ar-SA"/>
        </w:rPr>
        <w:t xml:space="preserve">, </w:t>
      </w:r>
      <w:hyperlink r:id="rId909" w:history="1">
        <w:r>
          <w:rPr>
            <w:rFonts w:ascii="arial" w:eastAsia="arial" w:hAnsi="arial" w:cs="arial"/>
            <w:i/>
            <w:color w:val="0077CC"/>
            <w:sz w:val="20"/>
            <w:u w:val="single"/>
            <w:shd w:val="clear" w:color="auto" w:fill="FFFFFF"/>
            <w:lang w:val="en-US" w:eastAsia="en-US" w:bidi="ar-SA"/>
          </w:rPr>
          <w:t>[1992] F.C.J. No. 883</w:t>
        </w:r>
      </w:hyperlink>
      <w:r>
        <w:rPr>
          <w:rFonts w:ascii="arial" w:eastAsia="arial" w:hAnsi="arial" w:cs="arial"/>
          <w:color w:val="000000"/>
          <w:sz w:val="20"/>
          <w:lang w:val="en-US" w:eastAsia="en-US" w:bidi="ar-SA"/>
        </w:rPr>
        <w:t xml:space="preserve"> as follows: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[33] Following her review of the jurisprudence, Justice Mactavish distilled, at paragraph 48 of her reasons, a number of principles. The following are of particular relevance to the present case:</w:t>
      </w:r>
    </w:p>
    <w:p>
      <w:pPr>
        <w:numPr>
          <w:numId w:val="2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phrase "powers conferred by or under an Act of Parliament" found in the definition of a "federal board, commission or other tribunal" in subsection 2(1) of the </w:t>
      </w:r>
      <w:r>
        <w:rPr>
          <w:rFonts w:ascii="arial" w:eastAsia="arial" w:hAnsi="arial" w:cs="arial"/>
          <w:i/>
          <w:color w:val="000000"/>
          <w:sz w:val="20"/>
          <w:lang w:val="en-US" w:eastAsia="en-US" w:bidi="ar-SA"/>
        </w:rPr>
        <w:t>Federal Courts Act</w:t>
      </w:r>
      <w:r>
        <w:rPr>
          <w:rFonts w:ascii="arial" w:eastAsia="arial" w:hAnsi="arial" w:cs="arial"/>
          <w:color w:val="000000"/>
          <w:sz w:val="20"/>
          <w:lang w:val="en-US" w:eastAsia="en-US" w:bidi="ar-SA"/>
        </w:rPr>
        <w:t xml:space="preserve"> is "particularly broad" and should be given a liberal interpretation: </w:t>
      </w:r>
      <w:r>
        <w:rPr>
          <w:rFonts w:ascii="arial" w:eastAsia="arial" w:hAnsi="arial" w:cs="arial"/>
          <w:i/>
          <w:color w:val="000000"/>
          <w:sz w:val="20"/>
          <w:lang w:val="en-US" w:eastAsia="en-US" w:bidi="ar-SA"/>
        </w:rPr>
        <w:t>Gestion Complexe Cousineau (1989) Inc. v. Canada (Minister of Public Works and Government Services)</w:t>
      </w:r>
      <w:r>
        <w:rPr>
          <w:rFonts w:ascii="arial" w:eastAsia="arial" w:hAnsi="arial" w:cs="arial"/>
          <w:color w:val="000000"/>
          <w:sz w:val="20"/>
          <w:lang w:val="en-US" w:eastAsia="en-US" w:bidi="ar-SA"/>
        </w:rPr>
        <w:t xml:space="preserve">, </w:t>
      </w:r>
      <w:hyperlink r:id="rId910" w:history="1">
        <w:r>
          <w:rPr>
            <w:rFonts w:ascii="arial" w:eastAsia="arial" w:hAnsi="arial" w:cs="arial"/>
            <w:i/>
            <w:color w:val="0077CC"/>
            <w:sz w:val="20"/>
            <w:u w:val="single"/>
            <w:shd w:val="clear" w:color="auto" w:fill="FFFFFF"/>
            <w:lang w:val="en-US" w:eastAsia="en-US" w:bidi="ar-SA"/>
          </w:rPr>
          <w:t>[1995] 2 F.C. 694</w:t>
        </w:r>
      </w:hyperlink>
      <w:r>
        <w:rPr>
          <w:rFonts w:ascii="arial" w:eastAsia="arial" w:hAnsi="arial" w:cs="arial"/>
          <w:color w:val="000000"/>
          <w:sz w:val="20"/>
          <w:lang w:val="en-US" w:eastAsia="en-US" w:bidi="ar-SA"/>
        </w:rPr>
        <w:t xml:space="preserve"> (C.A.).</w:t>
      </w:r>
    </w:p>
    <w:p>
      <w:pPr>
        <w:numPr>
          <w:numId w:val="2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powers referred to in subsection 2(1) of the </w:t>
      </w:r>
      <w:r>
        <w:rPr>
          <w:rFonts w:ascii="arial" w:eastAsia="arial" w:hAnsi="arial" w:cs="arial"/>
          <w:i/>
          <w:color w:val="000000"/>
          <w:sz w:val="20"/>
          <w:lang w:val="en-US" w:eastAsia="en-US" w:bidi="ar-SA"/>
        </w:rPr>
        <w:t>Federal Courts Act</w:t>
      </w:r>
      <w:r>
        <w:rPr>
          <w:rFonts w:ascii="arial" w:eastAsia="arial" w:hAnsi="arial" w:cs="arial"/>
          <w:color w:val="000000"/>
          <w:sz w:val="20"/>
          <w:lang w:val="en-US" w:eastAsia="en-US" w:bidi="ar-SA"/>
        </w:rPr>
        <w:t xml:space="preserve"> do not include the private powers exercisable by an ordinary corporation created under a federal statute which are merely incidents of its legal personality or authorized business: </w:t>
      </w:r>
      <w:r>
        <w:rPr>
          <w:rFonts w:ascii="arial" w:eastAsia="arial" w:hAnsi="arial" w:cs="arial"/>
          <w:i/>
          <w:color w:val="000000"/>
          <w:sz w:val="20"/>
          <w:lang w:val="en-US" w:eastAsia="en-US" w:bidi="ar-SA"/>
        </w:rPr>
        <w:t>Wilcox v. Canadian Broadcasting Corporation</w:t>
      </w:r>
      <w:r>
        <w:rPr>
          <w:rFonts w:ascii="arial" w:eastAsia="arial" w:hAnsi="arial" w:cs="arial"/>
          <w:color w:val="000000"/>
          <w:sz w:val="20"/>
          <w:lang w:val="en-US" w:eastAsia="en-US" w:bidi="ar-SA"/>
        </w:rPr>
        <w:t xml:space="preserve">, </w:t>
      </w:r>
      <w:hyperlink r:id="rId911" w:history="1">
        <w:r>
          <w:rPr>
            <w:rFonts w:ascii="arial" w:eastAsia="arial" w:hAnsi="arial" w:cs="arial"/>
            <w:i/>
            <w:color w:val="0077CC"/>
            <w:sz w:val="20"/>
            <w:u w:val="single"/>
            <w:shd w:val="clear" w:color="auto" w:fill="FFFFFF"/>
            <w:lang w:val="en-US" w:eastAsia="en-US" w:bidi="ar-SA"/>
          </w:rPr>
          <w:t>[1980] 1 F.C. 326</w:t>
        </w:r>
      </w:hyperlink>
      <w:r>
        <w:rPr>
          <w:rFonts w:ascii="arial" w:eastAsia="arial" w:hAnsi="arial" w:cs="arial"/>
          <w:color w:val="000000"/>
          <w:sz w:val="20"/>
          <w:lang w:val="en-US" w:eastAsia="en-US" w:bidi="ar-SA"/>
        </w:rPr>
        <w:t xml:space="preserve"> (T.D.).</w:t>
      </w:r>
    </w:p>
    <w:p>
      <w:pPr>
        <w:numPr>
          <w:numId w:val="2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Although the character of the institution is significant to the analysis, it is the character of the powers being exercised that determines whether the decision-maker is a "federal board, commission or other tribunal" for the purposes of section 18.1 of the </w:t>
      </w:r>
      <w:r>
        <w:rPr>
          <w:rFonts w:ascii="arial" w:eastAsia="arial" w:hAnsi="arial" w:cs="arial"/>
          <w:i/>
          <w:color w:val="000000"/>
          <w:sz w:val="20"/>
          <w:lang w:val="en-US" w:eastAsia="en-US" w:bidi="ar-SA"/>
        </w:rPr>
        <w:t>Federal Courts Act</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Aeric</w:t>
      </w:r>
      <w:r>
        <w:rPr>
          <w:rFonts w:ascii="arial" w:eastAsia="arial" w:hAnsi="arial" w:cs="arial"/>
          <w:color w:val="000000"/>
          <w:sz w:val="20"/>
          <w:lang w:val="en-US" w:eastAsia="en-US" w:bidi="ar-SA"/>
        </w:rPr>
        <w:t xml:space="preserve">, </w:t>
      </w:r>
      <w:hyperlink r:id="rId912" w:history="1">
        <w:r>
          <w:rPr>
            <w:rFonts w:ascii="arial" w:eastAsia="arial" w:hAnsi="arial" w:cs="arial"/>
            <w:i/>
            <w:color w:val="0077CC"/>
            <w:sz w:val="20"/>
            <w:u w:val="single"/>
            <w:shd w:val="clear" w:color="auto" w:fill="FFFFFF"/>
            <w:lang w:val="en-US" w:eastAsia="en-US" w:bidi="ar-SA"/>
          </w:rPr>
          <w:t>[1985] F.C.J. No. 64</w:t>
        </w:r>
      </w:hyperlink>
      <w:r>
        <w:rPr>
          <w:rFonts w:ascii="arial" w:eastAsia="arial" w:hAnsi="arial" w:cs="arial"/>
          <w:color w:val="000000"/>
          <w:sz w:val="20"/>
          <w:lang w:val="en-US" w:eastAsia="en-US" w:bidi="ar-SA"/>
        </w:rPr>
        <w:t>.</w:t>
      </w:r>
    </w:p>
    <w:p>
      <w:pPr>
        <w:numPr>
          <w:numId w:val="2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While an organization may be a "federal board, commission or other tribunal" for some purposes, it is not necessarily so for all purposes. In determining whether an organization is a "federal board, commission or other tribunal" in a given situation, it is necessary to have regard to the nature of the powers being exercised: </w:t>
      </w:r>
      <w:r>
        <w:rPr>
          <w:rFonts w:ascii="arial" w:eastAsia="arial" w:hAnsi="arial" w:cs="arial"/>
          <w:i/>
          <w:color w:val="000000"/>
          <w:sz w:val="20"/>
          <w:lang w:val="en-US" w:eastAsia="en-US" w:bidi="ar-SA"/>
        </w:rPr>
        <w:t>Jackson v. Canada (Attorney General)</w:t>
      </w:r>
      <w:r>
        <w:rPr>
          <w:rFonts w:ascii="arial" w:eastAsia="arial" w:hAnsi="arial" w:cs="arial"/>
          <w:color w:val="000000"/>
          <w:sz w:val="20"/>
          <w:lang w:val="en-US" w:eastAsia="en-US" w:bidi="ar-SA"/>
        </w:rPr>
        <w:t xml:space="preserve"> </w:t>
      </w:r>
      <w:hyperlink r:id="rId913" w:history="1">
        <w:r>
          <w:rPr>
            <w:rFonts w:ascii="arial" w:eastAsia="arial" w:hAnsi="arial" w:cs="arial"/>
            <w:i/>
            <w:color w:val="0077CC"/>
            <w:sz w:val="20"/>
            <w:u w:val="single"/>
            <w:shd w:val="clear" w:color="auto" w:fill="FFFFFF"/>
            <w:lang w:val="en-US" w:eastAsia="en-US" w:bidi="ar-SA"/>
          </w:rPr>
          <w:t>(1997), 141 F.T.R. 1</w:t>
        </w:r>
      </w:hyperlink>
      <w:r>
        <w:rPr>
          <w:rFonts w:ascii="arial" w:eastAsia="arial" w:hAnsi="arial" w:cs="arial"/>
          <w:color w:val="000000"/>
          <w:sz w:val="20"/>
          <w:lang w:val="en-US" w:eastAsia="en-US" w:bidi="ar-SA"/>
        </w:rPr>
        <w:t xml:space="preserve"> (T.D.), aff'd </w:t>
      </w:r>
      <w:hyperlink r:id="rId914" w:history="1">
        <w:r>
          <w:rPr>
            <w:rFonts w:ascii="arial" w:eastAsia="arial" w:hAnsi="arial" w:cs="arial"/>
            <w:i/>
            <w:color w:val="0077CC"/>
            <w:sz w:val="20"/>
            <w:u w:val="single"/>
            <w:shd w:val="clear" w:color="auto" w:fill="FFFFFF"/>
            <w:lang w:val="en-US" w:eastAsia="en-US" w:bidi="ar-SA"/>
          </w:rPr>
          <w:t>(2000), 261 N.R. 100</w:t>
        </w:r>
      </w:hyperlink>
      <w:r>
        <w:rPr>
          <w:rFonts w:ascii="arial" w:eastAsia="arial" w:hAnsi="arial" w:cs="arial"/>
          <w:color w:val="000000"/>
          <w:sz w:val="20"/>
          <w:lang w:val="en-US" w:eastAsia="en-US" w:bidi="ar-SA"/>
        </w:rPr>
        <w:t xml:space="preserve"> (C.A.)</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[55] The decision in </w:t>
      </w:r>
      <w:r>
        <w:rPr>
          <w:rFonts w:ascii="arial" w:eastAsia="arial" w:hAnsi="arial" w:cs="arial"/>
          <w:i/>
          <w:color w:val="000000"/>
          <w:sz w:val="20"/>
          <w:lang w:val="en-US" w:eastAsia="en-US" w:bidi="ar-SA"/>
        </w:rPr>
        <w:t>J.G. Morgan Development</w:t>
      </w:r>
      <w:r>
        <w:rPr>
          <w:rFonts w:ascii="arial" w:eastAsia="arial" w:hAnsi="arial" w:cs="arial"/>
          <w:color w:val="000000"/>
          <w:sz w:val="20"/>
          <w:lang w:val="en-US" w:eastAsia="en-US" w:bidi="ar-SA"/>
        </w:rPr>
        <w:t xml:space="preserve"> is said to stand for the principle that, if the decision at issue is of a private nature, it is not reviewable. In my view, this decision is consistent with the jurisprudence of the Federal Court of Appeal. More precisely stated, it stands for the principle that it is the source or character of the power being exercised that determines whether an entity is acting as a "federal board, commission or other tribunal" and therefore subject to review.</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48</w:t>
      </w:r>
      <w:r>
        <w:rPr>
          <w:rFonts w:ascii="arial" w:eastAsia="arial" w:hAnsi="arial" w:cs="arial"/>
          <w:color w:val="000000"/>
          <w:sz w:val="20"/>
          <w:lang w:val="en-US" w:eastAsia="en-US" w:bidi="ar-SA"/>
        </w:rPr>
        <w:t xml:space="preserve">  The foregoing authorities are clear that a first nations "band" is not a federal board unless it is exercising a statutory duty that has been specifically delegated to it by Parliament. In both </w:t>
      </w:r>
      <w:r>
        <w:rPr>
          <w:rFonts w:ascii="arial" w:eastAsia="arial" w:hAnsi="arial" w:cs="arial"/>
          <w:i/>
          <w:color w:val="000000"/>
          <w:sz w:val="20"/>
          <w:lang w:val="en-US" w:eastAsia="en-US" w:bidi="ar-SA"/>
        </w:rPr>
        <w:t>Chapman</w:t>
      </w:r>
      <w:r>
        <w:rPr>
          <w:rFonts w:ascii="arial" w:eastAsia="arial" w:hAnsi="arial" w:cs="arial"/>
          <w:color w:val="000000"/>
          <w:sz w:val="20"/>
          <w:lang w:val="en-US" w:eastAsia="en-US" w:bidi="ar-SA"/>
        </w:rPr>
        <w:t xml:space="preserve"> and </w:t>
      </w:r>
      <w:r>
        <w:rPr>
          <w:rFonts w:ascii="arial" w:eastAsia="arial" w:hAnsi="arial" w:cs="arial"/>
          <w:i/>
          <w:color w:val="000000"/>
          <w:sz w:val="20"/>
          <w:lang w:val="en-US" w:eastAsia="en-US" w:bidi="ar-SA"/>
        </w:rPr>
        <w:t>Sabattis</w:t>
      </w:r>
      <w:r>
        <w:rPr>
          <w:rFonts w:ascii="arial" w:eastAsia="arial" w:hAnsi="arial" w:cs="arial"/>
          <w:color w:val="000000"/>
          <w:sz w:val="20"/>
          <w:lang w:val="en-US" w:eastAsia="en-US" w:bidi="ar-SA"/>
        </w:rPr>
        <w:t xml:space="preserve"> the issues related to the electoral provisions of the </w:t>
      </w:r>
      <w:r>
        <w:rPr>
          <w:rFonts w:ascii="arial" w:eastAsia="arial" w:hAnsi="arial" w:cs="arial"/>
          <w:i/>
          <w:color w:val="000000"/>
          <w:sz w:val="20"/>
          <w:lang w:val="en-US" w:eastAsia="en-US" w:bidi="ar-SA"/>
        </w:rPr>
        <w:t>Indian Act.</w:t>
      </w:r>
      <w:r>
        <w:rPr>
          <w:rFonts w:ascii="arial" w:eastAsia="arial" w:hAnsi="arial" w:cs="arial"/>
          <w:color w:val="000000"/>
          <w:sz w:val="20"/>
          <w:lang w:val="en-US" w:eastAsia="en-US" w:bidi="ar-SA"/>
        </w:rPr>
        <w:t xml:space="preserve"> Those provisions were held by the court in </w:t>
      </w:r>
      <w:r>
        <w:rPr>
          <w:rFonts w:ascii="arial" w:eastAsia="arial" w:hAnsi="arial" w:cs="arial"/>
          <w:i/>
          <w:color w:val="000000"/>
          <w:sz w:val="20"/>
          <w:lang w:val="en-US" w:eastAsia="en-US" w:bidi="ar-SA"/>
        </w:rPr>
        <w:t>Sabattis</w:t>
      </w:r>
      <w:r>
        <w:rPr>
          <w:rFonts w:ascii="arial" w:eastAsia="arial" w:hAnsi="arial" w:cs="arial"/>
          <w:color w:val="000000"/>
          <w:sz w:val="20"/>
          <w:lang w:val="en-US" w:eastAsia="en-US" w:bidi="ar-SA"/>
        </w:rPr>
        <w:t xml:space="preserve"> to be procedural only and did not delegate governmental or administrative powers.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49</w:t>
      </w:r>
      <w:r>
        <w:rPr>
          <w:rFonts w:ascii="arial" w:eastAsia="arial" w:hAnsi="arial" w:cs="arial"/>
          <w:color w:val="000000"/>
          <w:sz w:val="20"/>
          <w:lang w:val="en-US" w:eastAsia="en-US" w:bidi="ar-SA"/>
        </w:rPr>
        <w:t xml:space="preserve">  In the present circumstances, the Band is exercising a statutory duty to maintain a band list pursuant to s. 10 of the </w:t>
      </w:r>
      <w:r>
        <w:rPr>
          <w:rFonts w:ascii="arial" w:eastAsia="arial" w:hAnsi="arial" w:cs="arial"/>
          <w:i/>
          <w:color w:val="000000"/>
          <w:sz w:val="20"/>
          <w:lang w:val="en-US" w:eastAsia="en-US" w:bidi="ar-SA"/>
        </w:rPr>
        <w:t>Indian Act</w:t>
      </w:r>
      <w:r>
        <w:rPr>
          <w:rFonts w:ascii="arial" w:eastAsia="arial" w:hAnsi="arial" w:cs="arial"/>
          <w:color w:val="000000"/>
          <w:sz w:val="20"/>
          <w:lang w:val="en-US" w:eastAsia="en-US" w:bidi="ar-SA"/>
        </w:rPr>
        <w:t xml:space="preserve">. The duty to maintain a band list is the duty of the Minister unless, as in this case, the band assumes control of its own list. The purpose of a band list is to determine entitlement to benefits and voting rights. While there may be a parallel inherent right to control band membership, in this case the Band is carrying out a statutory duty and as such the Band is a federal "board, commission or other tribunal" as defined by the </w:t>
      </w:r>
      <w:r>
        <w:rPr>
          <w:rFonts w:ascii="arial" w:eastAsia="arial" w:hAnsi="arial" w:cs="arial"/>
          <w:i/>
          <w:color w:val="000000"/>
          <w:sz w:val="20"/>
          <w:lang w:val="en-US" w:eastAsia="en-US" w:bidi="ar-SA"/>
        </w:rPr>
        <w:t>Federal Courts Act.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i/>
          <w:color w:val="000000"/>
          <w:sz w:val="20"/>
          <w:lang w:val="en-US" w:eastAsia="en-US" w:bidi="ar-SA"/>
        </w:rPr>
        <w:t>Declaration Regarding the Voting List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50</w:t>
      </w:r>
      <w:r>
        <w:rPr>
          <w:rFonts w:ascii="arial" w:eastAsia="arial" w:hAnsi="arial" w:cs="arial"/>
          <w:color w:val="000000"/>
          <w:sz w:val="20"/>
          <w:lang w:val="en-US" w:eastAsia="en-US" w:bidi="ar-SA"/>
        </w:rPr>
        <w:t xml:space="preserve">  The defendants submit that the authority for the creation of the Voters List and the conduct of the election of the Band Chief and Band Council is found in the Band's control of membership under s. 10 of the </w:t>
      </w:r>
      <w:r>
        <w:rPr>
          <w:rFonts w:ascii="arial" w:eastAsia="arial" w:hAnsi="arial" w:cs="arial"/>
          <w:i/>
          <w:color w:val="000000"/>
          <w:sz w:val="20"/>
          <w:lang w:val="en-US" w:eastAsia="en-US" w:bidi="ar-SA"/>
        </w:rPr>
        <w:t>Indian Act</w:t>
      </w:r>
      <w:r>
        <w:rPr>
          <w:rFonts w:ascii="arial" w:eastAsia="arial" w:hAnsi="arial" w:cs="arial"/>
          <w:color w:val="000000"/>
          <w:sz w:val="20"/>
          <w:lang w:val="en-US" w:eastAsia="en-US" w:bidi="ar-SA"/>
        </w:rPr>
        <w:t xml:space="preserve">, and more specifically in the </w:t>
      </w:r>
      <w:r>
        <w:rPr>
          <w:rFonts w:ascii="arial" w:eastAsia="arial" w:hAnsi="arial" w:cs="arial"/>
          <w:i/>
          <w:color w:val="000000"/>
          <w:sz w:val="20"/>
          <w:lang w:val="en-US" w:eastAsia="en-US" w:bidi="ar-SA"/>
        </w:rPr>
        <w:t>Indian Band Election Regulations,</w:t>
      </w:r>
      <w:r>
        <w:rPr>
          <w:rFonts w:ascii="arial" w:eastAsia="arial" w:hAnsi="arial" w:cs="arial"/>
          <w:color w:val="000000"/>
          <w:sz w:val="20"/>
          <w:lang w:val="en-US" w:eastAsia="en-US" w:bidi="ar-SA"/>
        </w:rPr>
        <w:t xml:space="preserve"> C.R.C. 1978, c. 952 ("Elections Regulations"). The </w:t>
      </w:r>
      <w:r>
        <w:rPr>
          <w:rFonts w:ascii="arial" w:eastAsia="arial" w:hAnsi="arial" w:cs="arial"/>
          <w:i/>
          <w:color w:val="000000"/>
          <w:sz w:val="20"/>
          <w:lang w:val="en-US" w:eastAsia="en-US" w:bidi="ar-SA"/>
        </w:rPr>
        <w:t>Elections Regulations</w:t>
      </w:r>
      <w:r>
        <w:rPr>
          <w:rFonts w:ascii="arial" w:eastAsia="arial" w:hAnsi="arial" w:cs="arial"/>
          <w:color w:val="000000"/>
          <w:sz w:val="20"/>
          <w:lang w:val="en-US" w:eastAsia="en-US" w:bidi="ar-SA"/>
        </w:rPr>
        <w:t xml:space="preserve"> require that the Band provide its Voters List to the electoral officer prior to an election: </w:t>
      </w:r>
      <w:r>
        <w:rPr>
          <w:rFonts w:ascii="arial" w:eastAsia="arial" w:hAnsi="arial" w:cs="arial"/>
          <w:i/>
          <w:color w:val="000000"/>
          <w:sz w:val="20"/>
          <w:lang w:val="en-US" w:eastAsia="en-US" w:bidi="ar-SA"/>
        </w:rPr>
        <w:t>Indian Band Council Elections Order</w:t>
      </w:r>
      <w:r>
        <w:rPr>
          <w:rFonts w:ascii="arial" w:eastAsia="arial" w:hAnsi="arial" w:cs="arial"/>
          <w:color w:val="000000"/>
          <w:sz w:val="20"/>
          <w:lang w:val="en-US" w:eastAsia="en-US" w:bidi="ar-SA"/>
        </w:rPr>
        <w:t xml:space="preserve">, Can. Reg 97-138, Schedule 1, </w:t>
      </w:r>
      <w:r>
        <w:rPr>
          <w:rFonts w:ascii="arial" w:eastAsia="arial" w:hAnsi="arial" w:cs="arial"/>
          <w:i/>
          <w:color w:val="000000"/>
          <w:sz w:val="20"/>
          <w:lang w:val="en-US" w:eastAsia="en-US" w:bidi="ar-SA"/>
        </w:rPr>
        <w:t>Election Regulations</w:t>
      </w:r>
      <w:r>
        <w:rPr>
          <w:rFonts w:ascii="arial" w:eastAsia="arial" w:hAnsi="arial" w:cs="arial"/>
          <w:color w:val="000000"/>
          <w:sz w:val="20"/>
          <w:lang w:val="en-US" w:eastAsia="en-US" w:bidi="ar-SA"/>
        </w:rPr>
        <w:t>, s. 4(1). The Band practise is that the Membership Clerk updates, verifies and provides the Voters List to the electoral officer.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51</w:t>
      </w:r>
      <w:r>
        <w:rPr>
          <w:rFonts w:ascii="arial" w:eastAsia="arial" w:hAnsi="arial" w:cs="arial"/>
          <w:color w:val="000000"/>
          <w:sz w:val="20"/>
          <w:lang w:val="en-US" w:eastAsia="en-US" w:bidi="ar-SA"/>
        </w:rPr>
        <w:t xml:space="preserve">  As in the case of the Band membership list the authority for the Voters List and elections is found in the </w:t>
      </w:r>
      <w:r>
        <w:rPr>
          <w:rFonts w:ascii="arial" w:eastAsia="arial" w:hAnsi="arial" w:cs="arial"/>
          <w:i/>
          <w:color w:val="000000"/>
          <w:sz w:val="20"/>
          <w:lang w:val="en-US" w:eastAsia="en-US" w:bidi="ar-SA"/>
        </w:rPr>
        <w:t>Indian Act</w:t>
      </w:r>
      <w:r>
        <w:rPr>
          <w:rFonts w:ascii="arial" w:eastAsia="arial" w:hAnsi="arial" w:cs="arial"/>
          <w:color w:val="000000"/>
          <w:sz w:val="20"/>
          <w:lang w:val="en-US" w:eastAsia="en-US" w:bidi="ar-SA"/>
        </w:rPr>
        <w:t xml:space="preserve"> and the </w:t>
      </w:r>
      <w:r>
        <w:rPr>
          <w:rFonts w:ascii="arial" w:eastAsia="arial" w:hAnsi="arial" w:cs="arial"/>
          <w:i/>
          <w:color w:val="000000"/>
          <w:sz w:val="20"/>
          <w:lang w:val="en-US" w:eastAsia="en-US" w:bidi="ar-SA"/>
        </w:rPr>
        <w:t>Election Regulations</w:t>
      </w:r>
      <w:r>
        <w:rPr>
          <w:rFonts w:ascii="arial" w:eastAsia="arial" w:hAnsi="arial" w:cs="arial"/>
          <w:color w:val="000000"/>
          <w:sz w:val="20"/>
          <w:lang w:val="en-US" w:eastAsia="en-US" w:bidi="ar-SA"/>
        </w:rPr>
        <w:t>. For the reasons given earlier, any person delegated with the authority to compile or amend the voters list does so pursuant to a federal act in the capacity of a "federal board, commission or other tribunal".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52</w:t>
      </w:r>
      <w:r>
        <w:rPr>
          <w:rFonts w:ascii="arial" w:eastAsia="arial" w:hAnsi="arial" w:cs="arial"/>
          <w:color w:val="000000"/>
          <w:sz w:val="20"/>
          <w:lang w:val="en-US" w:eastAsia="en-US" w:bidi="ar-SA"/>
        </w:rPr>
        <w:t>  The declaration sought by the plaintiff is therefore within the exclusive jurisdiction of the Federal Court.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53</w:t>
      </w:r>
      <w:r>
        <w:rPr>
          <w:rFonts w:ascii="arial" w:eastAsia="arial" w:hAnsi="arial" w:cs="arial"/>
          <w:color w:val="000000"/>
          <w:sz w:val="20"/>
          <w:lang w:val="en-US" w:eastAsia="en-US" w:bidi="ar-SA"/>
        </w:rPr>
        <w:t>  This disposes of the plaintiff's action and this application. However, in the event I am incorrect on the issue of jurisdiction I will address the remaining issues.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i/>
          <w:color w:val="000000"/>
          <w:sz w:val="20"/>
          <w:lang w:val="en-US" w:eastAsia="en-US" w:bidi="ar-SA"/>
        </w:rPr>
        <w:t>The Effect of the Declarations Sought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54</w:t>
      </w:r>
      <w:r>
        <w:rPr>
          <w:rFonts w:ascii="arial" w:eastAsia="arial" w:hAnsi="arial" w:cs="arial"/>
          <w:color w:val="000000"/>
          <w:sz w:val="20"/>
          <w:lang w:val="en-US" w:eastAsia="en-US" w:bidi="ar-SA"/>
        </w:rPr>
        <w:t xml:space="preserve">  The plaintiff seeks a declaration that the defendants "be required to apply for membership" pursuant to the </w:t>
      </w:r>
      <w:r>
        <w:rPr>
          <w:rFonts w:ascii="arial" w:eastAsia="arial" w:hAnsi="arial" w:cs="arial"/>
          <w:i/>
          <w:color w:val="000000"/>
          <w:sz w:val="20"/>
          <w:lang w:val="en-US" w:eastAsia="en-US" w:bidi="ar-SA"/>
        </w:rPr>
        <w:t>Membership Rules</w:t>
      </w:r>
      <w:r>
        <w:rPr>
          <w:rFonts w:ascii="arial" w:eastAsia="arial" w:hAnsi="arial" w:cs="arial"/>
          <w:color w:val="000000"/>
          <w:sz w:val="20"/>
          <w:lang w:val="en-US" w:eastAsia="en-US" w:bidi="ar-SA"/>
        </w:rPr>
        <w:t xml:space="preserve"> and that any future Voters List be prepared in accordance with those </w:t>
      </w:r>
      <w:r>
        <w:rPr>
          <w:rFonts w:ascii="arial" w:eastAsia="arial" w:hAnsi="arial" w:cs="arial"/>
          <w:i/>
          <w:color w:val="000000"/>
          <w:sz w:val="20"/>
          <w:lang w:val="en-US" w:eastAsia="en-US" w:bidi="ar-SA"/>
        </w:rPr>
        <w:t>Rules</w:t>
      </w:r>
      <w:r>
        <w:rPr>
          <w:rFonts w:ascii="arial" w:eastAsia="arial" w:hAnsi="arial" w:cs="arial"/>
          <w:color w:val="000000"/>
          <w:sz w:val="20"/>
          <w:lang w:val="en-US" w:eastAsia="en-US" w:bidi="ar-SA"/>
        </w:rPr>
        <w:t>. He submits his right to benefits from the Band has been infringed by non-members use and by non-members votes that amount to interference with election results. As a result he asserts that a declaration will have the effect of resolving a long standing dispute over who are entitled to be Band members.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55</w:t>
      </w:r>
      <w:r>
        <w:rPr>
          <w:rFonts w:ascii="arial" w:eastAsia="arial" w:hAnsi="arial" w:cs="arial"/>
          <w:color w:val="000000"/>
          <w:sz w:val="20"/>
          <w:lang w:val="en-US" w:eastAsia="en-US" w:bidi="ar-SA"/>
        </w:rPr>
        <w:t xml:space="preserve">  The defendants submit such declarations will serve no utility and amount to no more than a request that the court interpret the </w:t>
      </w:r>
      <w:r>
        <w:rPr>
          <w:rFonts w:ascii="arial" w:eastAsia="arial" w:hAnsi="arial" w:cs="arial"/>
          <w:i/>
          <w:color w:val="000000"/>
          <w:sz w:val="20"/>
          <w:lang w:val="en-US" w:eastAsia="en-US" w:bidi="ar-SA"/>
        </w:rPr>
        <w:t>Membership Rules</w:t>
      </w:r>
      <w:r>
        <w:rPr>
          <w:rFonts w:ascii="arial" w:eastAsia="arial" w:hAnsi="arial" w:cs="arial"/>
          <w:color w:val="000000"/>
          <w:sz w:val="20"/>
          <w:lang w:val="en-US" w:eastAsia="en-US" w:bidi="ar-SA"/>
        </w:rPr>
        <w:t>. They state that the plaintiff does not claim any "actual or apprehended infringement or interference" with his rights.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56</w:t>
      </w:r>
      <w:r>
        <w:rPr>
          <w:rFonts w:ascii="arial" w:eastAsia="arial" w:hAnsi="arial" w:cs="arial"/>
          <w:color w:val="000000"/>
          <w:sz w:val="20"/>
          <w:lang w:val="en-US" w:eastAsia="en-US" w:bidi="ar-SA"/>
        </w:rPr>
        <w:t xml:space="preserve">  Declaratory relief requires that the applicant must have some legal right that has been infringed. The defendants refer to </w:t>
      </w:r>
      <w:r>
        <w:rPr>
          <w:rFonts w:ascii="arial" w:eastAsia="arial" w:hAnsi="arial" w:cs="arial"/>
          <w:i/>
          <w:color w:val="000000"/>
          <w:sz w:val="20"/>
          <w:lang w:val="en-US" w:eastAsia="en-US" w:bidi="ar-SA"/>
        </w:rPr>
        <w:t>Behr v. College of Pharmacists of British Columbia,</w:t>
      </w:r>
      <w:r>
        <w:rPr>
          <w:rFonts w:ascii="arial" w:eastAsia="arial" w:hAnsi="arial" w:cs="arial"/>
          <w:color w:val="000000"/>
          <w:sz w:val="20"/>
          <w:lang w:val="en-US" w:eastAsia="en-US" w:bidi="ar-SA"/>
        </w:rPr>
        <w:t xml:space="preserve"> </w:t>
      </w:r>
      <w:hyperlink r:id="rId915" w:history="1">
        <w:r>
          <w:rPr>
            <w:rFonts w:ascii="arial" w:eastAsia="arial" w:hAnsi="arial" w:cs="arial"/>
            <w:i/>
            <w:color w:val="0077CC"/>
            <w:sz w:val="20"/>
            <w:u w:val="single"/>
            <w:shd w:val="clear" w:color="auto" w:fill="FFFFFF"/>
            <w:lang w:val="en-US" w:eastAsia="en-US" w:bidi="ar-SA"/>
          </w:rPr>
          <w:t>2005 BCSC 879</w:t>
        </w:r>
      </w:hyperlink>
      <w:r>
        <w:rPr>
          <w:rFonts w:ascii="arial" w:eastAsia="arial" w:hAnsi="arial" w:cs="arial"/>
          <w:color w:val="000000"/>
          <w:sz w:val="20"/>
          <w:lang w:val="en-US" w:eastAsia="en-US" w:bidi="ar-SA"/>
        </w:rPr>
        <w:t>, in which Cohen J. considered the nature of declaratory relief as follows: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[12] In </w:t>
      </w:r>
      <w:r>
        <w:rPr>
          <w:rFonts w:ascii="arial" w:eastAsia="arial" w:hAnsi="arial" w:cs="arial"/>
          <w:b/>
          <w:i/>
          <w:color w:val="000000"/>
          <w:sz w:val="20"/>
          <w:lang w:val="en-US" w:eastAsia="en-US" w:bidi="ar-SA"/>
        </w:rPr>
        <w:t>Kaiser Resources Ltd. v. Western Canada Beverage Corp.</w:t>
      </w:r>
      <w:r>
        <w:rPr>
          <w:rFonts w:ascii="arial" w:eastAsia="arial" w:hAnsi="arial" w:cs="arial"/>
          <w:color w:val="000000"/>
          <w:sz w:val="20"/>
          <w:lang w:val="en-US" w:eastAsia="en-US" w:bidi="ar-SA"/>
        </w:rPr>
        <w:t xml:space="preserve"> </w:t>
      </w:r>
      <w:hyperlink r:id="rId916" w:history="1">
        <w:r>
          <w:rPr>
            <w:rFonts w:ascii="arial" w:eastAsia="arial" w:hAnsi="arial" w:cs="arial"/>
            <w:i/>
            <w:color w:val="0077CC"/>
            <w:sz w:val="20"/>
            <w:u w:val="single"/>
            <w:shd w:val="clear" w:color="auto" w:fill="FFFFFF"/>
            <w:lang w:val="en-US" w:eastAsia="en-US" w:bidi="ar-SA"/>
          </w:rPr>
          <w:t>(1992), 71 B.C.L.R. (2d) 236</w:t>
        </w:r>
      </w:hyperlink>
      <w:r>
        <w:rPr>
          <w:rFonts w:ascii="arial" w:eastAsia="arial" w:hAnsi="arial" w:cs="arial"/>
          <w:color w:val="000000"/>
          <w:sz w:val="20"/>
          <w:lang w:val="en-US" w:eastAsia="en-US" w:bidi="ar-SA"/>
        </w:rPr>
        <w:t xml:space="preserve"> (S.C.), Bouck, J. dealt succinctly with the general principles to be applied in an application for a declaration, at paras. 29-32, as follows:</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A judicial declaration is an unusual legal animal. For example, it is unlike a claim in tort where damages are the usual remedy. Or a claim for breach of contract where specific performance may be the proper remedy. In the first instance, tort is the cause of action and damages the remedy. In the second, breach of contract is the cause of action and specific performance the remedy.</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But a declaratory order has no similar common law or equitable foundation. Rather, its legal existence is based upon a rule of Court: B.C. Supreme Court R. 5(22).</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 xml:space="preserve">Once a court grants a declaration, it is binding on those affected. However, unlike a judgment finding a breach of contract and awarding the remedy of specific performance, "the declaratory judgment merely declares and goes no further in providing relief to the applicant than stating his rights": Sarna, </w:t>
      </w:r>
      <w:r>
        <w:rPr>
          <w:rFonts w:ascii="arial" w:eastAsia="arial" w:hAnsi="arial" w:cs="arial"/>
          <w:b/>
          <w:i/>
          <w:color w:val="000000"/>
          <w:sz w:val="20"/>
          <w:lang w:val="en-US" w:eastAsia="en-US" w:bidi="ar-SA"/>
        </w:rPr>
        <w:t>The Law of Declaratory Judgments</w:t>
      </w:r>
      <w:r>
        <w:rPr>
          <w:rFonts w:ascii="arial" w:eastAsia="arial" w:hAnsi="arial" w:cs="arial"/>
          <w:color w:val="000000"/>
          <w:sz w:val="20"/>
          <w:lang w:val="en-US" w:eastAsia="en-US" w:bidi="ar-SA"/>
        </w:rPr>
        <w:t>, 2nd Ed. (1988), p. 1. Put another way, a declaration is both a decree that declares an infringement of a right and an order prescribing the remedy.</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 xml:space="preserve">When applying for a declaration, applicants must show the infringement of a right. That right may arise under a statute, the common law or in equity: </w:t>
      </w:r>
      <w:r>
        <w:rPr>
          <w:rFonts w:ascii="arial" w:eastAsia="arial" w:hAnsi="arial" w:cs="arial"/>
          <w:b/>
          <w:i/>
          <w:color w:val="000000"/>
          <w:sz w:val="20"/>
          <w:lang w:val="en-US" w:eastAsia="en-US" w:bidi="ar-SA"/>
        </w:rPr>
        <w:t>Simmonds v. Newport Abercan Black Vein Steam Coal Co.</w:t>
      </w:r>
      <w:r>
        <w:rPr>
          <w:rFonts w:ascii="arial" w:eastAsia="arial" w:hAnsi="arial" w:cs="arial"/>
          <w:color w:val="000000"/>
          <w:sz w:val="20"/>
          <w:lang w:val="en-US" w:eastAsia="en-US" w:bidi="ar-SA"/>
        </w:rPr>
        <w:t>, [1921] 1 K.B. 616 (C.A.) at 627.</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[13] In </w:t>
      </w:r>
      <w:r>
        <w:rPr>
          <w:rFonts w:ascii="arial" w:eastAsia="arial" w:hAnsi="arial" w:cs="arial"/>
          <w:b/>
          <w:i/>
          <w:color w:val="000000"/>
          <w:sz w:val="20"/>
          <w:lang w:val="en-US" w:eastAsia="en-US" w:bidi="ar-SA"/>
        </w:rPr>
        <w:t>Fraser v. Houston</w:t>
      </w:r>
      <w:r>
        <w:rPr>
          <w:rFonts w:ascii="arial" w:eastAsia="arial" w:hAnsi="arial" w:cs="arial"/>
          <w:color w:val="000000"/>
          <w:sz w:val="20"/>
          <w:lang w:val="en-US" w:eastAsia="en-US" w:bidi="ar-SA"/>
        </w:rPr>
        <w:t xml:space="preserve">, </w:t>
      </w:r>
      <w:hyperlink r:id="rId917" w:history="1">
        <w:r>
          <w:rPr>
            <w:rFonts w:ascii="arial" w:eastAsia="arial" w:hAnsi="arial" w:cs="arial"/>
            <w:i/>
            <w:color w:val="0077CC"/>
            <w:sz w:val="20"/>
            <w:u w:val="single"/>
            <w:shd w:val="clear" w:color="auto" w:fill="FFFFFF"/>
            <w:lang w:val="en-US" w:eastAsia="en-US" w:bidi="ar-SA"/>
          </w:rPr>
          <w:t>[1996] B.C.J. No. 2096</w:t>
        </w:r>
      </w:hyperlink>
      <w:r>
        <w:rPr>
          <w:rFonts w:ascii="arial" w:eastAsia="arial" w:hAnsi="arial" w:cs="arial"/>
          <w:color w:val="000000"/>
          <w:sz w:val="20"/>
          <w:lang w:val="en-US" w:eastAsia="en-US" w:bidi="ar-SA"/>
        </w:rPr>
        <w:t xml:space="preserve"> (S.C.), Hood, J. dealt with the general principles at paras. 12-13, and 29-34, as follows:</w:t>
      </w:r>
    </w:p>
    <w:p>
      <w:pPr>
        <w:numPr>
          <w:numId w:val="2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Counsel submitted that the claim for a declaration, and consequential relief based thereon, cannot be maintained, notwithstanding Rule 5(22) which provides:</w:t>
      </w:r>
    </w:p>
    <w:p>
      <w:pPr>
        <w:spacing w:before="120" w:line="260" w:lineRule="atLeast"/>
        <w:ind w:left="1440"/>
        <w:rPr>
          <w:rFonts w:ascii="arial" w:eastAsia="arial" w:hAnsi="arial" w:cs="arial"/>
          <w:sz w:val="20"/>
          <w:lang w:val="en-US" w:eastAsia="en-US" w:bidi="ar-SA"/>
        </w:rPr>
      </w:pPr>
      <w:r>
        <w:rPr>
          <w:rFonts w:ascii="arial" w:eastAsia="arial" w:hAnsi="arial" w:cs="arial"/>
          <w:color w:val="000000"/>
          <w:sz w:val="20"/>
          <w:lang w:val="en-US" w:eastAsia="en-US" w:bidi="ar-SA"/>
        </w:rPr>
        <w:t>Declaratory order</w:t>
      </w:r>
    </w:p>
    <w:p>
      <w:pPr>
        <w:numPr>
          <w:numId w:val="25"/>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No proceeding shall be open to objection on the ground that only a declaratory order is sought, and the court may make binding declarations of right whether or not consequential relief is or could be claimed.</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I note here that consequential relief is sought.</w:t>
      </w:r>
    </w:p>
    <w:p>
      <w:pPr>
        <w:numPr>
          <w:numId w:val="2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In order to be entitled to seek a declaratory order the plaintiff must demonstrate a right which gives him standing, that is, a right under a contract or statute or in equity. The plaintiff has not done so and he is not entitled to seek a declaratory order against Addwest. And reference was made to the decision of Gibbs JA in </w:t>
      </w:r>
      <w:r>
        <w:rPr>
          <w:rFonts w:ascii="arial" w:eastAsia="arial" w:hAnsi="arial" w:cs="arial"/>
          <w:i/>
          <w:color w:val="000000"/>
          <w:sz w:val="20"/>
          <w:lang w:val="en-US" w:eastAsia="en-US" w:bidi="ar-SA"/>
        </w:rPr>
        <w:t>Heller v. Vancouver Regional District</w:t>
      </w:r>
      <w:r>
        <w:rPr>
          <w:rFonts w:ascii="arial" w:eastAsia="arial" w:hAnsi="arial" w:cs="arial"/>
          <w:color w:val="000000"/>
          <w:sz w:val="20"/>
          <w:lang w:val="en-US" w:eastAsia="en-US" w:bidi="ar-SA"/>
        </w:rPr>
        <w:t xml:space="preserve"> </w:t>
      </w:r>
      <w:hyperlink r:id="rId918" w:history="1">
        <w:r>
          <w:rPr>
            <w:rFonts w:ascii="arial" w:eastAsia="arial" w:hAnsi="arial" w:cs="arial"/>
            <w:i/>
            <w:color w:val="0077CC"/>
            <w:sz w:val="20"/>
            <w:u w:val="single"/>
            <w:shd w:val="clear" w:color="auto" w:fill="FFFFFF"/>
            <w:lang w:val="en-US" w:eastAsia="en-US" w:bidi="ar-SA"/>
          </w:rPr>
          <w:t>(1992), 71 B.C.L.R. (2d) 100</w:t>
        </w:r>
      </w:hyperlink>
      <w:r>
        <w:rPr>
          <w:rFonts w:ascii="arial" w:eastAsia="arial" w:hAnsi="arial" w:cs="arial"/>
          <w:color w:val="000000"/>
          <w:sz w:val="20"/>
          <w:lang w:val="en-US" w:eastAsia="en-US" w:bidi="ar-SA"/>
        </w:rPr>
        <w:t xml:space="preserve"> (C.A.) at 105 where that learned judge states with regard to Rule 5(22):</w:t>
      </w:r>
    </w:p>
    <w:p>
      <w:pPr>
        <w:spacing w:before="120" w:line="260" w:lineRule="atLeast"/>
        <w:ind w:left="1440"/>
        <w:rPr>
          <w:rFonts w:ascii="arial" w:eastAsia="arial" w:hAnsi="arial" w:cs="arial"/>
          <w:sz w:val="20"/>
          <w:lang w:val="en-US" w:eastAsia="en-US" w:bidi="ar-SA"/>
        </w:rPr>
      </w:pPr>
      <w:r>
        <w:rPr>
          <w:rFonts w:ascii="arial" w:eastAsia="arial" w:hAnsi="arial" w:cs="arial"/>
          <w:color w:val="000000"/>
          <w:sz w:val="20"/>
          <w:lang w:val="en-US" w:eastAsia="en-US" w:bidi="ar-SA"/>
        </w:rPr>
        <w:t>And R. 5(22) permits proceedings where, as here, only a declaration is sought.However, neither rule waives or qualifies the principle underlying all litigation and that is that the party invoking the aid of the court must demonstrate a right which gives standing, in this case the right to the declaration sought.</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 xml:space="preserve">Gibbs J.A. then went on to show that in the case before him, the plaintiff did not have a right or cause of action against the defendant in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the only right apparently advanced by her counsel; that accordingly she did not have a right "which would give her the standing necessary to qualify for the declaration requested in the petition."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w:t>
      </w:r>
      <w:r>
        <w:rPr>
          <w:rFonts w:ascii="arial" w:eastAsia="arial" w:hAnsi="arial" w:cs="arial"/>
          <w:sz w:val="20"/>
          <w:lang w:val="en-US" w:eastAsia="en-US" w:bidi="ar-SA"/>
        </w:rPr>
        <w:cr/>
      </w:r>
    </w:p>
    <w:p>
      <w:pPr>
        <w:numPr>
          <w:numId w:val="2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It is my opinion, that while there need not necessarily be a cause of action between the parties before the court will have jurisdiction to grant declaratory relief, and that jurisdiction is quite broad, it is not at large or unfettered. A litigant seeking declaratory relief must demonstrate that he or she has a right which has been infringed by, or requires protection from, the other party. If the right cannot be demonstrated, the party does not have standing and the court does not have declaratory jurisdiction.</w:t>
      </w:r>
    </w:p>
    <w:p>
      <w:pPr>
        <w:numPr>
          <w:numId w:val="2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authorities have defined the right or interest sufficient to entitle a party to seek a declaratory judgment in general terms. But clearly some right or interest must exist. Mr. Justice Gibbs searched for, but was unable to ascertain, the source of the right in </w:t>
      </w:r>
      <w:r>
        <w:rPr>
          <w:rFonts w:ascii="arial" w:eastAsia="arial" w:hAnsi="arial" w:cs="arial"/>
          <w:b/>
          <w:i/>
          <w:color w:val="000000"/>
          <w:sz w:val="20"/>
          <w:lang w:val="en-US" w:eastAsia="en-US" w:bidi="ar-SA"/>
        </w:rPr>
        <w:t>Heller</w:t>
      </w:r>
      <w:r>
        <w:rPr>
          <w:rFonts w:ascii="arial" w:eastAsia="arial" w:hAnsi="arial" w:cs="arial"/>
          <w:color w:val="000000"/>
          <w:sz w:val="20"/>
          <w:lang w:val="en-US" w:eastAsia="en-US" w:bidi="ar-SA"/>
        </w:rPr>
        <w:t xml:space="preserve">. Chief Justice McEachern found that there was a legal relationship between the parties, which gave rise to a real issue concerning their rights. In </w:t>
      </w:r>
      <w:r>
        <w:rPr>
          <w:rFonts w:ascii="arial" w:eastAsia="arial" w:hAnsi="arial" w:cs="arial"/>
          <w:b/>
          <w:i/>
          <w:color w:val="000000"/>
          <w:sz w:val="20"/>
          <w:lang w:val="en-US" w:eastAsia="en-US" w:bidi="ar-SA"/>
        </w:rPr>
        <w:t>Kaiser</w:t>
      </w:r>
      <w:r>
        <w:rPr>
          <w:rFonts w:ascii="arial" w:eastAsia="arial" w:hAnsi="arial" w:cs="arial"/>
          <w:color w:val="000000"/>
          <w:sz w:val="20"/>
          <w:lang w:val="en-US" w:eastAsia="en-US" w:bidi="ar-SA"/>
        </w:rPr>
        <w:t xml:space="preserve"> Mr. Justice Bouck found that the applicant had to show the infringement of its right, listing the various possible sources of such a right, statute, common law and equity. And I do not read </w:t>
      </w:r>
      <w:r>
        <w:rPr>
          <w:rFonts w:ascii="arial" w:eastAsia="arial" w:hAnsi="arial" w:cs="arial"/>
          <w:b/>
          <w:i/>
          <w:color w:val="000000"/>
          <w:sz w:val="20"/>
          <w:lang w:val="en-US" w:eastAsia="en-US" w:bidi="ar-SA"/>
        </w:rPr>
        <w:t>British Columbia Ferry Corp.</w:t>
      </w:r>
      <w:r>
        <w:rPr>
          <w:rFonts w:ascii="arial" w:eastAsia="arial" w:hAnsi="arial" w:cs="arial"/>
          <w:color w:val="000000"/>
          <w:sz w:val="20"/>
          <w:lang w:val="en-US" w:eastAsia="en-US" w:bidi="ar-SA"/>
        </w:rPr>
        <w:t xml:space="preserve">, </w:t>
      </w:r>
      <w:hyperlink r:id="rId117" w:history="1">
        <w:r>
          <w:rPr>
            <w:rFonts w:ascii="arial" w:eastAsia="arial" w:hAnsi="arial" w:cs="arial"/>
            <w:i/>
            <w:color w:val="0077CC"/>
            <w:sz w:val="20"/>
            <w:u w:val="single"/>
            <w:shd w:val="clear" w:color="auto" w:fill="FFFFFF"/>
            <w:lang w:val="en-US" w:eastAsia="en-US" w:bidi="ar-SA"/>
          </w:rPr>
          <w:t>[1995] B.C.J. No. 2116</w:t>
        </w:r>
      </w:hyperlink>
      <w:r>
        <w:rPr>
          <w:rFonts w:ascii="arial" w:eastAsia="arial" w:hAnsi="arial" w:cs="arial"/>
          <w:color w:val="000000"/>
          <w:sz w:val="20"/>
          <w:lang w:val="en-US" w:eastAsia="en-US" w:bidi="ar-SA"/>
        </w:rPr>
        <w:t xml:space="preserve">, which is based on the decision of Bankes, L.J. in Simmonds, at page 627, the passage to which I have already referred, as saying anything to the contrary. Nor do I read the case as saying that Lord Dunedin's dictum in the </w:t>
      </w:r>
      <w:r>
        <w:rPr>
          <w:rFonts w:ascii="arial" w:eastAsia="arial" w:hAnsi="arial" w:cs="arial"/>
          <w:b/>
          <w:i/>
          <w:color w:val="000000"/>
          <w:sz w:val="20"/>
          <w:lang w:val="en-US" w:eastAsia="en-US" w:bidi="ar-SA"/>
        </w:rPr>
        <w:t>Russian Commercial</w:t>
      </w:r>
      <w:r>
        <w:rPr>
          <w:rFonts w:ascii="arial" w:eastAsia="arial" w:hAnsi="arial" w:cs="arial"/>
          <w:color w:val="000000"/>
          <w:sz w:val="20"/>
          <w:lang w:val="en-US" w:eastAsia="en-US" w:bidi="ar-SA"/>
        </w:rPr>
        <w:t xml:space="preserve"> case, as regards the proper case for granting declaratory relief, is too restrictive of the court's jurisdiction to grant that relief. In the </w:t>
      </w:r>
      <w:r>
        <w:rPr>
          <w:rFonts w:ascii="arial" w:eastAsia="arial" w:hAnsi="arial" w:cs="arial"/>
          <w:b/>
          <w:i/>
          <w:color w:val="000000"/>
          <w:sz w:val="20"/>
          <w:lang w:val="en-US" w:eastAsia="en-US" w:bidi="ar-SA"/>
        </w:rPr>
        <w:t>Russian Commercial</w:t>
      </w:r>
      <w:r>
        <w:rPr>
          <w:rFonts w:ascii="arial" w:eastAsia="arial" w:hAnsi="arial" w:cs="arial"/>
          <w:color w:val="000000"/>
          <w:sz w:val="20"/>
          <w:lang w:val="en-US" w:eastAsia="en-US" w:bidi="ar-SA"/>
        </w:rPr>
        <w:t xml:space="preserve"> case Lord Dunedin simply stated that the person seeking declaratory relief must have a real interest to raise the issue. I will refer to what Lord Dunedin said further in a moment when I refer to what I consider to be the leading case on the subject matter, </w:t>
      </w:r>
      <w:r>
        <w:rPr>
          <w:rFonts w:ascii="arial" w:eastAsia="arial" w:hAnsi="arial" w:cs="arial"/>
          <w:b/>
          <w:i/>
          <w:color w:val="000000"/>
          <w:sz w:val="20"/>
          <w:lang w:val="en-US" w:eastAsia="en-US" w:bidi="ar-SA"/>
        </w:rPr>
        <w:t>Solosky v. The Queen</w:t>
      </w:r>
      <w:r>
        <w:rPr>
          <w:rFonts w:ascii="arial" w:eastAsia="arial" w:hAnsi="arial" w:cs="arial"/>
          <w:color w:val="000000"/>
          <w:sz w:val="20"/>
          <w:lang w:val="en-US" w:eastAsia="en-US" w:bidi="ar-SA"/>
        </w:rPr>
        <w:t xml:space="preserve"> </w:t>
      </w:r>
      <w:hyperlink r:id="rId919" w:history="1">
        <w:r>
          <w:rPr>
            <w:rFonts w:ascii="arial" w:eastAsia="arial" w:hAnsi="arial" w:cs="arial"/>
            <w:i/>
            <w:color w:val="0077CC"/>
            <w:sz w:val="20"/>
            <w:u w:val="single"/>
            <w:shd w:val="clear" w:color="auto" w:fill="FFFFFF"/>
            <w:lang w:val="en-US" w:eastAsia="en-US" w:bidi="ar-SA"/>
          </w:rPr>
          <w:t>(1980), 105 D.L.R. (3d) 745</w:t>
        </w:r>
      </w:hyperlink>
      <w:r>
        <w:rPr>
          <w:rFonts w:ascii="arial" w:eastAsia="arial" w:hAnsi="arial" w:cs="arial"/>
          <w:color w:val="000000"/>
          <w:sz w:val="20"/>
          <w:lang w:val="en-US" w:eastAsia="en-US" w:bidi="ar-SA"/>
        </w:rPr>
        <w:t xml:space="preserve"> (S.C.C.).</w:t>
      </w:r>
    </w:p>
    <w:p>
      <w:pPr>
        <w:numPr>
          <w:numId w:val="3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Generally there must be a dispute, and some privity in law, between the parties. In this regard it is stated in </w:t>
      </w:r>
      <w:r>
        <w:rPr>
          <w:rFonts w:ascii="arial" w:eastAsia="arial" w:hAnsi="arial" w:cs="arial"/>
          <w:b/>
          <w:i/>
          <w:color w:val="000000"/>
          <w:sz w:val="20"/>
          <w:lang w:val="en-US" w:eastAsia="en-US" w:bidi="ar-SA"/>
        </w:rPr>
        <w:t>The Law of Declaratory Judgments</w:t>
      </w:r>
      <w:r>
        <w:rPr>
          <w:rFonts w:ascii="arial" w:eastAsia="arial" w:hAnsi="arial" w:cs="arial"/>
          <w:color w:val="000000"/>
          <w:sz w:val="20"/>
          <w:lang w:val="en-US" w:eastAsia="en-US" w:bidi="ar-SA"/>
        </w:rPr>
        <w:t xml:space="preserve"> at page 23:</w:t>
      </w:r>
    </w:p>
    <w:p>
      <w:pPr>
        <w:spacing w:before="120" w:line="260" w:lineRule="atLeast"/>
        <w:ind w:left="1440"/>
        <w:rPr>
          <w:rFonts w:ascii="arial" w:eastAsia="arial" w:hAnsi="arial" w:cs="arial"/>
          <w:sz w:val="20"/>
          <w:lang w:val="en-US" w:eastAsia="en-US" w:bidi="ar-SA"/>
        </w:rPr>
      </w:pPr>
      <w:r>
        <w:rPr>
          <w:rFonts w:ascii="arial" w:eastAsia="arial" w:hAnsi="arial" w:cs="arial"/>
          <w:color w:val="000000"/>
          <w:sz w:val="20"/>
          <w:lang w:val="en-US" w:eastAsia="en-US" w:bidi="ar-SA"/>
        </w:rPr>
        <w:t>A proper case for a declaratory judgment generally requires some privity in law between parties concerned, an existent right and an interference or dispute concerning the right. A petitioner who has no right in the nature of a claim capable of being enforced or redressed in a civil action cannot seek a judicial declaration for the evident reason that he cannot take advantage of or suffer the consequences of such an order: the lack of standing to sue robs the court of its declaratory jurisdiction.</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Questions which are purely academic, hypothetical, obscure or of no relevance to the parties cannot form a suitable basis for an application for relief.</w:t>
      </w:r>
    </w:p>
    <w:p>
      <w:pPr>
        <w:numPr>
          <w:numId w:val="3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authority cited is </w:t>
      </w:r>
      <w:r>
        <w:rPr>
          <w:rFonts w:ascii="arial" w:eastAsia="arial" w:hAnsi="arial" w:cs="arial"/>
          <w:b/>
          <w:i/>
          <w:color w:val="000000"/>
          <w:sz w:val="20"/>
          <w:lang w:val="en-US" w:eastAsia="en-US" w:bidi="ar-SA"/>
        </w:rPr>
        <w:t>Solosky v. The Queen.</w:t>
      </w:r>
      <w:r>
        <w:rPr>
          <w:rFonts w:ascii="arial" w:eastAsia="arial" w:hAnsi="arial" w:cs="arial"/>
          <w:color w:val="000000"/>
          <w:sz w:val="20"/>
          <w:lang w:val="en-US" w:eastAsia="en-US" w:bidi="ar-SA"/>
        </w:rPr>
        <w:t xml:space="preserve"> There, Dickson J., as he then was, speaking for the court, stated at page 753:</w:t>
      </w:r>
    </w:p>
    <w:p>
      <w:pPr>
        <w:spacing w:before="120" w:line="260" w:lineRule="atLeast"/>
        <w:ind w:left="1440"/>
        <w:rPr>
          <w:rFonts w:ascii="arial" w:eastAsia="arial" w:hAnsi="arial" w:cs="arial"/>
          <w:sz w:val="20"/>
          <w:lang w:val="en-US" w:eastAsia="en-US" w:bidi="ar-SA"/>
        </w:rPr>
      </w:pPr>
      <w:r>
        <w:rPr>
          <w:rFonts w:ascii="arial" w:eastAsia="arial" w:hAnsi="arial" w:cs="arial"/>
          <w:color w:val="000000"/>
          <w:sz w:val="20"/>
          <w:lang w:val="en-US" w:eastAsia="en-US" w:bidi="ar-SA"/>
        </w:rPr>
        <w:t>Declaratory relief is a remedy neither constrained by form nor bounded by substantive content, which avails persons sharing a legal relationship, in respect of which a "real issue" concerning the relative interests of each has been raised and falls to be determined.</w:t>
      </w:r>
    </w:p>
    <w:p>
      <w:pPr>
        <w:spacing w:before="120" w:line="260" w:lineRule="atLeast"/>
        <w:ind w:left="1440"/>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principles which guide the court in exercising jurisdiction to grant declarations have been stated time and time again. In the early case of </w:t>
      </w:r>
      <w:r>
        <w:rPr>
          <w:rFonts w:ascii="arial" w:eastAsia="arial" w:hAnsi="arial" w:cs="arial"/>
          <w:b/>
          <w:i/>
          <w:color w:val="000000"/>
          <w:sz w:val="20"/>
          <w:lang w:val="en-US" w:eastAsia="en-US" w:bidi="ar-SA"/>
        </w:rPr>
        <w:t>Russian Commercial and Industrial Bank v. British Bank for Foreign Trade Ltd.</w:t>
      </w:r>
      <w:r>
        <w:rPr>
          <w:rFonts w:ascii="arial" w:eastAsia="arial" w:hAnsi="arial" w:cs="arial"/>
          <w:color w:val="000000"/>
          <w:sz w:val="20"/>
          <w:lang w:val="en-US" w:eastAsia="en-US" w:bidi="ar-SA"/>
        </w:rPr>
        <w:t>, [1921] 2 A.C. 438, in which parties to a contract sought assistance in construing it, the Court affirmed that declarations can be granted where real, rather than fictitious or academic, issues are raised. Lord Dunedin set out this test (at p. 448):</w:t>
      </w:r>
    </w:p>
    <w:p>
      <w:pPr>
        <w:spacing w:before="120" w:line="260" w:lineRule="atLeast"/>
        <w:ind w:left="1800"/>
        <w:rPr>
          <w:rFonts w:ascii="arial" w:eastAsia="arial" w:hAnsi="arial" w:cs="arial"/>
          <w:sz w:val="20"/>
          <w:lang w:val="en-US" w:eastAsia="en-US" w:bidi="ar-SA"/>
        </w:rPr>
      </w:pPr>
      <w:r>
        <w:rPr>
          <w:rFonts w:ascii="arial" w:eastAsia="arial" w:hAnsi="arial" w:cs="arial"/>
          <w:color w:val="000000"/>
          <w:sz w:val="20"/>
          <w:lang w:val="en-US" w:eastAsia="en-US" w:bidi="ar-SA"/>
        </w:rPr>
        <w:t>The question must be a real and not a theoretical question, the person raising it must have a real interest to raise it, he must be able to secure a proper contradictor, that is to say, someone presently existing who has a true interest to oppose the declaration sought.</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 xml:space="preserve">And see also the decision of Wilson J., speaking for the court on the point, in </w:t>
      </w:r>
      <w:r>
        <w:rPr>
          <w:rFonts w:ascii="arial" w:eastAsia="arial" w:hAnsi="arial" w:cs="arial"/>
          <w:b/>
          <w:i/>
          <w:color w:val="000000"/>
          <w:sz w:val="20"/>
          <w:lang w:val="en-US" w:eastAsia="en-US" w:bidi="ar-SA"/>
        </w:rPr>
        <w:t>Operation Dismantle Inc. v. R.,</w:t>
      </w:r>
      <w:r>
        <w:rPr>
          <w:rFonts w:ascii="arial" w:eastAsia="arial" w:hAnsi="arial" w:cs="arial"/>
          <w:color w:val="000000"/>
          <w:sz w:val="20"/>
          <w:lang w:val="en-US" w:eastAsia="en-US" w:bidi="ar-SA"/>
        </w:rPr>
        <w:t xml:space="preserve"> </w:t>
      </w:r>
      <w:hyperlink r:id="rId920" w:history="1">
        <w:r>
          <w:rPr>
            <w:rFonts w:ascii="arial" w:eastAsia="arial" w:hAnsi="arial" w:cs="arial"/>
            <w:i/>
            <w:color w:val="0077CC"/>
            <w:sz w:val="20"/>
            <w:u w:val="single"/>
            <w:shd w:val="clear" w:color="auto" w:fill="FFFFFF"/>
            <w:lang w:val="en-US" w:eastAsia="en-US" w:bidi="ar-SA"/>
          </w:rPr>
          <w:t>[1985] 1 S.C.R. 441</w:t>
        </w:r>
      </w:hyperlink>
      <w:r>
        <w:rPr>
          <w:rFonts w:ascii="arial" w:eastAsia="arial" w:hAnsi="arial" w:cs="arial"/>
          <w:color w:val="000000"/>
          <w:sz w:val="20"/>
          <w:lang w:val="en-US" w:eastAsia="en-US" w:bidi="ar-SA"/>
        </w:rPr>
        <w:t xml:space="preserve"> at 480 and 486, stating that as a minimum basis for a claim to locus standi, the plaintiff must establish at least a threat of the violation of a right.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57</w:t>
      </w:r>
      <w:r>
        <w:rPr>
          <w:rFonts w:ascii="arial" w:eastAsia="arial" w:hAnsi="arial" w:cs="arial"/>
          <w:color w:val="000000"/>
          <w:sz w:val="20"/>
          <w:lang w:val="en-US" w:eastAsia="en-US" w:bidi="ar-SA"/>
        </w:rPr>
        <w:t xml:space="preserve">  The defendants refer as well to </w:t>
      </w:r>
      <w:r>
        <w:rPr>
          <w:rFonts w:ascii="arial" w:eastAsia="arial" w:hAnsi="arial" w:cs="arial"/>
          <w:i/>
          <w:color w:val="000000"/>
          <w:sz w:val="20"/>
          <w:lang w:val="en-US" w:eastAsia="en-US" w:bidi="ar-SA"/>
        </w:rPr>
        <w:t>Cheslatta Carrier Nation v. British Columbia,</w:t>
      </w:r>
      <w:r>
        <w:rPr>
          <w:rFonts w:ascii="arial" w:eastAsia="arial" w:hAnsi="arial" w:cs="arial"/>
          <w:color w:val="000000"/>
          <w:sz w:val="20"/>
          <w:lang w:val="en-US" w:eastAsia="en-US" w:bidi="ar-SA"/>
        </w:rPr>
        <w:t xml:space="preserve"> </w:t>
      </w:r>
      <w:hyperlink r:id="rId921" w:history="1">
        <w:r>
          <w:rPr>
            <w:rFonts w:ascii="arial" w:eastAsia="arial" w:hAnsi="arial" w:cs="arial"/>
            <w:i/>
            <w:color w:val="0077CC"/>
            <w:sz w:val="20"/>
            <w:u w:val="single"/>
            <w:shd w:val="clear" w:color="auto" w:fill="FFFFFF"/>
            <w:lang w:val="en-US" w:eastAsia="en-US" w:bidi="ar-SA"/>
          </w:rPr>
          <w:t>2000 BCCA 539</w:t>
        </w:r>
      </w:hyperlink>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Cheslatta</w:t>
      </w:r>
      <w:r>
        <w:rPr>
          <w:rFonts w:ascii="arial" w:eastAsia="arial" w:hAnsi="arial" w:cs="arial"/>
          <w:color w:val="000000"/>
          <w:sz w:val="20"/>
          <w:lang w:val="en-US" w:eastAsia="en-US" w:bidi="ar-SA"/>
        </w:rPr>
        <w:t xml:space="preserve"> the Court of Appeal upheld a decision that no declaratory relief would be granted because the declaration sought would not serve a legal purpose because there was no dispute to be resolved.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58</w:t>
      </w:r>
      <w:r>
        <w:rPr>
          <w:rFonts w:ascii="arial" w:eastAsia="arial" w:hAnsi="arial" w:cs="arial"/>
          <w:color w:val="000000"/>
          <w:sz w:val="20"/>
          <w:lang w:val="en-US" w:eastAsia="en-US" w:bidi="ar-SA"/>
        </w:rPr>
        <w:t>  While it may be, subject to the issue of standing generally, that the plaintiff has a right that is affected, that right alone does not resolve the issue of whether the court should grant the declaratory relief sought. In "Declaratory Judgments in Theoretical Cases: The Reality of the Dispute" (1977) 3 Dal. L.J. 706, Hudson states: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u w:val="single"/>
          <w:lang w:val="en-US" w:eastAsia="en-US" w:bidi="ar-SA"/>
        </w:rPr>
        <w:t>The declaratory action is discretionary and the two factors which will influence the court in the exercise of its discretion are the utility of the remedy, if granted, and whether, if it is granted, it will settle the questions at issue between the parties.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first factor is directed to the "reality of the dispute". It is clear that a declaration will not normally be granted when the dispute is over and has become academic, or where the dispute has yet to arise and may not arise. ...</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(Emphasis added)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59</w:t>
      </w:r>
      <w:r>
        <w:rPr>
          <w:rFonts w:ascii="arial" w:eastAsia="arial" w:hAnsi="arial" w:cs="arial"/>
          <w:color w:val="000000"/>
          <w:sz w:val="20"/>
          <w:lang w:val="en-US" w:eastAsia="en-US" w:bidi="ar-SA"/>
        </w:rPr>
        <w:t xml:space="preserve">  At para. 13, Newbury J. A., for the court in </w:t>
      </w:r>
      <w:r>
        <w:rPr>
          <w:rFonts w:ascii="arial" w:eastAsia="arial" w:hAnsi="arial" w:cs="arial"/>
          <w:i/>
          <w:color w:val="000000"/>
          <w:sz w:val="20"/>
          <w:lang w:val="en-US" w:eastAsia="en-US" w:bidi="ar-SA"/>
        </w:rPr>
        <w:t>Cheslatta,</w:t>
      </w:r>
      <w:r>
        <w:rPr>
          <w:rFonts w:ascii="arial" w:eastAsia="arial" w:hAnsi="arial" w:cs="arial"/>
          <w:color w:val="000000"/>
          <w:sz w:val="20"/>
          <w:lang w:val="en-US" w:eastAsia="en-US" w:bidi="ar-SA"/>
        </w:rPr>
        <w:t xml:space="preserve"> states:</w:t>
      </w:r>
      <w:r>
        <w:rPr>
          <w:rFonts w:ascii="arial" w:eastAsia="arial" w:hAnsi="arial" w:cs="arial"/>
          <w:sz w:val="20"/>
          <w:lang w:val="en-US" w:eastAsia="en-US" w:bidi="ar-SA"/>
        </w:rPr>
        <w:cr/>
      </w:r>
    </w:p>
    <w:p>
      <w:pPr>
        <w:numPr>
          <w:numId w:val="3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Generally, modern courts have continued to adhere to the principle that declaratory actions should not be entertained where the declaration will serve little or no practical purpose or raises a matter of only hypothetical interest. Conversely, where the pleadings disclose a "real difficultly," present or threatened the action will lie. ...</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60</w:t>
      </w:r>
      <w:r>
        <w:rPr>
          <w:rFonts w:ascii="arial" w:eastAsia="arial" w:hAnsi="arial" w:cs="arial"/>
          <w:color w:val="000000"/>
          <w:sz w:val="20"/>
          <w:lang w:val="en-US" w:eastAsia="en-US" w:bidi="ar-SA"/>
        </w:rPr>
        <w:t>  This leads to a consideration of the relief sought against the defendants. Assuming the declarations are made, what would be their effect?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61</w:t>
      </w:r>
      <w:r>
        <w:rPr>
          <w:rFonts w:ascii="arial" w:eastAsia="arial" w:hAnsi="arial" w:cs="arial"/>
          <w:color w:val="000000"/>
          <w:sz w:val="20"/>
          <w:lang w:val="en-US" w:eastAsia="en-US" w:bidi="ar-SA"/>
        </w:rPr>
        <w:t>  The defendants submit that relief, including declaratory relief, must only be granted against those who can give it effect. The plaintiff asserts that since the band ultimately must make the membership decisions the Band Council and Membership Clerk are without authority. They submit that the Band has been denied the opportunity to vote because the defendants have not applied for membership. Therefore, it is the defendants who must initiate the process by making application.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62</w:t>
      </w:r>
      <w:r>
        <w:rPr>
          <w:rFonts w:ascii="arial" w:eastAsia="arial" w:hAnsi="arial" w:cs="arial"/>
          <w:color w:val="000000"/>
          <w:sz w:val="20"/>
          <w:lang w:val="en-US" w:eastAsia="en-US" w:bidi="ar-SA"/>
        </w:rPr>
        <w:t xml:space="preserve">  The plaintiff's submission assumes that ordering the defendants to apply for membership in accordance with the membership rules will give effect to the declarations sought. This ignores the fact that the process to be followed is contained in the </w:t>
      </w:r>
      <w:r>
        <w:rPr>
          <w:rFonts w:ascii="arial" w:eastAsia="arial" w:hAnsi="arial" w:cs="arial"/>
          <w:i/>
          <w:color w:val="000000"/>
          <w:sz w:val="20"/>
          <w:lang w:val="en-US" w:eastAsia="en-US" w:bidi="ar-SA"/>
        </w:rPr>
        <w:t>Membership Rules</w:t>
      </w:r>
      <w:r>
        <w:rPr>
          <w:rFonts w:ascii="arial" w:eastAsia="arial" w:hAnsi="arial" w:cs="arial"/>
          <w:color w:val="000000"/>
          <w:sz w:val="20"/>
          <w:lang w:val="en-US" w:eastAsia="en-US" w:bidi="ar-SA"/>
        </w:rPr>
        <w:t>. The requested declarations that the defendants' names be removed from the membership list and the voters list cannot be made against the defendants because no defendant has access to or control over the Band List. Hence they cannot strike a defendant's name, including their own, from the list. Nor does any defendant have access to or control over the Voters List and therefore they cannot amend or prepare a new list.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63</w:t>
      </w:r>
      <w:r>
        <w:rPr>
          <w:rFonts w:ascii="arial" w:eastAsia="arial" w:hAnsi="arial" w:cs="arial"/>
          <w:color w:val="000000"/>
          <w:sz w:val="20"/>
          <w:lang w:val="en-US" w:eastAsia="en-US" w:bidi="ar-SA"/>
        </w:rPr>
        <w:t xml:space="preserve">  The declarations sought in this instance will have little utility and will not in my view settle the dispute between the parties. To order the applicant defendants to apply for membership will not resolve the issue of their membership. The subject matter of the dispute is the failure of the Band Council to comply with the </w:t>
      </w:r>
      <w:r>
        <w:rPr>
          <w:rFonts w:ascii="arial" w:eastAsia="arial" w:hAnsi="arial" w:cs="arial"/>
          <w:i/>
          <w:color w:val="000000"/>
          <w:sz w:val="20"/>
          <w:lang w:val="en-US" w:eastAsia="en-US" w:bidi="ar-SA"/>
        </w:rPr>
        <w:t>Membership Rules</w:t>
      </w:r>
      <w:r>
        <w:rPr>
          <w:rFonts w:ascii="arial" w:eastAsia="arial" w:hAnsi="arial" w:cs="arial"/>
          <w:color w:val="000000"/>
          <w:sz w:val="20"/>
          <w:lang w:val="en-US" w:eastAsia="en-US" w:bidi="ar-SA"/>
        </w:rPr>
        <w:t xml:space="preserve"> not the failure of the defendants to apply for membership.</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64</w:t>
      </w:r>
      <w:r>
        <w:rPr>
          <w:rFonts w:ascii="arial" w:eastAsia="arial" w:hAnsi="arial" w:cs="arial"/>
          <w:color w:val="000000"/>
          <w:sz w:val="20"/>
          <w:lang w:val="en-US" w:eastAsia="en-US" w:bidi="ar-SA"/>
        </w:rPr>
        <w:t>  In addition declaratory relief cannot be sought against a non-party. The declarations sought must be brought against those having authority with respect to the Band List and the Voters List.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65</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London Passenger Transport Board v. Moscrop</w:t>
      </w:r>
      <w:r>
        <w:rPr>
          <w:rFonts w:ascii="arial" w:eastAsia="arial" w:hAnsi="arial" w:cs="arial"/>
          <w:color w:val="000000"/>
          <w:sz w:val="20"/>
          <w:lang w:val="en-US" w:eastAsia="en-US" w:bidi="ar-SA"/>
        </w:rPr>
        <w:t>, [1942] All E.R. 97, Viscount Maugham stated at p. 104:</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but, on the other hand, the persons really interested were not before the court, ... It is true that in their absence they were not strictly bound by the declaration, but the courts have always recognised that persons interested are or may be indirectly prejudiced by a declaration made by the court in their absence, and that, except in very special circumstances, all persons interested should be made parties whether by representation, orders or otherwise before a declaration by its terms affecting their right is made. ...</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See also, </w:t>
      </w:r>
      <w:r>
        <w:rPr>
          <w:rFonts w:ascii="arial" w:eastAsia="arial" w:hAnsi="arial" w:cs="arial"/>
          <w:i/>
          <w:color w:val="000000"/>
          <w:sz w:val="20"/>
          <w:lang w:val="en-US" w:eastAsia="en-US" w:bidi="ar-SA"/>
        </w:rPr>
        <w:t>Sutherland v. Hudson's Bay Co.</w:t>
      </w:r>
      <w:r>
        <w:rPr>
          <w:rFonts w:ascii="arial" w:eastAsia="arial" w:hAnsi="arial" w:cs="arial"/>
          <w:color w:val="000000"/>
          <w:sz w:val="20"/>
          <w:lang w:val="en-US" w:eastAsia="en-US" w:bidi="ar-SA"/>
        </w:rPr>
        <w:t xml:space="preserve">, </w:t>
      </w:r>
      <w:hyperlink r:id="rId922" w:history="1">
        <w:r>
          <w:rPr>
            <w:rFonts w:ascii="arial" w:eastAsia="arial" w:hAnsi="arial" w:cs="arial"/>
            <w:i/>
            <w:color w:val="0077CC"/>
            <w:sz w:val="20"/>
            <w:u w:val="single"/>
            <w:shd w:val="clear" w:color="auto" w:fill="FFFFFF"/>
            <w:lang w:val="en-US" w:eastAsia="en-US" w:bidi="ar-SA"/>
          </w:rPr>
          <w:t>[2003] O.J. No. 2005</w:t>
        </w:r>
      </w:hyperlink>
      <w:r>
        <w:rPr>
          <w:rFonts w:ascii="arial" w:eastAsia="arial" w:hAnsi="arial" w:cs="arial"/>
          <w:color w:val="000000"/>
          <w:sz w:val="20"/>
          <w:lang w:val="en-US" w:eastAsia="en-US" w:bidi="ar-SA"/>
        </w:rPr>
        <w:t xml:space="preserve">, </w:t>
      </w:r>
      <w:hyperlink r:id="rId922" w:history="1">
        <w:r>
          <w:rPr>
            <w:rFonts w:ascii="arial" w:eastAsia="arial" w:hAnsi="arial" w:cs="arial"/>
            <w:i/>
            <w:color w:val="0077CC"/>
            <w:sz w:val="20"/>
            <w:u w:val="single"/>
            <w:shd w:val="clear" w:color="auto" w:fill="FFFFFF"/>
            <w:lang w:val="en-US" w:eastAsia="en-US" w:bidi="ar-SA"/>
          </w:rPr>
          <w:t>122 A.C.W.S. (3d) 992</w:t>
        </w:r>
      </w:hyperlink>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Standing of the Plaintiff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66</w:t>
      </w:r>
      <w:r>
        <w:rPr>
          <w:rFonts w:ascii="arial" w:eastAsia="arial" w:hAnsi="arial" w:cs="arial"/>
          <w:color w:val="000000"/>
          <w:sz w:val="20"/>
          <w:lang w:val="en-US" w:eastAsia="en-US" w:bidi="ar-SA"/>
        </w:rPr>
        <w:t>  The plaintiff states he claims as an individual, not in any collective or representative capacity. He is not claiming on behalf of any other party or parties. The submission of the plaintiff is that he has suffered damage peculiar to himself given that housing and other benefits are spread thinner due to sharing with individuals who are not entitled to be members. In addition, he alleges the election results have been affected and while affecting his rights generally as a member he personally lost his bid for the office of Chief when the votes were tied and the electoral officer drew a name from a hat to break the tie. He submits that if even one non-member wrongfully voted in the 2010 election and voted for the other candidate he would have been elected chief. As a result, he alleges his individual rights have been infringed.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67</w:t>
      </w:r>
      <w:r>
        <w:rPr>
          <w:rFonts w:ascii="arial" w:eastAsia="arial" w:hAnsi="arial" w:cs="arial"/>
          <w:color w:val="000000"/>
          <w:sz w:val="20"/>
          <w:lang w:val="en-US" w:eastAsia="en-US" w:bidi="ar-SA"/>
        </w:rPr>
        <w:t>  The defendants assert that the plaintiff has no standing to sue as an individual as the relief sought is not in respect of his own rights. As a result, they submit he is not a proper party and should be ordered to cease to be a party under Rule 6-2(7)(a).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68</w:t>
      </w:r>
      <w:r>
        <w:rPr>
          <w:rFonts w:ascii="arial" w:eastAsia="arial" w:hAnsi="arial" w:cs="arial"/>
          <w:color w:val="000000"/>
          <w:sz w:val="20"/>
          <w:lang w:val="en-US" w:eastAsia="en-US" w:bidi="ar-SA"/>
        </w:rPr>
        <w:t>  There are general principles that apply to the issue of standing to seek declaratory relief. Where the standing is rooted in aboriginal rights there are additional factors.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69</w:t>
      </w:r>
      <w:r>
        <w:rPr>
          <w:rFonts w:ascii="arial" w:eastAsia="arial" w:hAnsi="arial" w:cs="arial"/>
          <w:color w:val="000000"/>
          <w:sz w:val="20"/>
          <w:lang w:val="en-US" w:eastAsia="en-US" w:bidi="ar-SA"/>
        </w:rPr>
        <w:t xml:space="preserve">  The general principals of standing to seek declaratory relief were considered in </w:t>
      </w:r>
      <w:r>
        <w:rPr>
          <w:rFonts w:ascii="arial" w:eastAsia="arial" w:hAnsi="arial" w:cs="arial"/>
          <w:i/>
          <w:color w:val="000000"/>
          <w:sz w:val="20"/>
          <w:lang w:val="en-US" w:eastAsia="en-US" w:bidi="ar-SA"/>
        </w:rPr>
        <w:t>London Passenger Transport Board v. Moscop</w:t>
      </w:r>
      <w:r>
        <w:rPr>
          <w:rFonts w:ascii="arial" w:eastAsia="arial" w:hAnsi="arial" w:cs="arial"/>
          <w:color w:val="000000"/>
          <w:sz w:val="20"/>
          <w:lang w:val="en-US" w:eastAsia="en-US" w:bidi="ar-SA"/>
        </w:rPr>
        <w:t xml:space="preserve">, [1942] All E.R. 97, (H.L.), cited with approval in </w:t>
      </w:r>
      <w:r>
        <w:rPr>
          <w:rFonts w:ascii="arial" w:eastAsia="arial" w:hAnsi="arial" w:cs="arial"/>
          <w:i/>
          <w:color w:val="000000"/>
          <w:sz w:val="20"/>
          <w:lang w:val="en-US" w:eastAsia="en-US" w:bidi="ar-SA"/>
        </w:rPr>
        <w:t>Chow v. Patterson</w:t>
      </w:r>
      <w:r>
        <w:rPr>
          <w:rFonts w:ascii="arial" w:eastAsia="arial" w:hAnsi="arial" w:cs="arial"/>
          <w:color w:val="000000"/>
          <w:sz w:val="20"/>
          <w:lang w:val="en-US" w:eastAsia="en-US" w:bidi="ar-SA"/>
        </w:rPr>
        <w:t xml:space="preserve"> </w:t>
      </w:r>
      <w:hyperlink r:id="rId923" w:history="1">
        <w:r>
          <w:rPr>
            <w:rFonts w:ascii="arial" w:eastAsia="arial" w:hAnsi="arial" w:cs="arial"/>
            <w:i/>
            <w:color w:val="0077CC"/>
            <w:sz w:val="20"/>
            <w:u w:val="single"/>
            <w:shd w:val="clear" w:color="auto" w:fill="FFFFFF"/>
            <w:lang w:val="en-US" w:eastAsia="en-US" w:bidi="ar-SA"/>
          </w:rPr>
          <w:t>(1973), 38 D.L.R. (3d) 721</w:t>
        </w:r>
      </w:hyperlink>
      <w:r>
        <w:rPr>
          <w:rFonts w:ascii="arial" w:eastAsia="arial" w:hAnsi="arial" w:cs="arial"/>
          <w:color w:val="000000"/>
          <w:sz w:val="20"/>
          <w:lang w:val="en-US" w:eastAsia="en-US" w:bidi="ar-SA"/>
        </w:rPr>
        <w:t xml:space="preserve"> (B.C.S.C.) at para. 9. The respondent in </w:t>
      </w:r>
      <w:r>
        <w:rPr>
          <w:rFonts w:ascii="arial" w:eastAsia="arial" w:hAnsi="arial" w:cs="arial"/>
          <w:i/>
          <w:color w:val="000000"/>
          <w:sz w:val="20"/>
          <w:lang w:val="en-US" w:eastAsia="en-US" w:bidi="ar-SA"/>
        </w:rPr>
        <w:t>London</w:t>
      </w:r>
      <w:r>
        <w:rPr>
          <w:rFonts w:ascii="arial" w:eastAsia="arial" w:hAnsi="arial" w:cs="arial"/>
          <w:color w:val="000000"/>
          <w:sz w:val="20"/>
          <w:lang w:val="en-US" w:eastAsia="en-US" w:bidi="ar-SA"/>
        </w:rPr>
        <w:t xml:space="preserve"> sought a declaration regarding the right of employees to be represented by union officials. The respondent had so such right. The declaration sought was in respect of the rights of others. Viscount Maugham at 103 stated the following:</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I cannot call to mind any action for a declaration in which (as in this case) </w:t>
      </w:r>
      <w:r>
        <w:rPr>
          <w:rFonts w:ascii="arial" w:eastAsia="arial" w:hAnsi="arial" w:cs="arial"/>
          <w:color w:val="000000"/>
          <w:sz w:val="20"/>
          <w:u w:val="single"/>
          <w:lang w:val="en-US" w:eastAsia="en-US" w:bidi="ar-SA"/>
        </w:rPr>
        <w:t>the plaintiff claimed no right for himself, but sought to deprive others of a right</w:t>
      </w:r>
      <w:r>
        <w:rPr>
          <w:rFonts w:ascii="arial" w:eastAsia="arial" w:hAnsi="arial" w:cs="arial"/>
          <w:color w:val="000000"/>
          <w:sz w:val="20"/>
          <w:lang w:val="en-US" w:eastAsia="en-US" w:bidi="ar-SA"/>
        </w:rPr>
        <w:t xml:space="preserve"> which did not interfere with his liberty of his private rights. Still less can I think that there is any precedent for such an action in the absence of the persons who are interested in opposing the declaration. It has been stated again and again, and also in this House, that the jurisdiction to give a declaratory judgment should be exercised "with great care and jealousy" and "with extreme caution". ... (Emphasis added and citations omitted)</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70</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Epost Innovations Inc. v. Canada Post Corp.</w:t>
      </w:r>
      <w:r>
        <w:rPr>
          <w:rFonts w:ascii="arial" w:eastAsia="arial" w:hAnsi="arial" w:cs="arial"/>
          <w:color w:val="000000"/>
          <w:sz w:val="20"/>
          <w:lang w:val="en-US" w:eastAsia="en-US" w:bidi="ar-SA"/>
        </w:rPr>
        <w:t xml:space="preserve"> </w:t>
      </w:r>
      <w:hyperlink r:id="rId924" w:history="1">
        <w:r>
          <w:rPr>
            <w:rFonts w:ascii="arial" w:eastAsia="arial" w:hAnsi="arial" w:cs="arial"/>
            <w:i/>
            <w:color w:val="0077CC"/>
            <w:sz w:val="20"/>
            <w:u w:val="single"/>
            <w:shd w:val="clear" w:color="auto" w:fill="FFFFFF"/>
            <w:lang w:val="en-US" w:eastAsia="en-US" w:bidi="ar-SA"/>
          </w:rPr>
          <w:t>(1999), 2 C.P.R. (4th) 76</w:t>
        </w:r>
      </w:hyperlink>
      <w:r>
        <w:rPr>
          <w:rFonts w:ascii="arial" w:eastAsia="arial" w:hAnsi="arial" w:cs="arial"/>
          <w:color w:val="000000"/>
          <w:sz w:val="20"/>
          <w:lang w:val="en-US" w:eastAsia="en-US" w:bidi="ar-SA"/>
        </w:rPr>
        <w:t xml:space="preserve">, </w:t>
      </w:r>
      <w:hyperlink r:id="rId924" w:history="1">
        <w:r>
          <w:rPr>
            <w:rFonts w:ascii="arial" w:eastAsia="arial" w:hAnsi="arial" w:cs="arial"/>
            <w:i/>
            <w:color w:val="0077CC"/>
            <w:sz w:val="20"/>
            <w:u w:val="single"/>
            <w:shd w:val="clear" w:color="auto" w:fill="FFFFFF"/>
            <w:lang w:val="en-US" w:eastAsia="en-US" w:bidi="ar-SA"/>
          </w:rPr>
          <w:t>91 A.C.W.S. (3d) 214</w:t>
        </w:r>
      </w:hyperlink>
      <w:r>
        <w:rPr>
          <w:rFonts w:ascii="arial" w:eastAsia="arial" w:hAnsi="arial" w:cs="arial"/>
          <w:color w:val="000000"/>
          <w:sz w:val="20"/>
          <w:lang w:val="en-US" w:eastAsia="en-US" w:bidi="ar-SA"/>
        </w:rPr>
        <w:t>, the Court stated: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A litigant seeking declaratory relief must demonstrate that he or she has a right which has been infringed by or requires protection from the other party. If the right cannot be demonstrated the party does not have standing and the court does not have declaratory jurisdiction.Fraser v. Houston, </w:t>
      </w:r>
      <w:hyperlink r:id="rId917" w:history="1">
        <w:r>
          <w:rPr>
            <w:rFonts w:ascii="arial" w:eastAsia="arial" w:hAnsi="arial" w:cs="arial"/>
            <w:i/>
            <w:color w:val="0077CC"/>
            <w:sz w:val="20"/>
            <w:u w:val="single"/>
            <w:shd w:val="clear" w:color="auto" w:fill="FFFFFF"/>
            <w:lang w:val="en-US" w:eastAsia="en-US" w:bidi="ar-SA"/>
          </w:rPr>
          <w:t>[1996] B.C.J. No. 2096</w:t>
        </w:r>
      </w:hyperlink>
      <w:r>
        <w:rPr>
          <w:rFonts w:ascii="arial" w:eastAsia="arial" w:hAnsi="arial" w:cs="arial"/>
          <w:color w:val="000000"/>
          <w:sz w:val="20"/>
          <w:lang w:val="en-US" w:eastAsia="en-US" w:bidi="ar-SA"/>
        </w:rPr>
        <w:t xml:space="preserve"> (S.C.).</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71</w:t>
      </w:r>
      <w:r>
        <w:rPr>
          <w:rFonts w:ascii="arial" w:eastAsia="arial" w:hAnsi="arial" w:cs="arial"/>
          <w:color w:val="000000"/>
          <w:sz w:val="20"/>
          <w:lang w:val="en-US" w:eastAsia="en-US" w:bidi="ar-SA"/>
        </w:rPr>
        <w:t>  The claims advanced by the plaintiff are rooted in his status as a member of the Band. While he alleges personal damages as a result of the allegedly invalid memberships of the defendants, that does not change the nature of the rights he asserts. The plaintiff's material makes clear that he is one of several Band members who have sought to have their concerns respecting the non-members addressed. The substance of his claim is that his rights as a Band member have been interfered with. Those rights may, as between various Band members, affect them to different degrees but that does not change the fact that they are collective rights.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72</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Moulton Contracting Ltd. v. Her Majesty the Queen in Right of the Province of British Columbia</w:t>
      </w:r>
      <w:r>
        <w:rPr>
          <w:rFonts w:ascii="arial" w:eastAsia="arial" w:hAnsi="arial" w:cs="arial"/>
          <w:color w:val="000000"/>
          <w:sz w:val="20"/>
          <w:lang w:val="en-US" w:eastAsia="en-US" w:bidi="ar-SA"/>
        </w:rPr>
        <w:t xml:space="preserve">, </w:t>
      </w:r>
      <w:hyperlink r:id="rId925" w:history="1">
        <w:r>
          <w:rPr>
            <w:rFonts w:ascii="arial" w:eastAsia="arial" w:hAnsi="arial" w:cs="arial"/>
            <w:i/>
            <w:color w:val="0077CC"/>
            <w:sz w:val="20"/>
            <w:u w:val="single"/>
            <w:shd w:val="clear" w:color="auto" w:fill="FFFFFF"/>
            <w:lang w:val="en-US" w:eastAsia="en-US" w:bidi="ar-SA"/>
          </w:rPr>
          <w:t>2010 BCSC 506</w:t>
        </w:r>
      </w:hyperlink>
      <w:r>
        <w:rPr>
          <w:rFonts w:ascii="arial" w:eastAsia="arial" w:hAnsi="arial" w:cs="arial"/>
          <w:color w:val="000000"/>
          <w:sz w:val="20"/>
          <w:lang w:val="en-US" w:eastAsia="en-US" w:bidi="ar-SA"/>
        </w:rPr>
        <w:t>, Hinkson J. considered the special case of standing as it applies to aboriginal and treaty rights. At paras. 32 - 35 he said the following:</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i/>
          <w:color w:val="000000"/>
          <w:sz w:val="20"/>
          <w:u w:val="single"/>
          <w:lang w:val="en-US" w:eastAsia="en-US" w:bidi="ar-SA"/>
        </w:rPr>
        <w:t>Standing</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[32] While aboriginal and treaty rights are exercised by individuals, such rights are collective rights and are neither possessed by nor reside with individuals: </w:t>
      </w:r>
      <w:r>
        <w:rPr>
          <w:rFonts w:ascii="arial" w:eastAsia="arial" w:hAnsi="arial" w:cs="arial"/>
          <w:b/>
          <w:i/>
          <w:color w:val="000000"/>
          <w:sz w:val="20"/>
          <w:lang w:val="en-US" w:eastAsia="en-US" w:bidi="ar-SA"/>
        </w:rPr>
        <w:t>Delgamuukw v. B.C.</w:t>
      </w:r>
      <w:r>
        <w:rPr>
          <w:rFonts w:ascii="arial" w:eastAsia="arial" w:hAnsi="arial" w:cs="arial"/>
          <w:color w:val="000000"/>
          <w:sz w:val="20"/>
          <w:lang w:val="en-US" w:eastAsia="en-US" w:bidi="ar-SA"/>
        </w:rPr>
        <w:t xml:space="preserve">, </w:t>
      </w:r>
      <w:hyperlink r:id="rId926" w:history="1">
        <w:r>
          <w:rPr>
            <w:rFonts w:ascii="arial" w:eastAsia="arial" w:hAnsi="arial" w:cs="arial"/>
            <w:i/>
            <w:color w:val="0077CC"/>
            <w:sz w:val="20"/>
            <w:u w:val="single"/>
            <w:shd w:val="clear" w:color="auto" w:fill="FFFFFF"/>
            <w:lang w:val="en-US" w:eastAsia="en-US" w:bidi="ar-SA"/>
          </w:rPr>
          <w:t>[1997] 3 S.C.R. 1010</w:t>
        </w:r>
      </w:hyperlink>
      <w:r>
        <w:rPr>
          <w:rFonts w:ascii="arial" w:eastAsia="arial" w:hAnsi="arial" w:cs="arial"/>
          <w:color w:val="000000"/>
          <w:sz w:val="20"/>
          <w:lang w:val="en-US" w:eastAsia="en-US" w:bidi="ar-SA"/>
        </w:rPr>
        <w:t xml:space="preserve"> at para. 115. The assertion of a claim by an individual member of an aboriginal group to assert collective treaty or other collective aboriginal rights on behalf of an aboriginal community was held by Mr. Justice Davies to be unsupported at law in </w:t>
      </w:r>
      <w:r>
        <w:rPr>
          <w:rFonts w:ascii="arial" w:eastAsia="arial" w:hAnsi="arial" w:cs="arial"/>
          <w:b/>
          <w:i/>
          <w:color w:val="000000"/>
          <w:sz w:val="20"/>
          <w:lang w:val="en-US" w:eastAsia="en-US" w:bidi="ar-SA"/>
        </w:rPr>
        <w:t>Komoyue Heritage Society v. British Columbia (A.G.)</w:t>
      </w:r>
      <w:r>
        <w:rPr>
          <w:rFonts w:ascii="arial" w:eastAsia="arial" w:hAnsi="arial" w:cs="arial"/>
          <w:color w:val="000000"/>
          <w:sz w:val="20"/>
          <w:lang w:val="en-US" w:eastAsia="en-US" w:bidi="ar-SA"/>
        </w:rPr>
        <w:t xml:space="preserve">, </w:t>
      </w:r>
      <w:hyperlink r:id="rId927" w:history="1">
        <w:r>
          <w:rPr>
            <w:rFonts w:ascii="arial" w:eastAsia="arial" w:hAnsi="arial" w:cs="arial"/>
            <w:i/>
            <w:color w:val="0077CC"/>
            <w:sz w:val="20"/>
            <w:u w:val="single"/>
            <w:shd w:val="clear" w:color="auto" w:fill="FFFFFF"/>
            <w:lang w:val="en-US" w:eastAsia="en-US" w:bidi="ar-SA"/>
          </w:rPr>
          <w:t>2006 BCSC 1517</w:t>
        </w:r>
      </w:hyperlink>
      <w:r>
        <w:rPr>
          <w:rFonts w:ascii="arial" w:eastAsia="arial" w:hAnsi="arial" w:cs="arial"/>
          <w:color w:val="000000"/>
          <w:sz w:val="20"/>
          <w:lang w:val="en-US" w:eastAsia="en-US" w:bidi="ar-SA"/>
        </w:rPr>
        <w:t xml:space="preserve"> at para. 35.</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[33] Similarly, in </w:t>
      </w:r>
      <w:r>
        <w:rPr>
          <w:rFonts w:ascii="arial" w:eastAsia="arial" w:hAnsi="arial" w:cs="arial"/>
          <w:b/>
          <w:i/>
          <w:color w:val="000000"/>
          <w:sz w:val="20"/>
          <w:lang w:val="en-US" w:eastAsia="en-US" w:bidi="ar-SA"/>
        </w:rPr>
        <w:t>Te Kiapilanoq v. British Columbia</w:t>
      </w:r>
      <w:r>
        <w:rPr>
          <w:rFonts w:ascii="arial" w:eastAsia="arial" w:hAnsi="arial" w:cs="arial"/>
          <w:color w:val="000000"/>
          <w:sz w:val="20"/>
          <w:lang w:val="en-US" w:eastAsia="en-US" w:bidi="ar-SA"/>
        </w:rPr>
        <w:t xml:space="preserve">, </w:t>
      </w:r>
      <w:hyperlink r:id="rId928" w:history="1">
        <w:r>
          <w:rPr>
            <w:rFonts w:ascii="arial" w:eastAsia="arial" w:hAnsi="arial" w:cs="arial"/>
            <w:i/>
            <w:color w:val="0077CC"/>
            <w:sz w:val="20"/>
            <w:u w:val="single"/>
            <w:shd w:val="clear" w:color="auto" w:fill="FFFFFF"/>
            <w:lang w:val="en-US" w:eastAsia="en-US" w:bidi="ar-SA"/>
          </w:rPr>
          <w:t>2008 BCSC 54</w:t>
        </w:r>
      </w:hyperlink>
      <w:r>
        <w:rPr>
          <w:rFonts w:ascii="arial" w:eastAsia="arial" w:hAnsi="arial" w:cs="arial"/>
          <w:color w:val="000000"/>
          <w:sz w:val="20"/>
          <w:lang w:val="en-US" w:eastAsia="en-US" w:bidi="ar-SA"/>
        </w:rPr>
        <w:t xml:space="preserve"> at para. 25, with reference to a number of authorities, Mr. Justice Parrett concluded that "[t]he collective nature of [Aboriginal rights and title] rights requires an authority from the people who are, in this case, collectively represented by their elected council."</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[34] In </w:t>
      </w:r>
      <w:r>
        <w:rPr>
          <w:rFonts w:ascii="arial" w:eastAsia="arial" w:hAnsi="arial" w:cs="arial"/>
          <w:b/>
          <w:i/>
          <w:color w:val="000000"/>
          <w:sz w:val="20"/>
          <w:lang w:val="en-US" w:eastAsia="en-US" w:bidi="ar-SA"/>
        </w:rPr>
        <w:t>Canadian National Railway Co. v. Brant</w:t>
      </w:r>
      <w:r>
        <w:rPr>
          <w:rFonts w:ascii="arial" w:eastAsia="arial" w:hAnsi="arial" w:cs="arial"/>
          <w:color w:val="000000"/>
          <w:sz w:val="20"/>
          <w:lang w:val="en-US" w:eastAsia="en-US" w:bidi="ar-SA"/>
        </w:rPr>
        <w:t xml:space="preserve"> </w:t>
      </w:r>
      <w:hyperlink r:id="rId929" w:history="1">
        <w:r>
          <w:rPr>
            <w:rFonts w:ascii="arial" w:eastAsia="arial" w:hAnsi="arial" w:cs="arial"/>
            <w:i/>
            <w:color w:val="0077CC"/>
            <w:sz w:val="20"/>
            <w:u w:val="single"/>
            <w:shd w:val="clear" w:color="auto" w:fill="FFFFFF"/>
            <w:lang w:val="en-US" w:eastAsia="en-US" w:bidi="ar-SA"/>
          </w:rPr>
          <w:t>(2009), 96 O.R. (3d) 734</w:t>
        </w:r>
      </w:hyperlink>
      <w:r>
        <w:rPr>
          <w:rFonts w:ascii="arial" w:eastAsia="arial" w:hAnsi="arial" w:cs="arial"/>
          <w:color w:val="000000"/>
          <w:sz w:val="20"/>
          <w:lang w:val="en-US" w:eastAsia="en-US" w:bidi="ar-SA"/>
        </w:rPr>
        <w:t xml:space="preserve"> (S.C.J.), Mr. Justice Strathy dealt with an action by the plaintiff railway against the defendant after he blockaded a railway line interfering with the plaintiff's business operations. The defendant counterclaimed on the basis that the railway line trespassed on Mohawk territory thus violating his Aboriginal rights as a member of the Mohawk Nation. The railway applied to strike the counterclaim on the basis that the defendant lacked standing to bring a personal claim for the alleged breach of collectively held aboriginal rights.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[35] Relying upon the reasoning of Parrett J. in </w:t>
      </w:r>
      <w:r>
        <w:rPr>
          <w:rFonts w:ascii="arial" w:eastAsia="arial" w:hAnsi="arial" w:cs="arial"/>
          <w:b/>
          <w:i/>
          <w:color w:val="000000"/>
          <w:sz w:val="20"/>
          <w:lang w:val="en-US" w:eastAsia="en-US" w:bidi="ar-SA"/>
        </w:rPr>
        <w:t>Te Kiapilanoq</w:t>
      </w:r>
      <w:r>
        <w:rPr>
          <w:rFonts w:ascii="arial" w:eastAsia="arial" w:hAnsi="arial" w:cs="arial"/>
          <w:color w:val="000000"/>
          <w:sz w:val="20"/>
          <w:lang w:val="en-US" w:eastAsia="en-US" w:bidi="ar-SA"/>
        </w:rPr>
        <w:t>, Strathy J. allowed the motion, finding at paras. 50-51:</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 xml:space="preserve">Aboriginal title, treaty rights and Aboriginal rights are a right held by Aboriginal people in common and they cannot be asserted by individual members of the community. To put it in the words used by Prothonotary Hargrave in </w:t>
      </w:r>
      <w:r>
        <w:rPr>
          <w:rFonts w:ascii="arial" w:eastAsia="arial" w:hAnsi="arial" w:cs="arial"/>
          <w:i/>
          <w:color w:val="000000"/>
          <w:sz w:val="20"/>
          <w:lang w:val="en-US" w:eastAsia="en-US" w:bidi="ar-SA"/>
        </w:rPr>
        <w:t>Wahsatnow v. Canada (Minister of Indian Affairs and Northern Development),</w:t>
      </w:r>
      <w:r>
        <w:rPr>
          <w:rFonts w:ascii="arial" w:eastAsia="arial" w:hAnsi="arial" w:cs="arial"/>
          <w:color w:val="000000"/>
          <w:sz w:val="20"/>
          <w:lang w:val="en-US" w:eastAsia="en-US" w:bidi="ar-SA"/>
        </w:rPr>
        <w:t xml:space="preserve"> </w:t>
      </w:r>
      <w:hyperlink r:id="rId930" w:history="1">
        <w:r>
          <w:rPr>
            <w:rFonts w:ascii="arial" w:eastAsia="arial" w:hAnsi="arial" w:cs="arial"/>
            <w:i/>
            <w:color w:val="0077CC"/>
            <w:sz w:val="20"/>
            <w:u w:val="single"/>
            <w:shd w:val="clear" w:color="auto" w:fill="FFFFFF"/>
            <w:lang w:val="en-US" w:eastAsia="en-US" w:bidi="ar-SA"/>
          </w:rPr>
          <w:t>[2002] F.C.J. No. 1665</w:t>
        </w:r>
      </w:hyperlink>
      <w:r>
        <w:rPr>
          <w:rFonts w:ascii="arial" w:eastAsia="arial" w:hAnsi="arial" w:cs="arial"/>
          <w:color w:val="000000"/>
          <w:sz w:val="20"/>
          <w:lang w:val="en-US" w:eastAsia="en-US" w:bidi="ar-SA"/>
        </w:rPr>
        <w:t xml:space="preserve">, </w:t>
      </w:r>
      <w:hyperlink r:id="rId930" w:history="1">
        <w:r>
          <w:rPr>
            <w:rFonts w:ascii="arial" w:eastAsia="arial" w:hAnsi="arial" w:cs="arial"/>
            <w:i/>
            <w:color w:val="0077CC"/>
            <w:sz w:val="20"/>
            <w:u w:val="single"/>
            <w:shd w:val="clear" w:color="auto" w:fill="FFFFFF"/>
            <w:lang w:val="en-US" w:eastAsia="en-US" w:bidi="ar-SA"/>
          </w:rPr>
          <w:t>2002 FCT 2012</w:t>
        </w:r>
      </w:hyperlink>
      <w:r>
        <w:rPr>
          <w:rFonts w:ascii="arial" w:eastAsia="arial" w:hAnsi="arial" w:cs="arial"/>
          <w:color w:val="000000"/>
          <w:sz w:val="20"/>
          <w:lang w:val="en-US" w:eastAsia="en-US" w:bidi="ar-SA"/>
        </w:rPr>
        <w:t>, the claims in this case are not a right that the defendants themselves may claim. If the right exists, it is a right that belongs to the Band and can only be asserted by its lawful representatives or in a representative action.</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There is good reason for this. If, as the statement of defence alleges, the Tyendinaga Mohawk Nation has Aboriginal title to the lands in question, any claims for trespass to those lands should be enforced by the authorized representatives of that Nation and not by individuals who may or may not represent its will.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73</w:t>
      </w:r>
      <w:r>
        <w:rPr>
          <w:rFonts w:ascii="arial" w:eastAsia="arial" w:hAnsi="arial" w:cs="arial"/>
          <w:color w:val="000000"/>
          <w:sz w:val="20"/>
          <w:lang w:val="en-US" w:eastAsia="en-US" w:bidi="ar-SA"/>
        </w:rPr>
        <w:t>  As a result I find that the plaintiff has no standing to bring this claim.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Orders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74</w:t>
      </w:r>
      <w:r>
        <w:rPr>
          <w:rFonts w:ascii="arial" w:eastAsia="arial" w:hAnsi="arial" w:cs="arial"/>
          <w:color w:val="000000"/>
          <w:sz w:val="20"/>
          <w:lang w:val="en-US" w:eastAsia="en-US" w:bidi="ar-SA"/>
        </w:rPr>
        <w:t>  This proceeding is dismissed as this Court lacks jurisdiction in respect of the claims made. The plaintiff shall pay the costs of the applicant defendants.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R.D. PUNNETT J.</w:t>
      </w:r>
      <w:r>
        <w:rPr>
          <w:rFonts w:ascii="arial" w:eastAsia="arial" w:hAnsi="arial" w:cs="arial"/>
          <w:sz w:val="20"/>
          <w:lang w:val="en-US" w:eastAsia="en-US" w:bidi="ar-SA"/>
        </w:rPr>
        <w:cr/>
      </w:r>
    </w:p>
    <w:p>
      <w:pPr>
        <w:rPr>
          <w:rFonts w:ascii="arial" w:eastAsia="arial" w:hAnsi="arial" w:cs="arial"/>
          <w:sz w:val="20"/>
          <w:lang w:val="en-US" w:eastAsia="en-US" w:bidi="ar-SA"/>
        </w:rPr>
      </w:pPr>
    </w:p>
    <w:p>
      <w:pPr>
        <w:ind w:left="200"/>
        <w:rPr>
          <w:rFonts w:ascii="arial" w:eastAsia="arial" w:hAnsi="arial" w:cs="arial"/>
          <w:sz w:val="20"/>
          <w:lang w:val="en-US" w:eastAsia="en-US" w:bidi="ar-SA"/>
        </w:rPr>
        <w:sectPr>
          <w:type w:val="continuous"/>
          <w:pgMar w:top="840" w:right="1000" w:bottom="840" w:left="1000" w:header="400" w:footer="400"/>
          <w:pgNumType w:fmt="decimal"/>
          <w:cols w:space="720"/>
        </w:sectPr>
      </w:pPr>
      <w:r>
        <w:rPr>
          <w:rFonts w:ascii="arial" w:eastAsia="arial" w:hAnsi="arial" w:cs="arial"/>
          <w:sz w:val="20"/>
          <w:lang w:val="en-US" w:eastAsia="en-US" w:bidi="ar-SA"/>
        </w:rPr>
        <w:br/>
      </w:r>
      <w:r>
        <w:pict>
          <v:line id="_x0000_s1239" style="position:absolute;z-index:251891712" from="0,10pt" to="512pt,10pt" strokecolor="black" strokeweight="1pt">
            <v:stroke linestyle="single"/>
          </v:line>
        </w:pict>
      </w:r>
      <w:r>
        <w:rPr>
          <w:b/>
          <w:color w:val="767676"/>
          <w:sz w:val="16"/>
          <w:lang w:val="en-US" w:eastAsia="en-US" w:bidi="ar-SA"/>
        </w:rPr>
        <w:t>End of Document</w:t>
      </w:r>
    </w:p>
    <w:p>
      <w:pPr>
        <w:rPr>
          <w:rFonts w:ascii="arial" w:eastAsia="arial" w:hAnsi="arial" w:cs="arial"/>
          <w:sz w:val="20"/>
          <w:lang w:val="en-US" w:eastAsia="en-US" w:bidi="ar-SA"/>
        </w:rPr>
        <w:sectPr>
          <w:headerReference w:type="even" r:id="rId931"/>
          <w:headerReference w:type="default" r:id="rId932"/>
          <w:footerReference w:type="even" r:id="rId933"/>
          <w:footerReference w:type="default" r:id="rId934"/>
          <w:headerReference w:type="first" r:id="rId935"/>
          <w:footerReference w:type="first" r:id="rId936"/>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eastAsia="arial" w:hAnsi="Arial" w:cs="Arial"/>
          <w:b/>
          <w:bCs/>
          <w:kern w:val="32"/>
          <w:sz w:val="32"/>
          <w:szCs w:val="32"/>
          <w:lang w:val="en-US" w:eastAsia="en-US" w:bidi="ar-SA"/>
        </w:rPr>
      </w:pPr>
      <w:hyperlink r:id="rId937" w:history="1">
        <w:r>
          <w:rPr>
            <w:rFonts w:ascii="arial" w:eastAsia="arial" w:hAnsi="arial" w:cs="arial"/>
            <w:b/>
            <w:bCs/>
            <w:i/>
            <w:color w:val="0077CC"/>
            <w:kern w:val="32"/>
            <w:sz w:val="28"/>
            <w:szCs w:val="32"/>
            <w:u w:val="single"/>
            <w:shd w:val="clear" w:color="auto" w:fill="FFFFFF"/>
            <w:lang w:val="en-US" w:eastAsia="en-US" w:bidi="ar-SA"/>
          </w:rPr>
          <w:t>Davis v. British Columbia Hydro and Power Authority, [2016] B.C.J. No. 1486</w:t>
        </w:r>
      </w:hyperlink>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Judgments</w:t>
      </w:r>
    </w:p>
    <w:p>
      <w:pPr>
        <w:rPr>
          <w:rFonts w:ascii="arial" w:eastAsia="arial" w:hAnsi="arial" w:cs="arial"/>
          <w:sz w:val="20"/>
          <w:lang w:val="en-US" w:eastAsia="en-US" w:bidi="ar-SA"/>
        </w:rPr>
      </w:pP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Vancouver, British Columbia</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E.J. Adair J.</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Heard: December 7-11, 2015.</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Judgment: July 12, 2016.</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Docket: S135590</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Registry: Vancouver</w:t>
      </w:r>
    </w:p>
    <w:p>
      <w:pPr>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r>
        <w:rPr>
          <w:rFonts w:ascii="arial" w:eastAsia="arial" w:hAnsi="arial" w:cs="arial"/>
          <w:b/>
          <w:color w:val="000000"/>
          <w:sz w:val="20"/>
          <w:lang w:val="en-US" w:eastAsia="en-US" w:bidi="ar-SA"/>
        </w:rPr>
        <w:t>[2016] B.C.J. No. 1486</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hyperlink r:id="rId938" w:history="1">
        <w:r>
          <w:rPr>
            <w:rFonts w:ascii="arial" w:eastAsia="arial" w:hAnsi="arial" w:cs="arial"/>
            <w:i/>
            <w:color w:val="0077CC"/>
            <w:sz w:val="20"/>
            <w:u w:val="single"/>
            <w:shd w:val="clear" w:color="auto" w:fill="FFFFFF"/>
            <w:lang w:val="en-US" w:eastAsia="en-US" w:bidi="ar-SA"/>
          </w:rPr>
          <w:t>2016 BCSC 1287</w:t>
        </w:r>
      </w:hyperlink>
    </w:p>
    <w:p>
      <w:pPr>
        <w:spacing w:before="120" w:line="260" w:lineRule="atLeast"/>
        <w:rPr>
          <w:rFonts w:ascii="arial" w:eastAsia="arial" w:hAnsi="arial" w:cs="arial"/>
          <w:sz w:val="20"/>
          <w:lang w:val="en-US" w:eastAsia="en-US" w:bidi="ar-SA"/>
        </w:rPr>
      </w:pPr>
      <w:r>
        <w:rPr>
          <w:rFonts w:ascii="arial" w:eastAsia="arial" w:hAnsi="arial" w:cs="arial"/>
          <w:color w:val="000000"/>
          <w:sz w:val="20"/>
          <w:lang w:val="en-US" w:eastAsia="en-US" w:bidi="ar-SA"/>
        </w:rPr>
        <w:t>Between Nomi Davis and Jessica Klein, Plaintiffs, and British Columbia Hydro and Power Authority, Defendant BROUGHT UNDER the Class Proceedings Act, R.S.B.C. 1996, c. 50</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(160 paras.)</w:t>
      </w:r>
    </w:p>
    <w:p>
      <w:pPr>
        <w:keepNext/>
        <w:spacing w:before="12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Case Summary</w:t>
      </w:r>
    </w:p>
    <w:p>
      <w:pPr>
        <w:spacing w:line="60" w:lineRule="exact"/>
        <w:rPr>
          <w:rFonts w:ascii="arial" w:eastAsia="arial" w:hAnsi="arial" w:cs="arial"/>
          <w:sz w:val="20"/>
          <w:lang w:val="en-US" w:eastAsia="en-US" w:bidi="ar-SA"/>
        </w:rPr>
      </w:pPr>
      <w:r>
        <w:pict>
          <v:line id="_x0000_s1240" style="position:absolute;z-index:251704320"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bookmarkStart w:id="302" w:name="Keywords_43"/>
      <w:bookmarkEnd w:id="302"/>
      <w:r>
        <w:rPr>
          <w:rFonts w:ascii="arial" w:eastAsia="arial" w:hAnsi="arial" w:cs="arial"/>
          <w:b/>
          <w:color w:val="000000"/>
          <w:sz w:val="20"/>
          <w:lang w:val="en-US" w:eastAsia="en-US" w:bidi="ar-SA"/>
        </w:rPr>
        <w:t>Civil litigation — Civil procedure — Parties — Class or representative actions — Certification — Common interests and issues — Definition of class — Procedure — Application by plaintiffs for certification of class action dismissed — Plaintiffs challenged constitutionality of legislation and regulations mandating installation of hydro smart meters — Plaintiffs alleged radiofrequency emitted from meters raised real risk of adverse health effects — Claim based on security of person failed to plead sufficient facts to disclose cause of action — Claim based on liberty interest of whether to accept meter was not bound to fail, but other criteria for certification of class proceeding were not met — Pleading as whole was deficient and common issues lacked evidentiary foundation and were incapable of certification.</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Constitutional law — Canadian Charter of Rights and Freedoms — Legal rights — Life, liberty and security of person — Right not to be deprived thereof — Personal autonomy — Application by plaintiffs for certification of class action dismissed — Plaintiffs challenged constitutionality of legislation and regulations mandating installation of hydro smart meters — Plaintiffs alleged radiofrequency emitted from meters raised real risk of adverse health effects — Claim based on security of person failed to plead sufficient facts to disclose cause of action — Claim based on liberty interest of whether to accept meter was not bound to fail, but other criteria for certification of class proceeding were not met — Pleading as whole was deficient and common issues lacked evidentiary foundation and were incapable of certification.</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Natural resources law — Public utilities — Electricity — Application by plaintiffs for certification of class action dismissed — Plaintiffs challenged constitutionality of legislation and regulations mandating installation of hydro smart meters — Plaintiffs alleged radiofrequency emitted from meters raised real risk of adverse health effects — Claim based on security of person failed to plead sufficient facts to disclose cause of action — Claim based on liberty interest of whether to accept meter was not bound to fail, but other criteria for certification of class proceeding were not met — Pleading as whole was deficient and common issues lacked evidentiary foundation and were incapable of certification.</w:t>
      </w:r>
    </w:p>
    <w:p>
      <w:pPr>
        <w:rPr>
          <w:rFonts w:ascii="arial" w:eastAsia="arial" w:hAnsi="arial" w:cs="arial"/>
          <w:sz w:val="20"/>
          <w:lang w:val="en-US" w:eastAsia="en-US" w:bidi="ar-SA"/>
        </w:rPr>
      </w:pPr>
    </w:p>
    <w:tbl>
      <w:tblPr>
        <w:tblStyle w:val="TableNormal"/>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
      <w:tblGrid>
        <w:gridCol w:w="10225"/>
      </w:tblGrid>
      <w:tr>
        <w:tblPrEx>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Ex>
        <w:tc>
          <w:tcPr/>
          <w:p>
            <w:pPr>
              <w:rPr>
                <w:rFonts w:ascii="arial" w:eastAsia="arial" w:hAnsi="arial" w:cs="arial"/>
                <w:sz w:val="20"/>
                <w:lang w:val="en-US" w:eastAsia="en-US" w:bidi="ar-SA"/>
              </w:rPr>
            </w:pPr>
            <w:bookmarkStart w:id="303" w:name="Case Summary_41"/>
            <w:bookmarkEnd w:id="303"/>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Application by the plaintiffs, Davis and Klein, for certification of a proposed class action against the defendant, the British Columbia Hydro and Power Authority. The plaintiffs alleged that provincial legislation and regulations enacted in respect of smart meters measuring electric power use, and the imposition of the meters on proposed class members, breached their s. 7 Charter rights. The plaintiffs alleged that the radiofrequency technology in the smart meters produced emissions that caused biological effects in individuals, giving rise to a real risk of potential harm. The plaintiffs submitted that the choice to be free from the operation of a smart meter at one's home was a fundamental personal choice. Therefore, the legislative requirement to use a smart meter amounted to a deprivation of both the right to life and the right to security of the person contrary to s. 7. The defendant took the position the proposed claim failed to disclose a reasonable cause of action, and the proposed class proceeding failed to meet the other criteria for certification. In addition, the defendants opposed proposed further fresh amendments to the statement of claim. </w:t>
            </w:r>
            <w:r>
              <w:rPr>
                <w:rFonts w:ascii="arial" w:eastAsia="arial" w:hAnsi="arial" w:cs="arial"/>
                <w:sz w:val="20"/>
                <w:lang w:val="en-US" w:eastAsia="en-US" w:bidi="ar-SA"/>
              </w:rPr>
              <w:cr/>
            </w:r>
          </w:p>
          <w:p>
            <w:pPr>
              <w:spacing w:before="120" w:line="260" w:lineRule="atLeast"/>
              <w:ind w:left="240"/>
              <w:jc w:val="both"/>
              <w:rPr>
                <w:rFonts w:ascii="arial" w:eastAsia="arial" w:hAnsi="arial" w:cs="arial"/>
                <w:sz w:val="20"/>
                <w:lang w:val="en-US" w:eastAsia="en-US" w:bidi="ar-SA"/>
              </w:rPr>
            </w:pPr>
            <w:bookmarkStart w:id="304" w:name="Holdings of Court_35"/>
            <w:bookmarkEnd w:id="304"/>
            <w:r>
              <w:rPr>
                <w:rFonts w:ascii="arial" w:eastAsia="arial" w:hAnsi="arial" w:cs="arial"/>
                <w:color w:val="000000"/>
                <w:sz w:val="20"/>
                <w:lang w:val="en-US" w:eastAsia="en-US" w:bidi="ar-SA"/>
              </w:rPr>
              <w:t>HELD: Application dismissed.</w:t>
            </w:r>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It was not plain and obvious that the plaintiffs' claim based on the liberty interest protected by s. 7 of the Charter was bound to fail. On the facts as pled, the issue of whether to accept a smart meter was fundamentally or inherently personal such that it implicated basic choices going to the core of what it meant to enjoy individual dignity and independence. However, the claim based on security of the person failed to plead material facts in support of the claim to show state interference with an individual's physical or psychological integrity. The plaintiffs failed to satisfy the other requirements for certification. No facts were pled to sustain the relief claimed. The pleading as a whole was deficient. The proposed class definitions, as drafted, were unacceptable given the fluidity of the defendant's customer base. The common issues were drafted in a problematic fashion and lacked sufficient admissible evidentiary foundation and commonality relative to class members. There were no common issues capable of certification. The application to amend the pleadings and add parties as plaintiffs was dismissed with leave to reapply based on fresh proposed amendments within 60 days. </w:t>
            </w:r>
            <w:r>
              <w:rPr>
                <w:rFonts w:ascii="arial" w:eastAsia="arial" w:hAnsi="arial" w:cs="arial"/>
                <w:sz w:val="20"/>
                <w:lang w:val="en-US" w:eastAsia="en-US" w:bidi="ar-SA"/>
              </w:rPr>
              <w:cr/>
            </w:r>
          </w:p>
          <w:p>
            <w:pPr>
              <w:rPr>
                <w:rFonts w:ascii="arial" w:eastAsia="arial" w:hAnsi="arial" w:cs="arial"/>
                <w:sz w:val="20"/>
                <w:lang w:val="en-US" w:eastAsia="en-US" w:bidi="ar-SA"/>
              </w:rPr>
            </w:pPr>
          </w:p>
        </w:tc>
      </w:tr>
    </w:tbl>
    <w:p>
      <w:pPr>
        <w:jc w:val="both"/>
        <w:rPr>
          <w:rFonts w:ascii="arial" w:eastAsia="arial" w:hAnsi="arial" w:cs="arial"/>
          <w:sz w:val="20"/>
          <w:lang w:val="en-US" w:eastAsia="en-US" w:bidi="ar-SA"/>
        </w:rPr>
      </w:pPr>
      <w:bookmarkStart w:id="305" w:name="Legislation Cited_30"/>
      <w:bookmarkEnd w:id="305"/>
      <w:r>
        <w:rPr>
          <w:rFonts w:ascii="arial" w:eastAsia="arial" w:hAnsi="arial" w:cs="arial"/>
          <w:sz w:val="20"/>
          <w:lang w:val="en-US" w:eastAsia="en-US" w:bidi="ar-SA"/>
        </w:rPr>
        <w:br/>
      </w:r>
    </w:p>
    <w:p>
      <w:pPr>
        <w:keepNext/>
        <w:spacing w:before="24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Statutes, Regulations and Rules Cited:</w:t>
      </w:r>
    </w:p>
    <w:p>
      <w:pPr>
        <w:spacing w:line="60" w:lineRule="exact"/>
        <w:rPr>
          <w:rFonts w:ascii="arial" w:eastAsia="arial" w:hAnsi="arial" w:cs="arial"/>
          <w:sz w:val="20"/>
          <w:lang w:val="en-US" w:eastAsia="en-US" w:bidi="ar-SA"/>
        </w:rPr>
      </w:pPr>
      <w:r>
        <w:pict>
          <v:line id="_x0000_s1241" style="position:absolute;z-index:251755520"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hyperlink r:id="rId939" w:history="1">
        <w:r>
          <w:rPr>
            <w:rFonts w:ascii="arial" w:eastAsia="arial" w:hAnsi="arial" w:cs="arial"/>
            <w:i/>
            <w:color w:val="0077CC"/>
            <w:sz w:val="20"/>
            <w:u w:val="single"/>
            <w:shd w:val="clear" w:color="auto" w:fill="FFFFFF"/>
            <w:lang w:val="en-US" w:eastAsia="en-US" w:bidi="ar-SA"/>
          </w:rPr>
          <w:t>B.C. Reg. 203/2013</w:t>
        </w:r>
      </w:hyperlink>
      <w:r>
        <w:rPr>
          <w:rFonts w:ascii="arial" w:eastAsia="arial" w:hAnsi="arial" w:cs="arial"/>
          <w:color w:val="000000"/>
          <w:sz w:val="20"/>
          <w:lang w:val="en-US" w:eastAsia="en-US" w:bidi="ar-SA"/>
        </w:rPr>
        <w:t xml:space="preserve"> ("Direction No. 4"),</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Canadian Charter of Rights and Freedoms, 1982, s. 7, s. 8, s. 24</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Class Proceedings Act, </w:t>
      </w:r>
      <w:hyperlink r:id="rId940" w:history="1">
        <w:r>
          <w:rPr>
            <w:rFonts w:ascii="arial" w:eastAsia="arial" w:hAnsi="arial" w:cs="arial"/>
            <w:i/>
            <w:color w:val="0077CC"/>
            <w:sz w:val="20"/>
            <w:u w:val="single"/>
            <w:shd w:val="clear" w:color="auto" w:fill="FFFFFF"/>
            <w:lang w:val="en-US" w:eastAsia="en-US" w:bidi="ar-SA"/>
          </w:rPr>
          <w:t>R.S.B.C. 1996, c. 50, s. 4</w:t>
        </w:r>
      </w:hyperlink>
      <w:r>
        <w:rPr>
          <w:rFonts w:ascii="arial" w:eastAsia="arial" w:hAnsi="arial" w:cs="arial"/>
          <w:color w:val="000000"/>
          <w:sz w:val="20"/>
          <w:lang w:val="en-US" w:eastAsia="en-US" w:bidi="ar-SA"/>
        </w:rPr>
        <w:t>, s. 4(1), s. 4(1)(a), s. 4(1)(b), s. 4(1)(c), s. 4(1)(e)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Clean Energy Act, </w:t>
      </w:r>
      <w:r>
        <w:rPr>
          <w:rFonts w:ascii="arial" w:eastAsia="arial" w:hAnsi="arial" w:cs="arial"/>
          <w:i/>
          <w:color w:val="000000"/>
          <w:sz w:val="20"/>
          <w:lang w:val="en-US" w:eastAsia="en-US" w:bidi="ar-SA"/>
        </w:rPr>
        <w:t>S.B.C. 2010, c. 22</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Hydro and Power Authority Act, </w:t>
      </w:r>
      <w:r>
        <w:rPr>
          <w:rFonts w:ascii="arial" w:eastAsia="arial" w:hAnsi="arial" w:cs="arial"/>
          <w:i/>
          <w:color w:val="000000"/>
          <w:sz w:val="20"/>
          <w:lang w:val="en-US" w:eastAsia="en-US" w:bidi="ar-SA"/>
        </w:rPr>
        <w:t>R.S.B.C. 1996, c. 212</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Smart Meters and Smart Grid Regulation, </w:t>
      </w:r>
      <w:hyperlink r:id="rId941" w:history="1">
        <w:r>
          <w:rPr>
            <w:rFonts w:ascii="arial" w:eastAsia="arial" w:hAnsi="arial" w:cs="arial"/>
            <w:i/>
            <w:color w:val="0077CC"/>
            <w:sz w:val="20"/>
            <w:u w:val="single"/>
            <w:shd w:val="clear" w:color="auto" w:fill="FFFFFF"/>
            <w:lang w:val="en-US" w:eastAsia="en-US" w:bidi="ar-SA"/>
          </w:rPr>
          <w:t>B.C. Reg. 368/2010</w:t>
        </w:r>
      </w:hyperlink>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Supreme Court Civil Rules, Rule 3-1(2), Rule 3-7(1)</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Utilities Commission Act, </w:t>
      </w:r>
      <w:hyperlink r:id="rId942" w:history="1">
        <w:r>
          <w:rPr>
            <w:rFonts w:ascii="arial" w:eastAsia="arial" w:hAnsi="arial" w:cs="arial"/>
            <w:i/>
            <w:color w:val="0077CC"/>
            <w:sz w:val="20"/>
            <w:u w:val="single"/>
            <w:shd w:val="clear" w:color="auto" w:fill="FFFFFF"/>
            <w:lang w:val="en-US" w:eastAsia="en-US" w:bidi="ar-SA"/>
          </w:rPr>
          <w:t>R.S.B.C. 1996, c. 473, s. 47</w:t>
        </w:r>
      </w:hyperlink>
      <w:r>
        <w:rPr>
          <w:rFonts w:ascii="arial" w:eastAsia="arial" w:hAnsi="arial" w:cs="arial"/>
          <w:color w:val="000000"/>
          <w:sz w:val="20"/>
          <w:lang w:val="en-US" w:eastAsia="en-US" w:bidi="ar-SA"/>
        </w:rPr>
        <w:t>,</w:t>
      </w:r>
      <w:r>
        <w:rPr>
          <w:rFonts w:ascii="arial" w:eastAsia="arial" w:hAnsi="arial" w:cs="arial"/>
          <w:sz w:val="20"/>
          <w:lang w:val="en-US" w:eastAsia="en-US" w:bidi="ar-SA"/>
        </w:rPr>
        <w:cr/>
      </w:r>
    </w:p>
    <w:p>
      <w:pPr>
        <w:keepNext/>
        <w:spacing w:before="240" w:line="340" w:lineRule="atLeast"/>
        <w:rPr>
          <w:rFonts w:ascii="arial" w:eastAsia="arial" w:hAnsi="arial" w:cs="arial"/>
          <w:sz w:val="20"/>
          <w:lang w:val="en-US" w:eastAsia="en-US" w:bidi="ar-SA"/>
        </w:rPr>
      </w:pPr>
      <w:bookmarkStart w:id="306" w:name="Counsel_43"/>
      <w:bookmarkEnd w:id="306"/>
      <w:r>
        <w:rPr>
          <w:rFonts w:ascii="arial" w:eastAsia="arial" w:hAnsi="arial" w:cs="arial"/>
          <w:b/>
          <w:color w:val="000000"/>
          <w:sz w:val="28"/>
          <w:lang w:val="en-US" w:eastAsia="en-US" w:bidi="ar-SA"/>
        </w:rPr>
        <w:t>Counsel</w:t>
      </w:r>
    </w:p>
    <w:p>
      <w:pPr>
        <w:spacing w:line="60" w:lineRule="exact"/>
        <w:rPr>
          <w:rFonts w:ascii="arial" w:eastAsia="arial" w:hAnsi="arial" w:cs="arial"/>
          <w:sz w:val="20"/>
          <w:lang w:val="en-US" w:eastAsia="en-US" w:bidi="ar-SA"/>
        </w:rPr>
      </w:pPr>
      <w:r>
        <w:pict>
          <v:line id="_x0000_s1242" style="position:absolute;z-index:251806720"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Counsel for the Plaintiffs: David M. Aaron.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Counsel for the Defendant: Marko Vesely and Toby Kruger.</w:t>
      </w:r>
      <w:r>
        <w:rPr>
          <w:rFonts w:ascii="arial" w:eastAsia="arial" w:hAnsi="arial" w:cs="arial"/>
          <w:sz w:val="20"/>
          <w:lang w:val="en-US" w:eastAsia="en-US" w:bidi="ar-SA"/>
        </w:rPr>
        <w:cr/>
      </w:r>
    </w:p>
    <w:p>
      <w:pPr>
        <w:spacing w:after="240"/>
        <w:rPr>
          <w:rFonts w:ascii="arial" w:eastAsia="arial" w:hAnsi="arial" w:cs="arial"/>
          <w:sz w:val="20"/>
          <w:lang w:val="en-US" w:eastAsia="en-US" w:bidi="ar-SA"/>
        </w:rPr>
      </w:pPr>
      <w:bookmarkStart w:id="307" w:name="Judgment_44"/>
      <w:bookmarkEnd w:id="307"/>
      <w:r>
        <w:pict>
          <v:line id="_x0000_s1243" style="position:absolute;z-index:251855872" from="0,12pt" to="512pt,12pt" strokecolor="#009ddb" strokeweight="1.5pt">
            <v:stroke linestyle="single"/>
          </v:line>
        </w:pict>
      </w:r>
    </w:p>
    <w:p>
      <w:pPr>
        <w:spacing w:before="120" w:line="260" w:lineRule="atLeast"/>
        <w:jc w:val="center"/>
        <w:rPr>
          <w:rFonts w:ascii="arial" w:eastAsia="arial" w:hAnsi="arial" w:cs="arial"/>
          <w:sz w:val="20"/>
          <w:lang w:val="en-US" w:eastAsia="en-US" w:bidi="ar-SA"/>
        </w:rPr>
      </w:pPr>
      <w:r>
        <w:rPr>
          <w:rFonts w:ascii="arial" w:eastAsia="arial" w:hAnsi="arial" w:cs="arial"/>
          <w:b/>
          <w:color w:val="000000"/>
          <w:sz w:val="20"/>
          <w:lang w:val="en-US" w:eastAsia="en-US" w:bidi="ar-SA"/>
        </w:rPr>
        <w:t>Table of Contents</w:t>
      </w:r>
      <w:r>
        <w:rPr>
          <w:rFonts w:ascii="arial" w:eastAsia="arial" w:hAnsi="arial" w:cs="arial"/>
          <w:sz w:val="20"/>
          <w:lang w:val="en-US" w:eastAsia="en-US" w:bidi="ar-SA"/>
        </w:rPr>
        <w:cr/>
      </w:r>
    </w:p>
    <w:p>
      <w:pPr>
        <w:numPr>
          <w:numId w:val="15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Introduction</w:t>
      </w:r>
    </w:p>
    <w:p>
      <w:pPr>
        <w:numPr>
          <w:numId w:val="15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Factual background</w:t>
      </w:r>
    </w:p>
    <w:p>
      <w:pPr>
        <w:numPr>
          <w:numId w:val="15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Certification requirements: overview</w:t>
      </w:r>
    </w:p>
    <w:p>
      <w:pPr>
        <w:numPr>
          <w:numId w:val="15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Does the Proposed NCC disclose a cause of action: s. 4(1)(a)</w:t>
      </w:r>
    </w:p>
    <w:p>
      <w:pPr>
        <w:numPr>
          <w:numId w:val="15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Identifiable class and class description: s. 4(1)(b)</w:t>
      </w:r>
    </w:p>
    <w:p>
      <w:pPr>
        <w:numPr>
          <w:numId w:val="15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Common issues: s. 4(1)(c)</w:t>
      </w:r>
    </w:p>
    <w:p>
      <w:pPr>
        <w:numPr>
          <w:numId w:val="15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Preferable procedure: s. 4(1)(d)</w:t>
      </w:r>
    </w:p>
    <w:p>
      <w:pPr>
        <w:numPr>
          <w:numId w:val="15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Representative plaintiffs and litigation plan: s. 4(1)(e)</w:t>
      </w:r>
    </w:p>
    <w:p>
      <w:pPr>
        <w:numPr>
          <w:numId w:val="15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Summary and disposition</w:t>
      </w:r>
    </w:p>
    <w:p>
      <w:pPr>
        <w:spacing w:line="260" w:lineRule="atLeast"/>
        <w:jc w:val="center"/>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Reasons for Judgment</w:t>
      </w:r>
      <w:r>
        <w:rPr>
          <w:rFonts w:ascii="arial" w:eastAsia="arial" w:hAnsi="arial" w:cs="arial"/>
          <w:sz w:val="20"/>
          <w:lang w:val="en-US" w:eastAsia="en-US" w:bidi="ar-SA"/>
        </w:rPr>
        <w:cr/>
      </w:r>
    </w:p>
    <w:p>
      <w:pPr>
        <w:rPr>
          <w:rFonts w:ascii="arial" w:eastAsia="arial" w:hAnsi="arial" w:cs="arial"/>
          <w:sz w:val="20"/>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2170"/>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rFonts w:ascii="arial" w:eastAsia="arial" w:hAnsi="arial" w:cs="arial"/>
                <w:sz w:val="20"/>
                <w:lang w:val="en-US" w:eastAsia="en-US" w:bidi="ar-SA"/>
              </w:rPr>
            </w:pPr>
            <w:bookmarkStart w:id="308" w:name="E.J. ADAIR J."/>
            <w:bookmarkEnd w:id="308"/>
            <w:r>
              <w:rPr>
                <w:rFonts w:ascii="arial" w:eastAsia="arial" w:hAnsi="arial" w:cs="arial"/>
                <w:b/>
                <w:color w:val="000000"/>
                <w:sz w:val="30"/>
                <w:lang w:val="en-US" w:eastAsia="en-US" w:bidi="ar-SA"/>
              </w:rPr>
              <w:t>E.J. ADAIR J.</w:t>
            </w:r>
          </w:p>
        </w:tc>
      </w:tr>
    </w:tbl>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1. Introduction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This proposed class proceeding concerns meters that the defendant British Columbia Hydro and Power Authority uses to measure electric power consumed by its customers, and, specifically, what are known as "smart meters."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xml:space="preserve">  The plaintiffs say that legislation enacted and the regulations made in relation to smart meters (described by the plaintiffs as the "Impugned Provisions"), and the imposition of smart meters on them and proposed class members by BC Hydro (described by the plaintiffs as the "Impugned Conduct"), have resulted in an infringement of their rights under section 7 of the </w:t>
      </w:r>
      <w:r>
        <w:rPr>
          <w:rFonts w:ascii="arial" w:eastAsia="arial" w:hAnsi="arial" w:cs="arial"/>
          <w:b/>
          <w:i/>
          <w:color w:val="000000"/>
          <w:sz w:val="20"/>
          <w:lang w:val="en-US" w:eastAsia="en-US" w:bidi="ar-SA"/>
        </w:rPr>
        <w:t>Canadian Charter of Rights and Freedoms</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xml:space="preserve">  Section 7 of the </w:t>
      </w:r>
      <w:r>
        <w:rPr>
          <w:rFonts w:ascii="arial" w:eastAsia="arial" w:hAnsi="arial" w:cs="arial"/>
          <w:b/>
          <w:i/>
          <w:color w:val="000000"/>
          <w:sz w:val="20"/>
          <w:lang w:val="en-US" w:eastAsia="en-US" w:bidi="ar-SA"/>
        </w:rPr>
        <w:t>Charter</w:t>
      </w:r>
      <w:r>
        <w:rPr>
          <w:rFonts w:ascii="arial" w:eastAsia="arial" w:hAnsi="arial" w:cs="arial"/>
          <w:color w:val="000000"/>
          <w:sz w:val="20"/>
          <w:lang w:val="en-US" w:eastAsia="en-US" w:bidi="ar-SA"/>
        </w:rPr>
        <w:t xml:space="preserve"> states: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Everyone has the right to life, liberty and security of the person and the right not to be deprived thereof except in accordance with the principles of fundamental justice.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xml:space="preserve">  The plaintiffs assert that: the emissions from smart meters cause biological effects in individuals who are exposed to them, and there is "a real issue of potential harm to the human body" arising from exposure to the emissions; the safety of the emissions is a matter of reasonable concern; and the choice to be free from the operation of a smart meter at one's home "is a fundamental personal choice." Therefore, the plaintiffs say, the Impugned Conduct and the Impugned Provisions amount to a deprivation of both the right to life and the right to security of the person under s. 7 of the </w:t>
      </w:r>
      <w:r>
        <w:rPr>
          <w:rFonts w:ascii="arial" w:eastAsia="arial" w:hAnsi="arial" w:cs="arial"/>
          <w:b/>
          <w:i/>
          <w:color w:val="000000"/>
          <w:sz w:val="20"/>
          <w:lang w:val="en-US" w:eastAsia="en-US" w:bidi="ar-SA"/>
        </w:rPr>
        <w:t>Charter</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xml:space="preserve">  The plaintiffs apply for certification of the action as a class proceeding under the </w:t>
      </w:r>
      <w:r>
        <w:rPr>
          <w:rFonts w:ascii="arial" w:eastAsia="arial" w:hAnsi="arial" w:cs="arial"/>
          <w:b/>
          <w:i/>
          <w:color w:val="000000"/>
          <w:sz w:val="20"/>
          <w:lang w:val="en-US" w:eastAsia="en-US" w:bidi="ar-SA"/>
        </w:rPr>
        <w:t>Class Proceedings Act</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R.S.B.C. 1996, c. 50</w:t>
      </w:r>
      <w:r>
        <w:rPr>
          <w:rFonts w:ascii="arial" w:eastAsia="arial" w:hAnsi="arial" w:cs="arial"/>
          <w:color w:val="000000"/>
          <w:sz w:val="20"/>
          <w:lang w:val="en-US" w:eastAsia="en-US" w:bidi="ar-SA"/>
        </w:rPr>
        <w:t xml:space="preserve"> (the "</w:t>
      </w:r>
      <w:r>
        <w:rPr>
          <w:rFonts w:ascii="arial" w:eastAsia="arial" w:hAnsi="arial" w:cs="arial"/>
          <w:b/>
          <w:i/>
          <w:color w:val="000000"/>
          <w:sz w:val="20"/>
          <w:lang w:val="en-US" w:eastAsia="en-US" w:bidi="ar-SA"/>
        </w:rPr>
        <w:t>CPA</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The plaintiffs ask to have the certification application addressed on the basis of a proposed second amended notice of civil claim (the "Proposed NCC"), which very substantially recasts the claim as compared with the "Further Amended Notice of Civil Claim" filed March 27, 2014. Therefore, the plaintiffs also seek leave to amend their pleadings and an order adding new individuals as plaintiffs.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BC Hydro says that the plaintiffs' applications must be dismissed.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xml:space="preserve">  BC Hydro says that the Proposed NCC fails to disclose any reasonable claim. Therefore, not only should the amendments not be granted, but the plaintiffs have also failed to satisfy the requirement under s. 4(1)(a) of the </w:t>
      </w:r>
      <w:r>
        <w:rPr>
          <w:rFonts w:ascii="arial" w:eastAsia="arial" w:hAnsi="arial" w:cs="arial"/>
          <w:b/>
          <w:i/>
          <w:color w:val="000000"/>
          <w:sz w:val="20"/>
          <w:lang w:val="en-US" w:eastAsia="en-US" w:bidi="ar-SA"/>
        </w:rPr>
        <w:t>CPA</w:t>
      </w:r>
      <w:r>
        <w:rPr>
          <w:rFonts w:ascii="arial" w:eastAsia="arial" w:hAnsi="arial" w:cs="arial"/>
          <w:color w:val="000000"/>
          <w:sz w:val="20"/>
          <w:lang w:val="en-US" w:eastAsia="en-US" w:bidi="ar-SA"/>
        </w:rPr>
        <w:t xml:space="preserve"> that the pleadings disclose a cause of action. This is a sufficient reason to dismiss the certification application. BC Hydro submits further that, even if the plaintiffs were able to plead a reasonable claim, they have nevertheless failed to satisfy the remaining requirements for certification under s. 4(1) of the </w:t>
      </w:r>
      <w:r>
        <w:rPr>
          <w:rFonts w:ascii="arial" w:eastAsia="arial" w:hAnsi="arial" w:cs="arial"/>
          <w:b/>
          <w:i/>
          <w:color w:val="000000"/>
          <w:sz w:val="20"/>
          <w:lang w:val="en-US" w:eastAsia="en-US" w:bidi="ar-SA"/>
        </w:rPr>
        <w:t>CPA</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For the reasons that follow, I have concluded that the plaintiffs have failed to satisfy the requirements for certification and the certification application must, accordingly, be dismissed. I have also concluded that the plaintiffs' application to amend their pleadings and add parties as plaintiffs must also be dismissed, but with leave to reapply, based on fresh proposed amendments, provided the plaintiffs do so within 60 days of this judgment.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2. Factual background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xml:space="preserve">  In 2010, the Legislature enacted the </w:t>
      </w:r>
      <w:r>
        <w:rPr>
          <w:rFonts w:ascii="arial" w:eastAsia="arial" w:hAnsi="arial" w:cs="arial"/>
          <w:b/>
          <w:i/>
          <w:color w:val="000000"/>
          <w:sz w:val="20"/>
          <w:lang w:val="en-US" w:eastAsia="en-US" w:bidi="ar-SA"/>
        </w:rPr>
        <w:t>Clean Energy Act</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S.B.C. 2010, c. 22</w:t>
      </w:r>
      <w:r>
        <w:rPr>
          <w:rFonts w:ascii="arial" w:eastAsia="arial" w:hAnsi="arial" w:cs="arial"/>
          <w:color w:val="000000"/>
          <w:sz w:val="20"/>
          <w:lang w:val="en-US" w:eastAsia="en-US" w:bidi="ar-SA"/>
        </w:rPr>
        <w:t xml:space="preserve">. Pursuant to the </w:t>
      </w:r>
      <w:r>
        <w:rPr>
          <w:rFonts w:ascii="arial" w:eastAsia="arial" w:hAnsi="arial" w:cs="arial"/>
          <w:b/>
          <w:i/>
          <w:color w:val="000000"/>
          <w:sz w:val="20"/>
          <w:lang w:val="en-US" w:eastAsia="en-US" w:bidi="ar-SA"/>
        </w:rPr>
        <w:t>Clean Energy Act</w:t>
      </w:r>
      <w:r>
        <w:rPr>
          <w:rFonts w:ascii="arial" w:eastAsia="arial" w:hAnsi="arial" w:cs="arial"/>
          <w:color w:val="000000"/>
          <w:sz w:val="20"/>
          <w:lang w:val="en-US" w:eastAsia="en-US" w:bidi="ar-SA"/>
        </w:rPr>
        <w:t xml:space="preserve"> and the </w:t>
      </w:r>
      <w:r>
        <w:rPr>
          <w:rFonts w:ascii="arial" w:eastAsia="arial" w:hAnsi="arial" w:cs="arial"/>
          <w:b/>
          <w:i/>
          <w:color w:val="000000"/>
          <w:sz w:val="20"/>
          <w:lang w:val="en-US" w:eastAsia="en-US" w:bidi="ar-SA"/>
        </w:rPr>
        <w:t>Smart Meters and Smart Grid Regulation</w:t>
      </w:r>
      <w:r>
        <w:rPr>
          <w:rFonts w:ascii="arial" w:eastAsia="arial" w:hAnsi="arial" w:cs="arial"/>
          <w:color w:val="000000"/>
          <w:sz w:val="20"/>
          <w:lang w:val="en-US" w:eastAsia="en-US" w:bidi="ar-SA"/>
        </w:rPr>
        <w:t xml:space="preserve">, </w:t>
      </w:r>
      <w:hyperlink r:id="rId941" w:history="1">
        <w:r>
          <w:rPr>
            <w:rFonts w:ascii="arial" w:eastAsia="arial" w:hAnsi="arial" w:cs="arial"/>
            <w:i/>
            <w:color w:val="0077CC"/>
            <w:sz w:val="20"/>
            <w:u w:val="single"/>
            <w:shd w:val="clear" w:color="auto" w:fill="FFFFFF"/>
            <w:lang w:val="en-US" w:eastAsia="en-US" w:bidi="ar-SA"/>
          </w:rPr>
          <w:t>B.C. Reg. 368/2010</w:t>
        </w:r>
      </w:hyperlink>
      <w:r>
        <w:rPr>
          <w:rFonts w:ascii="arial" w:eastAsia="arial" w:hAnsi="arial" w:cs="arial"/>
          <w:color w:val="000000"/>
          <w:sz w:val="20"/>
          <w:lang w:val="en-US" w:eastAsia="en-US" w:bidi="ar-SA"/>
        </w:rPr>
        <w:t>, BC Hydro was required to install and put into operation so-called smart meters and related equipment by the end of 2012. Beginning around the summer of 2011, BC Hydro began the process of replacing "legacy meters" (i.e., non-communicating, single-function electromechanical and digital meters) with multi-function meters that communicate wirelessly through the use of radiofrequency technology. These are the "smart meters" in issue in this action.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The move to smart meters generated controversy and very strong feelings among some BC Hydro customers.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Shortly after BC Hydro announced that it would be replacing legacy meters with smart meters, it began receiving complaints from some customers, who refused to permit a smart meter to be installed or who expressed concerns with smart meters. The concerns expressed covered a wide variety of topics, for example: smart meters would cause a billing or rate increase; smart meters would cause a loss of jobs; political concerns; privacy concerns; and health concerns.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According to Fiona Taylor, BC Hydro's Director of Smart Technology Operations and Restoration, BC Hydro received thousands of copies of a form of objection notice with the heading:</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SMART METER NO FEE OPT OUT</w:t>
      </w:r>
    </w:p>
    <w:p>
      <w:pPr>
        <w:spacing w:before="120"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REGISTRATION NOTICE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I will refer to this form as the "Objection Notice."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Individuals who were and are very strongly against smart meters have filed affidavits in support of the certification application.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w:t>
      </w:r>
      <w:r>
        <w:rPr>
          <w:rFonts w:ascii="arial" w:eastAsia="arial" w:hAnsi="arial" w:cs="arial"/>
          <w:color w:val="000000"/>
          <w:sz w:val="20"/>
          <w:lang w:val="en-US" w:eastAsia="en-US" w:bidi="ar-SA"/>
        </w:rPr>
        <w:t>  For example, the plaintiff Nomi Davis says that in 2012, she made it clear to BC Hydro that she and her husband refused to accept the installation of a smart meter at their home. She explained that their refusal had been communicated by way of a written notice conspicuously posted next to the legacy meter, which was mounted on the outside wall of the house. The notice said (among other things) [</w:t>
      </w:r>
      <w:r>
        <w:rPr>
          <w:rFonts w:ascii="arial" w:eastAsia="arial" w:hAnsi="arial" w:cs="arial"/>
          <w:b/>
          <w:color w:val="000000"/>
          <w:sz w:val="20"/>
          <w:lang w:val="en-US" w:eastAsia="en-US" w:bidi="ar-SA"/>
        </w:rPr>
        <w:t>bold</w:t>
      </w:r>
      <w:r>
        <w:rPr>
          <w:rFonts w:ascii="arial" w:eastAsia="arial" w:hAnsi="arial" w:cs="arial"/>
          <w:color w:val="000000"/>
          <w:sz w:val="20"/>
          <w:lang w:val="en-US" w:eastAsia="en-US" w:bidi="ar-SA"/>
        </w:rPr>
        <w:t xml:space="preserve"> in original]:</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NO TRESPASSING</w:t>
      </w:r>
    </w:p>
    <w:p>
      <w:pPr>
        <w:spacing w:before="120"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DO NOT INSTALL SMART METER HERE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THIS IS </w:t>
      </w:r>
      <w:r>
        <w:rPr>
          <w:rFonts w:ascii="arial" w:eastAsia="arial" w:hAnsi="arial" w:cs="arial"/>
          <w:b/>
          <w:color w:val="000000"/>
          <w:sz w:val="20"/>
          <w:lang w:val="en-US" w:eastAsia="en-US" w:bidi="ar-SA"/>
        </w:rPr>
        <w:t>NOTICE</w:t>
      </w:r>
      <w:r>
        <w:rPr>
          <w:rFonts w:ascii="arial" w:eastAsia="arial" w:hAnsi="arial" w:cs="arial"/>
          <w:color w:val="000000"/>
          <w:sz w:val="20"/>
          <w:lang w:val="en-US" w:eastAsia="en-US" w:bidi="ar-SA"/>
        </w:rPr>
        <w:t xml:space="preserve"> OF MY </w:t>
      </w:r>
      <w:r>
        <w:rPr>
          <w:rFonts w:ascii="arial" w:eastAsia="arial" w:hAnsi="arial" w:cs="arial"/>
          <w:b/>
          <w:color w:val="000000"/>
          <w:sz w:val="20"/>
          <w:lang w:val="en-US" w:eastAsia="en-US" w:bidi="ar-SA"/>
        </w:rPr>
        <w:t>REFUSAL TO ACCEPT A "SMART METER"</w:t>
      </w:r>
      <w:r>
        <w:rPr>
          <w:rFonts w:ascii="arial" w:eastAsia="arial" w:hAnsi="arial" w:cs="arial"/>
          <w:color w:val="000000"/>
          <w:sz w:val="20"/>
          <w:lang w:val="en-US" w:eastAsia="en-US" w:bidi="ar-SA"/>
        </w:rPr>
        <w:t xml:space="preserve"> AT THIS </w:t>
      </w:r>
      <w:r>
        <w:rPr>
          <w:rFonts w:ascii="arial" w:eastAsia="arial" w:hAnsi="arial" w:cs="arial"/>
          <w:b/>
          <w:color w:val="000000"/>
          <w:sz w:val="20"/>
          <w:lang w:val="en-US" w:eastAsia="en-US" w:bidi="ar-SA"/>
        </w:rPr>
        <w:t>ADDRESS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w:t>
      </w:r>
      <w:r>
        <w:rPr>
          <w:rFonts w:ascii="arial" w:eastAsia="arial" w:hAnsi="arial" w:cs="arial"/>
          <w:color w:val="000000"/>
          <w:sz w:val="20"/>
          <w:lang w:val="en-US" w:eastAsia="en-US" w:bidi="ar-SA"/>
        </w:rPr>
        <w:t>  Ms. Davis explains that she has a yoga and healing centre that she operates as a business from her home. She says: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 teach Kundalini Yoga which, among other things, deals explicitly with our energy. I am therefore very concerned about the effects of radiofrequency exposure. In order for me to operate my business with integrity, I do my best to ensure that my clients have the safest, healthiest space in which to do their healing.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w:t>
      </w:r>
      <w:r>
        <w:rPr>
          <w:rFonts w:ascii="arial" w:eastAsia="arial" w:hAnsi="arial" w:cs="arial"/>
          <w:color w:val="000000"/>
          <w:sz w:val="20"/>
          <w:lang w:val="en-US" w:eastAsia="en-US" w:bidi="ar-SA"/>
        </w:rPr>
        <w:t>  Ms. Davis says further that she does not operate cordless phones or a Wi-Fi internet router from her home, and she has found that exposure to such radiofrequency technology gives her headaches. She explains (paras. 6-9 of her Affidavit No. 1) that her refusal to "host" a transmitter that "continuously generates and emits microwave radiofrequencies" is based in part on information published by organizations such as Health Canada, the World Health Organization and the International Agency for Cancer Research concerning a "possible link" between radiofrequency exposure and cancer. She says that she understands these organizations are "in agreement that additional research is warranted to clarify this 'possible link' between radiofrequency exposure and cancer," and that, pending the outcome of this additional research, she chooses to take the precaution of eliminating any "constant, regular, on-site source of radiofrequency emissions."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w:t>
      </w:r>
      <w:r>
        <w:rPr>
          <w:rFonts w:ascii="arial" w:eastAsia="arial" w:hAnsi="arial" w:cs="arial"/>
          <w:color w:val="000000"/>
          <w:sz w:val="20"/>
          <w:lang w:val="en-US" w:eastAsia="en-US" w:bidi="ar-SA"/>
        </w:rPr>
        <w:t>  Ms. Davis describes an encounter on August 22, 2012 with two individuals whom she identifies as representatives of BC Hydro. The encounter resulted in her legacy meter being replaced with a smart meter, over Ms. Davis' objections and based on (according to Ms. Davis) misrepresentations made by BC Hydro's representatives. Ms. Davis describes how a reporter and his associate video-recorded her encounter with BC Hydro's representatives. She says that, after the smart meter was installed, she began to get headaches and joint aches when she sat in her dining room (the room in the interior of the house which has a wall opposite to the exterior wall on which the smart meter was installed). Ms. Davis says further that the installation and operation of the smart meter "has interfered with my use and enjoyment of Our Home as a living space and retreat space."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w:t>
      </w:r>
      <w:r>
        <w:rPr>
          <w:rFonts w:ascii="arial" w:eastAsia="arial" w:hAnsi="arial" w:cs="arial"/>
          <w:color w:val="000000"/>
          <w:sz w:val="20"/>
          <w:lang w:val="en-US" w:eastAsia="en-US" w:bidi="ar-SA"/>
        </w:rPr>
        <w:t>  Ms. Davis also describes how she has been assisted in this litigation by an organization known as the Citizens for Safe Technology Society (the "CSTS").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w:t>
      </w:r>
      <w:r>
        <w:rPr>
          <w:rFonts w:ascii="arial" w:eastAsia="arial" w:hAnsi="arial" w:cs="arial"/>
          <w:color w:val="000000"/>
          <w:sz w:val="20"/>
          <w:lang w:val="en-US" w:eastAsia="en-US" w:bidi="ar-SA"/>
        </w:rPr>
        <w:t>  Ms. Davis is proposed as one of the representative plaintiffs for Class A (described below).</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w:t>
      </w:r>
      <w:r>
        <w:rPr>
          <w:rFonts w:ascii="arial" w:eastAsia="arial" w:hAnsi="arial" w:cs="arial"/>
          <w:color w:val="000000"/>
          <w:sz w:val="20"/>
          <w:lang w:val="en-US" w:eastAsia="en-US" w:bidi="ar-SA"/>
        </w:rPr>
        <w:t>  The plaintiff Jessica Klein explains that she and her husband are BC Hydro customers with respect to the supply of power to their home and organic farm. She explains that there are five BC Hydro meters on the property. Three of the accounts are treated as residential and two as commercial. None of the meters is a smart meter. She says that the meter for one of the commercial accounts is situated "in close proximity to a residential dwelling" on her property. Ms. Klein explains that, although BC Hydro has sought access to her property to replace the existing meters, she and her husband have refused. They have posted Objection Notices at the meters. Ms. Klein says that BC Hydro has "acceded" to the retention of the existing residential meters provided a monthly fee is paid, to which Ms. Klein takes strong objection. However, she has not been given that option for the commercial accounts, to which Ms. Klein also takes objection. Ms. Klein says that she is sensitive to electromagnetic frequencies. She explains that she and her husband limit their exposure to radiofrequency emissions, based on their understanding that such emissions may have an adverse biological effect. Ms. Klein says that, in accordance with her health and lifestyle choices, "I choose not to host, at our Property, a transmitter that continuously generates and emits microwave radiofrequencies into my living and working environment all day and all night, 365 days a year." She says further that "As long as the jury is out with respect to biological impacts, I choose to take the precaution of declining to have" a smart meter operate on her property.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w:t>
      </w:r>
      <w:r>
        <w:rPr>
          <w:rFonts w:ascii="arial" w:eastAsia="arial" w:hAnsi="arial" w:cs="arial"/>
          <w:color w:val="000000"/>
          <w:sz w:val="20"/>
          <w:lang w:val="en-US" w:eastAsia="en-US" w:bidi="ar-SA"/>
        </w:rPr>
        <w:t>  Ms. Klein has also been assisted in connection with this litigation by the CSTS.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w:t>
      </w:r>
      <w:r>
        <w:rPr>
          <w:rFonts w:ascii="arial" w:eastAsia="arial" w:hAnsi="arial" w:cs="arial"/>
          <w:color w:val="000000"/>
          <w:sz w:val="20"/>
          <w:lang w:val="en-US" w:eastAsia="en-US" w:bidi="ar-SA"/>
        </w:rPr>
        <w:t>  Ms. Klein is proposed as the representative plaintiff for Class B (also described below).</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w:t>
      </w:r>
      <w:r>
        <w:rPr>
          <w:rFonts w:ascii="arial" w:eastAsia="arial" w:hAnsi="arial" w:cs="arial"/>
          <w:color w:val="000000"/>
          <w:sz w:val="20"/>
          <w:lang w:val="en-US" w:eastAsia="en-US" w:bidi="ar-SA"/>
        </w:rPr>
        <w:t>  Mr. Marcel Gamache describes how he believes he was tricked and lied to by a BC Hydro installer about the workings of a smart meter when one was installed (despite Mr. Gamache's reservations) on a power pole near his trailer home. He describes a wide variety of symptoms he says he has experienced since the smart meter was installed, and says he has not had a decent night's sleep since the installation. He says that his choice is to live in a "domestic environment free from radiofrequency emissions," and that he keeps his cell phone off except for emergencies. He complains that, after the smart meter was installed at his property, BC Hydro did not offer him the chance to opt out of having a smart meter there.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w:t>
      </w:r>
      <w:r>
        <w:rPr>
          <w:rFonts w:ascii="arial" w:eastAsia="arial" w:hAnsi="arial" w:cs="arial"/>
          <w:color w:val="000000"/>
          <w:sz w:val="20"/>
          <w:lang w:val="en-US" w:eastAsia="en-US" w:bidi="ar-SA"/>
        </w:rPr>
        <w:t>  Mr. Norman Moffat says that in the spring of 2012, he received a letter from BC Hydro informing him of its intention to replace two legacy meters, located on a power pole outside his home, with smart meters. According to Mr. Moffat: "I believe it is my right, rather than a privilege, to decide against hosting an on-site radiofrequency transmitter on my very own property." He explains that, on receipt of the letter, he immediately phoned BC Hydro to voice his objection. Despite that, in April 2012, one of the old meters was replaced with a smart meter. Mr. Moffat says that he then sent an Objection Notice to BC Hydro. In addition, he sent an e-mail communication demanding removal. The e-mail appears to be in a form prepared by the CSTS, as part of the Society's "Smart Meter Action Kit."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w:t>
      </w:r>
      <w:r>
        <w:rPr>
          <w:rFonts w:ascii="arial" w:eastAsia="arial" w:hAnsi="arial" w:cs="arial"/>
          <w:color w:val="000000"/>
          <w:sz w:val="20"/>
          <w:lang w:val="en-US" w:eastAsia="en-US" w:bidi="ar-SA"/>
        </w:rPr>
        <w:t>  Dr. Dharmesh Natha, a medical doctor practicing in White Rock, explains that he suffers from "debilitating symptoms of ill health upon my exposure to radiofrequency emissions." According to Dr. Natha, the meters for his business office are located in an adjacent business premises. He describes how a BC Hydro representative replaced analogue meters for his business office with smart meters, against his will.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w:t>
      </w:r>
      <w:r>
        <w:rPr>
          <w:rFonts w:ascii="arial" w:eastAsia="arial" w:hAnsi="arial" w:cs="arial"/>
          <w:color w:val="000000"/>
          <w:sz w:val="20"/>
          <w:lang w:val="en-US" w:eastAsia="en-US" w:bidi="ar-SA"/>
        </w:rPr>
        <w:t>  Mr. Jurgen Goering says that, "for health reasons," he chooses that his "domestic environment [be] free from the constant operation of an on-site radiofrequency-emitting transmitter." He says that BC Hydro has "imposed" smart meters at two properties owned by him. He explains that, in 2011, he wrote to BC Hydro objecting to the installation of a smart meter at a recreational property. In the spring of 2012, he affixed a notice to an electrical panel containing hydro meters at a small apartment complex (containing four separate apartments) he owns in Nanaimo. The notice is in the same form as the notice posted by Ms. Davis. He says that, despite the notice, BC Hydro replaced one of the legacy meters with a smart meter. Mr. Goering explains that he then decided "to take additional measures to protect myself against further exposure to radiofrequency radiation" at the apartment complex, and he then constructed a wooden barrier for the three remaining legacy meters. The barrier was secured with padlocks. Mr. Goering then affixed another copy of his notice to the barrier. He claims that the barrier was later forcibly broken by a BC Hydro installer, who then installed a smart meter. Mr. Goering describes this as the "Forced Installation." Mr. Goering told the installer he was trespassing and called the police when the installer would not leave. Mr. Goering was interviewed about the "Forced Installation" for an article in the Nanaimo Daily News.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w:t>
      </w:r>
      <w:r>
        <w:rPr>
          <w:rFonts w:ascii="arial" w:eastAsia="arial" w:hAnsi="arial" w:cs="arial"/>
          <w:color w:val="000000"/>
          <w:sz w:val="20"/>
          <w:lang w:val="en-US" w:eastAsia="en-US" w:bidi="ar-SA"/>
        </w:rPr>
        <w:t>  Mr. Tim O'Connor, who is proposed to be added as a named plaintiff, says that, until late October 2012, consumption of power at his home was measured by a legacy meter. He explains that, sometime prior to May 2012, he became aware of BC Hydro's intention to remove that meter and replace it with a smart meter. He then posted a sign on the exterior wall of his home, beside the legacy meter, which stated: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Smart Meter Free Zone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Do Not Install Smart Meter Here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w:t>
      </w:r>
      <w:r>
        <w:rPr>
          <w:rFonts w:ascii="arial" w:eastAsia="arial" w:hAnsi="arial" w:cs="arial"/>
          <w:color w:val="000000"/>
          <w:sz w:val="20"/>
          <w:lang w:val="en-US" w:eastAsia="en-US" w:bidi="ar-SA"/>
        </w:rPr>
        <w:t>  Mr. O'Connor says that the sign remains in place. However, the legacy meter is no longer there. He explains that, in August 2012, he installed a cage around the old meter such that the sign and face of the meter were visible and access to the meter was controlled by a locking ring secured by a padlock. Mr. O'Connor says that, on October 27, 2012, he observed that the cage had been broken open and the old meter replaced by a smart meter. He says that he asked BC Hydro to remove the smart meter, but it refused. Mr. O'Connor says that "I choose not to host, at My Home, any device that continuously emits radiofrequency radiation all through the day and night." He explains further how he chooses to take precautions with respect to his exposure to radiofrequency radiation at his home, in particular, unplugging his Wi-Fi router and cordless phone at night. Mr. O'Connor says that he no longer carries a cell phone.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w:t>
      </w:r>
      <w:r>
        <w:rPr>
          <w:rFonts w:ascii="arial" w:eastAsia="arial" w:hAnsi="arial" w:cs="arial"/>
          <w:color w:val="000000"/>
          <w:sz w:val="20"/>
          <w:lang w:val="en-US" w:eastAsia="en-US" w:bidi="ar-SA"/>
        </w:rPr>
        <w:t>  Mr. O'Connor is proposed as one of the representative plaintiffs for Class 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w:t>
      </w:r>
      <w:r>
        <w:rPr>
          <w:rFonts w:ascii="arial" w:eastAsia="arial" w:hAnsi="arial" w:cs="arial"/>
          <w:color w:val="000000"/>
          <w:sz w:val="20"/>
          <w:lang w:val="en-US" w:eastAsia="en-US" w:bidi="ar-SA"/>
        </w:rPr>
        <w:t>  Sharon Noble is proposed to be added as a named plaintiff in this action and is one of the proposed representative plaintiffs for Class C (described below). She describes herself as a volunteer with an unincorporated group called the "Coalition to Stop Smart Meters" (the "Coalition"). Ms. Noble explains that the Coalition works with the CSTS "in opposing BC Hydro's imposition of radiofrequency-emitting meters on its customers." Ms. Noble says that her "choice is to be free from the operation of" a smart meter in her home. She says that, as of late September 2013, she had "successfully resisted" the installation of a smart meter at her home, which still had a legacy meter. She says that, in the fall of 2013, BC Hydro sent her correspondence inviting her to make an election under the "Meter Choices Program," and informing her that if she failed to communicate a choice by the deadline, she would be deemed to have chosen to pay an opt-out fee to keep the legacy meter. Ms. Noble explains that she did not communicate a choice to BC Hydro by the deadline, and, thereafter, was invoiced for the opt-out fee. Ms. Noble strongly objects to this.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w:t>
      </w:r>
      <w:r>
        <w:rPr>
          <w:rFonts w:ascii="arial" w:eastAsia="arial" w:hAnsi="arial" w:cs="arial"/>
          <w:color w:val="000000"/>
          <w:sz w:val="20"/>
          <w:lang w:val="en-US" w:eastAsia="en-US" w:bidi="ar-SA"/>
        </w:rPr>
        <w:t>  Sharon Schnurr is also proposed to be added as a plaintiff and is one of the proposed representative plaintiffs for Class C. She explains that she is unemployed and dependent on welfare and disability benefits. Ms. Schnurr lives in a home that she co-owns with her parents, and she says that her choice is to be free of a radiofrequency emitting meter at her home. Ms. Schnurr says that, as of late September 2013, she had "successfully resisted" the installation of a smart meter at her home, where there was a legacy meter. She explains that, during the fall of 2013, she received correspondence from BC Hydro concerning the "Meter Choices Program," inviting her to make an election. She did not communicate an election by the deadline, and began receiving a monthly invoice for an opt-out fee. In late April 2014, Ms. Schnurr contacted BC Hydro and informed it that she would have to accept a smart meter because she could not afford the opt-out fee. She explains that BC Hydro stopped charging her an opt-out fee as of that date. However, Ms. Schnurr says that "against my will," BC Hydro installed and commenced operation of a smart meter at her home in February 2015.</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w:t>
      </w:r>
      <w:r>
        <w:rPr>
          <w:rFonts w:ascii="arial" w:eastAsia="arial" w:hAnsi="arial" w:cs="arial"/>
          <w:color w:val="000000"/>
          <w:sz w:val="20"/>
          <w:lang w:val="en-US" w:eastAsia="en-US" w:bidi="ar-SA"/>
        </w:rPr>
        <w:t>  The CSTS also actively took up the cause of those opposing smart meters. Its executive director, Una St. Clair, has sworn an affidavit in support of the certification application.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34</w:t>
      </w:r>
      <w:r>
        <w:rPr>
          <w:rFonts w:ascii="arial" w:eastAsia="arial" w:hAnsi="arial" w:cs="arial"/>
          <w:color w:val="000000"/>
          <w:sz w:val="20"/>
          <w:lang w:val="en-US" w:eastAsia="en-US" w:bidi="ar-SA"/>
        </w:rPr>
        <w:t xml:space="preserve">  In September 2011, the CSTS and Ms. St. Clair filed a complaint with the B.C. Human Rights Tribunal (the "BCHRT") against BC Hydro. The complaint was brought in a representative capacity on behalf of (as subsequently amended and re-cast) persons allegedly diagnosed or identified by a medical practitioner as having electro-hypersensitivity who have been advised to avoid wireless technology. The complaint was summarily dismissed in September 2014 (see </w:t>
      </w:r>
      <w:r>
        <w:rPr>
          <w:rFonts w:ascii="arial" w:eastAsia="arial" w:hAnsi="arial" w:cs="arial"/>
          <w:b/>
          <w:i/>
          <w:color w:val="000000"/>
          <w:sz w:val="20"/>
          <w:lang w:val="en-US" w:eastAsia="en-US" w:bidi="ar-SA"/>
        </w:rPr>
        <w:t>Citizens for Safe Technology Society obo others v. B.C. Hydro and Power Authority (No. 3)</w:t>
      </w:r>
      <w:r>
        <w:rPr>
          <w:rFonts w:ascii="arial" w:eastAsia="arial" w:hAnsi="arial" w:cs="arial"/>
          <w:color w:val="000000"/>
          <w:sz w:val="20"/>
          <w:lang w:val="en-US" w:eastAsia="en-US" w:bidi="ar-SA"/>
        </w:rPr>
        <w:t xml:space="preserve">, </w:t>
      </w:r>
      <w:hyperlink r:id="rId943" w:history="1">
        <w:r>
          <w:rPr>
            <w:rFonts w:ascii="arial" w:eastAsia="arial" w:hAnsi="arial" w:cs="arial"/>
            <w:i/>
            <w:color w:val="0077CC"/>
            <w:sz w:val="20"/>
            <w:u w:val="single"/>
            <w:shd w:val="clear" w:color="auto" w:fill="FFFFFF"/>
            <w:lang w:val="en-US" w:eastAsia="en-US" w:bidi="ar-SA"/>
          </w:rPr>
          <w:t>2014 BCHRT 211</w:t>
        </w:r>
      </w:hyperlink>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35</w:t>
      </w:r>
      <w:r>
        <w:rPr>
          <w:rFonts w:ascii="arial" w:eastAsia="arial" w:hAnsi="arial" w:cs="arial"/>
          <w:color w:val="000000"/>
          <w:sz w:val="20"/>
          <w:lang w:val="en-US" w:eastAsia="en-US" w:bidi="ar-SA"/>
        </w:rPr>
        <w:t xml:space="preserve">  In December 2011, Mr. Aaron, acting on behalf of the CSTS and Andrea Collins, filed a complaint under s. 47 of the </w:t>
      </w:r>
      <w:r>
        <w:rPr>
          <w:rFonts w:ascii="arial" w:eastAsia="arial" w:hAnsi="arial" w:cs="arial"/>
          <w:b/>
          <w:i/>
          <w:color w:val="000000"/>
          <w:sz w:val="20"/>
          <w:lang w:val="en-US" w:eastAsia="en-US" w:bidi="ar-SA"/>
        </w:rPr>
        <w:t>Utilities Commission Act</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R.S.B.C. 1996, c. 473</w:t>
      </w:r>
      <w:r>
        <w:rPr>
          <w:rFonts w:ascii="arial" w:eastAsia="arial" w:hAnsi="arial" w:cs="arial"/>
          <w:color w:val="000000"/>
          <w:sz w:val="20"/>
          <w:lang w:val="en-US" w:eastAsia="en-US" w:bidi="ar-SA"/>
        </w:rPr>
        <w:t xml:space="preserve">, with the B.C. Utilities Commission (the "BCUC"). That complaint and an application to the BCUC for reconsideration were rejected, and an application for leave to appeal the reconsideration decision was dismissed by the Court of Appeal (see </w:t>
      </w:r>
      <w:r>
        <w:rPr>
          <w:rFonts w:ascii="arial" w:eastAsia="arial" w:hAnsi="arial" w:cs="arial"/>
          <w:b/>
          <w:i/>
          <w:color w:val="000000"/>
          <w:sz w:val="20"/>
          <w:lang w:val="en-US" w:eastAsia="en-US" w:bidi="ar-SA"/>
        </w:rPr>
        <w:t>Collins v. British Columbia Utilities Commission</w:t>
      </w:r>
      <w:r>
        <w:rPr>
          <w:rFonts w:ascii="arial" w:eastAsia="arial" w:hAnsi="arial" w:cs="arial"/>
          <w:color w:val="000000"/>
          <w:sz w:val="20"/>
          <w:lang w:val="en-US" w:eastAsia="en-US" w:bidi="ar-SA"/>
        </w:rPr>
        <w:t xml:space="preserve">, </w:t>
      </w:r>
      <w:hyperlink r:id="rId944" w:history="1">
        <w:r>
          <w:rPr>
            <w:rFonts w:ascii="arial" w:eastAsia="arial" w:hAnsi="arial" w:cs="arial"/>
            <w:i/>
            <w:color w:val="0077CC"/>
            <w:sz w:val="20"/>
            <w:u w:val="single"/>
            <w:shd w:val="clear" w:color="auto" w:fill="FFFFFF"/>
            <w:lang w:val="en-US" w:eastAsia="en-US" w:bidi="ar-SA"/>
          </w:rPr>
          <w:t>2012 BCCA 455</w:t>
        </w:r>
      </w:hyperlink>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36</w:t>
      </w:r>
      <w:r>
        <w:rPr>
          <w:rFonts w:ascii="arial" w:eastAsia="arial" w:hAnsi="arial" w:cs="arial"/>
          <w:color w:val="000000"/>
          <w:sz w:val="20"/>
          <w:lang w:val="en-US" w:eastAsia="en-US" w:bidi="ar-SA"/>
        </w:rPr>
        <w:t>  The CSTS also participated as an intervenor in an application made in July 2012 by FortisBC Inc. to the BCUC in relation to FortisBC's smart meter program. In relation to that participation, the CSTS filed a great deal of material, some of which is attached as exhibits to Ms. St. Clair's Affidavit No. 1. This material included: a report from Dr. Martin Blank, who is stated to be a member of the Department of Physiology and Cellular Biophysics at Columbia University, College of Physicians and Surgeons; a "Commentary on Questions by David M. Aaron Esq." prepared by Karl H. Maret, who describes himself as "the President of the non-profit Dove Health Alliance foundation" and who (in the Commentary) states that he holds the degree of Doctor of Medicine from the University of Toronto; and a lengthy written submission prepared by Mr. Aaron.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37</w:t>
      </w:r>
      <w:r>
        <w:rPr>
          <w:rFonts w:ascii="arial" w:eastAsia="arial" w:hAnsi="arial" w:cs="arial"/>
          <w:color w:val="000000"/>
          <w:sz w:val="20"/>
          <w:lang w:val="en-US" w:eastAsia="en-US" w:bidi="ar-SA"/>
        </w:rPr>
        <w:t>  The plaintiffs rely on the material from Dr. Blank and Dr. Maret (and others) attached to Ms. St. Clair's affidavit as evidence tendered to show the existence of the material and the existence of health concerns. BC Hydro says that this material is inadmissible for any relevant purpose on this application. I will return to it in my discussion of the certification requirements, in particular, s. 4(1)(c) regarding common issues.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38</w:t>
      </w:r>
      <w:r>
        <w:rPr>
          <w:rFonts w:ascii="arial" w:eastAsia="arial" w:hAnsi="arial" w:cs="arial"/>
          <w:color w:val="000000"/>
          <w:sz w:val="20"/>
          <w:lang w:val="en-US" w:eastAsia="en-US" w:bidi="ar-SA"/>
        </w:rPr>
        <w:t>  By the summer of 2013, smart meters had been installed for the vast majority of BC Hydro's customers.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39</w:t>
      </w:r>
      <w:r>
        <w:rPr>
          <w:rFonts w:ascii="arial" w:eastAsia="arial" w:hAnsi="arial" w:cs="arial"/>
          <w:color w:val="000000"/>
          <w:sz w:val="20"/>
          <w:lang w:val="en-US" w:eastAsia="en-US" w:bidi="ar-SA"/>
        </w:rPr>
        <w:t xml:space="preserve">  On July 18, 2013, the Province announced the introduction of the "Meter Choices Program." Under this program, residential customers who did not already have a smart meter installed on their property as of the date of announcement of the program were provided with opt-out options. (No options were available to residential customers who already had a smart meter installed.) The Province implemented the Meter Choices Program through the enactment of </w:t>
      </w:r>
      <w:r>
        <w:rPr>
          <w:rFonts w:ascii="arial" w:eastAsia="arial" w:hAnsi="arial" w:cs="arial"/>
          <w:b/>
          <w:i/>
          <w:color w:val="000000"/>
          <w:sz w:val="20"/>
          <w:lang w:val="en-US" w:eastAsia="en-US" w:bidi="ar-SA"/>
        </w:rPr>
        <w:t>Direction No. 4 to the British Columbia Utilities Commission</w:t>
      </w:r>
      <w:r>
        <w:rPr>
          <w:rFonts w:ascii="arial" w:eastAsia="arial" w:hAnsi="arial" w:cs="arial"/>
          <w:color w:val="000000"/>
          <w:sz w:val="20"/>
          <w:lang w:val="en-US" w:eastAsia="en-US" w:bidi="ar-SA"/>
        </w:rPr>
        <w:t xml:space="preserve">, </w:t>
      </w:r>
      <w:hyperlink r:id="rId939" w:history="1">
        <w:r>
          <w:rPr>
            <w:rFonts w:ascii="arial" w:eastAsia="arial" w:hAnsi="arial" w:cs="arial"/>
            <w:i/>
            <w:color w:val="0077CC"/>
            <w:sz w:val="20"/>
            <w:u w:val="single"/>
            <w:shd w:val="clear" w:color="auto" w:fill="FFFFFF"/>
            <w:lang w:val="en-US" w:eastAsia="en-US" w:bidi="ar-SA"/>
          </w:rPr>
          <w:t>B.C. Reg. 203/2013</w:t>
        </w:r>
      </w:hyperlink>
      <w:r>
        <w:rPr>
          <w:rFonts w:ascii="arial" w:eastAsia="arial" w:hAnsi="arial" w:cs="arial"/>
          <w:color w:val="000000"/>
          <w:sz w:val="20"/>
          <w:lang w:val="en-US" w:eastAsia="en-US" w:bidi="ar-SA"/>
        </w:rPr>
        <w:t xml:space="preserve"> ("</w:t>
      </w:r>
      <w:r>
        <w:rPr>
          <w:rFonts w:ascii="arial" w:eastAsia="arial" w:hAnsi="arial" w:cs="arial"/>
          <w:b/>
          <w:i/>
          <w:color w:val="000000"/>
          <w:sz w:val="20"/>
          <w:lang w:val="en-US" w:eastAsia="en-US" w:bidi="ar-SA"/>
        </w:rPr>
        <w:t>Direction No. 4</w:t>
      </w:r>
      <w:r>
        <w:rPr>
          <w:rFonts w:ascii="arial" w:eastAsia="arial" w:hAnsi="arial" w:cs="arial"/>
          <w:color w:val="000000"/>
          <w:sz w:val="20"/>
          <w:lang w:val="en-US" w:eastAsia="en-US" w:bidi="ar-SA"/>
        </w:rPr>
        <w:t xml:space="preserve">"). </w:t>
      </w:r>
      <w:r>
        <w:rPr>
          <w:rFonts w:ascii="arial" w:eastAsia="arial" w:hAnsi="arial" w:cs="arial"/>
          <w:b/>
          <w:i/>
          <w:color w:val="000000"/>
          <w:sz w:val="20"/>
          <w:lang w:val="en-US" w:eastAsia="en-US" w:bidi="ar-SA"/>
        </w:rPr>
        <w:t>Direction No. 4</w:t>
      </w:r>
      <w:r>
        <w:rPr>
          <w:rFonts w:ascii="arial" w:eastAsia="arial" w:hAnsi="arial" w:cs="arial"/>
          <w:color w:val="000000"/>
          <w:sz w:val="20"/>
          <w:lang w:val="en-US" w:eastAsia="en-US" w:bidi="ar-SA"/>
        </w:rPr>
        <w:t xml:space="preserve"> is one of the Impugned Provisions. The BCUC, pursuant to </w:t>
      </w:r>
      <w:r>
        <w:rPr>
          <w:rFonts w:ascii="arial" w:eastAsia="arial" w:hAnsi="arial" w:cs="arial"/>
          <w:b/>
          <w:i/>
          <w:color w:val="000000"/>
          <w:sz w:val="20"/>
          <w:lang w:val="en-US" w:eastAsia="en-US" w:bidi="ar-SA"/>
        </w:rPr>
        <w:t>Direction No. 4</w:t>
      </w:r>
      <w:r>
        <w:rPr>
          <w:rFonts w:ascii="arial" w:eastAsia="arial" w:hAnsi="arial" w:cs="arial"/>
          <w:color w:val="000000"/>
          <w:sz w:val="20"/>
          <w:lang w:val="en-US" w:eastAsia="en-US" w:bidi="ar-SA"/>
        </w:rPr>
        <w:t xml:space="preserve">, subsequently approved new tariff items and charges in relation to the Meter Choices Program. These included charges to keep a legacy meter or to have a smart meter with the radio off. All of these are included in the Impugned Provisions and the Impugned Conduct, which the plaintiffs assert breach s. 7 of the </w:t>
      </w:r>
      <w:r>
        <w:rPr>
          <w:rFonts w:ascii="arial" w:eastAsia="arial" w:hAnsi="arial" w:cs="arial"/>
          <w:b/>
          <w:i/>
          <w:color w:val="000000"/>
          <w:sz w:val="20"/>
          <w:lang w:val="en-US" w:eastAsia="en-US" w:bidi="ar-SA"/>
        </w:rPr>
        <w:t>Charter</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40</w:t>
      </w:r>
      <w:r>
        <w:rPr>
          <w:rFonts w:ascii="arial" w:eastAsia="arial" w:hAnsi="arial" w:cs="arial"/>
          <w:color w:val="000000"/>
          <w:sz w:val="20"/>
          <w:lang w:val="en-US" w:eastAsia="en-US" w:bidi="ar-SA"/>
        </w:rPr>
        <w:t>  BC Hydro has filed an affidavit sworn by Mr. Wayne Cross, a professional engineer employed by BC Hydro as a senior manager for the Smart Meter Initiative. Mr. Cross discusses some of the factual matters that would require investigation when considering an individual's exposure to radiofrequency emissions from a smart meter.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41</w:t>
      </w:r>
      <w:r>
        <w:rPr>
          <w:rFonts w:ascii="arial" w:eastAsia="arial" w:hAnsi="arial" w:cs="arial"/>
          <w:color w:val="000000"/>
          <w:sz w:val="20"/>
          <w:lang w:val="en-US" w:eastAsia="en-US" w:bidi="ar-SA"/>
        </w:rPr>
        <w:t>  According to Mr. Cross, there is no prescribed standard or uniform location for a meter at a residential premises. Mr. Cross explains that BC Hydro does not keep detailed records of where the meter is located for its residential customers.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42</w:t>
      </w:r>
      <w:r>
        <w:rPr>
          <w:rFonts w:ascii="arial" w:eastAsia="arial" w:hAnsi="arial" w:cs="arial"/>
          <w:color w:val="000000"/>
          <w:sz w:val="20"/>
          <w:lang w:val="en-US" w:eastAsia="en-US" w:bidi="ar-SA"/>
        </w:rPr>
        <w:t>  Mr. Cross describes the wide variety in the location of meters in residential premises (both single family detached homes and multi-unit dwellings such as apartments, condominiums, townhouses and row houses). According to Mr. Cross, in relation to single family homes, the meter can be located: on the exterior of the house (typically closest to where BC Hydro provides service); on a pole away from the house (the pole might be located on the property line or elsewhere on the property); on an out-building (e.g., a garage or shed); or (in some older homes) inside the home. There may be multiple meters for one customer in a single-family home. According to Mr. Cross, multi-unit buildings may have one meter for the entire building, or multiple meters. In smaller apartment buildings, meters are typically grouped together in a utility room in the basement. In taller apartment or condo towers, typically there is a meter centre (or "meter closet") in a hallway on every third floor, which contains the meters for the floor on which the meter centre is located plus the floors immediately above and below. According to Mr. Cross, for a duplex, triplex or fourplex, the meter configuration is often similar to a single-family home, but with all the meters located in one place on the outside of the building.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43</w:t>
      </w:r>
      <w:r>
        <w:rPr>
          <w:rFonts w:ascii="arial" w:eastAsia="arial" w:hAnsi="arial" w:cs="arial"/>
          <w:color w:val="000000"/>
          <w:sz w:val="20"/>
          <w:lang w:val="en-US" w:eastAsia="en-US" w:bidi="ar-SA"/>
        </w:rPr>
        <w:t>  Ms. Taylor provided information about the potential class size. According to Ms. Taylor, as of June 2015, BC Hydro had about 1.9 million customers. Ms. Taylor explained that, each day, new customers start taking service from BC Hydro and existing customers cease service, so the number is constantly in flux. As of June 3, 2015, BC Hydro had about 1.7 million customer accounts that took residential service, and about 217,000 accounts that took non-residential service.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44</w:t>
      </w:r>
      <w:r>
        <w:rPr>
          <w:rFonts w:ascii="arial" w:eastAsia="arial" w:hAnsi="arial" w:cs="arial"/>
          <w:color w:val="000000"/>
          <w:sz w:val="20"/>
          <w:lang w:val="en-US" w:eastAsia="en-US" w:bidi="ar-SA"/>
        </w:rPr>
        <w:t>  Ms. Taylor explains that only customers who took residential service were potentially eligible for the Meter Choices Program. As of September 2013, there were 68,078 customers eligible at the beginning of the Program. At the end of the enrollment period in December 2013, 48,242 eligible customers had selected the smart meter option, and 19,836 eligible customers selected or were deemed to have selected the legacy or radio-off meter option. According to Ms. Taylor, since December 2013, the total number of legacy meters and radio-off meters has fallen and continues to fall.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3. The Certification requirements: overview</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45</w:t>
      </w:r>
      <w:r>
        <w:rPr>
          <w:rFonts w:ascii="arial" w:eastAsia="arial" w:hAnsi="arial" w:cs="arial"/>
          <w:color w:val="000000"/>
          <w:sz w:val="20"/>
          <w:lang w:val="en-US" w:eastAsia="en-US" w:bidi="ar-SA"/>
        </w:rPr>
        <w:t xml:space="preserve">  The </w:t>
      </w:r>
      <w:r>
        <w:rPr>
          <w:rFonts w:ascii="arial" w:eastAsia="arial" w:hAnsi="arial" w:cs="arial"/>
          <w:b/>
          <w:i/>
          <w:color w:val="000000"/>
          <w:sz w:val="20"/>
          <w:lang w:val="en-US" w:eastAsia="en-US" w:bidi="ar-SA"/>
        </w:rPr>
        <w:t>CPA</w:t>
      </w:r>
      <w:r>
        <w:rPr>
          <w:rFonts w:ascii="arial" w:eastAsia="arial" w:hAnsi="arial" w:cs="arial"/>
          <w:color w:val="000000"/>
          <w:sz w:val="20"/>
          <w:lang w:val="en-US" w:eastAsia="en-US" w:bidi="ar-SA"/>
        </w:rPr>
        <w:t xml:space="preserve"> s. 4 provides: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Class certification</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4 (1) The court must certify a proceeding as a class proceeding on an application under section 2 or 3 if all of the following requirements are met:</w:t>
      </w:r>
    </w:p>
    <w:p>
      <w:pPr>
        <w:numPr>
          <w:numId w:val="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pleadings disclose a cause of action;</w:t>
      </w:r>
    </w:p>
    <w:p>
      <w:pPr>
        <w:numPr>
          <w:numId w:val="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there is an identifiable class of 2 or more persons;</w:t>
      </w:r>
    </w:p>
    <w:p>
      <w:pPr>
        <w:numPr>
          <w:numId w:val="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claims of the class members raise common issues, whether or not those common issues predominate over issues affecting only individual members;</w:t>
      </w:r>
    </w:p>
    <w:p>
      <w:pPr>
        <w:numPr>
          <w:numId w:val="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 class proceeding would be the preferable procedure for the fair and efficient resolution of the common issues;</w:t>
      </w:r>
    </w:p>
    <w:p>
      <w:pPr>
        <w:numPr>
          <w:numId w:val="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there is a representative plaintiff who</w:t>
      </w:r>
    </w:p>
    <w:p>
      <w:pPr>
        <w:numPr>
          <w:numId w:val="3"/>
        </w:numPr>
        <w:tabs>
          <w:tab w:val="clear" w:pos="1840"/>
          <w:tab w:val="num" w:pos="2200"/>
        </w:tabs>
        <w:spacing w:before="120" w:line="260" w:lineRule="atLeast"/>
        <w:ind w:left="2200"/>
        <w:jc w:val="both"/>
        <w:rPr>
          <w:rFonts w:ascii="arial" w:eastAsia="arial" w:hAnsi="arial" w:cs="arial"/>
          <w:sz w:val="20"/>
          <w:lang w:val="en-US" w:eastAsia="en-US" w:bidi="ar-SA"/>
        </w:rPr>
      </w:pPr>
      <w:r>
        <w:rPr>
          <w:rFonts w:ascii="arial" w:eastAsia="arial" w:hAnsi="arial" w:cs="arial"/>
          <w:color w:val="000000"/>
          <w:sz w:val="20"/>
          <w:lang w:val="en-US" w:eastAsia="en-US" w:bidi="ar-SA"/>
        </w:rPr>
        <w:t>would fairly and adequately represent the interests of the class,</w:t>
      </w:r>
    </w:p>
    <w:p>
      <w:pPr>
        <w:numPr>
          <w:numId w:val="4"/>
        </w:numPr>
        <w:tabs>
          <w:tab w:val="clear" w:pos="1480"/>
          <w:tab w:val="num" w:pos="2200"/>
        </w:tabs>
        <w:spacing w:before="120" w:line="260" w:lineRule="atLeast"/>
        <w:ind w:left="2200"/>
        <w:jc w:val="both"/>
        <w:rPr>
          <w:rFonts w:ascii="arial" w:eastAsia="arial" w:hAnsi="arial" w:cs="arial"/>
          <w:sz w:val="20"/>
          <w:lang w:val="en-US" w:eastAsia="en-US" w:bidi="ar-SA"/>
        </w:rPr>
      </w:pPr>
      <w:r>
        <w:rPr>
          <w:rFonts w:ascii="arial" w:eastAsia="arial" w:hAnsi="arial" w:cs="arial"/>
          <w:color w:val="000000"/>
          <w:sz w:val="20"/>
          <w:lang w:val="en-US" w:eastAsia="en-US" w:bidi="ar-SA"/>
        </w:rPr>
        <w:t>has produced a plan for the proceeding that sets out a workable method of advancing the proceeding on behalf of the class and of notifying class members of the proceeding, and</w:t>
      </w:r>
    </w:p>
    <w:p>
      <w:pPr>
        <w:numPr>
          <w:numId w:val="5"/>
        </w:numPr>
        <w:tabs>
          <w:tab w:val="clear" w:pos="1840"/>
          <w:tab w:val="num" w:pos="2200"/>
        </w:tabs>
        <w:spacing w:before="120" w:line="260" w:lineRule="atLeast"/>
        <w:ind w:left="2200"/>
        <w:jc w:val="both"/>
        <w:rPr>
          <w:rFonts w:ascii="arial" w:eastAsia="arial" w:hAnsi="arial" w:cs="arial"/>
          <w:sz w:val="20"/>
          <w:lang w:val="en-US" w:eastAsia="en-US" w:bidi="ar-SA"/>
        </w:rPr>
      </w:pPr>
      <w:r>
        <w:rPr>
          <w:rFonts w:ascii="arial" w:eastAsia="arial" w:hAnsi="arial" w:cs="arial"/>
          <w:color w:val="000000"/>
          <w:sz w:val="20"/>
          <w:lang w:val="en-US" w:eastAsia="en-US" w:bidi="ar-SA"/>
        </w:rPr>
        <w:t>does not have, on the common issues, an interest that is in conflict with the interests of other class members.</w:t>
      </w:r>
    </w:p>
    <w:p>
      <w:pPr>
        <w:numPr>
          <w:numId w:val="6"/>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In determining whether a class proceeding would be the preferable procedure for the fair and efficient resolution of the common issues, the court must consider all relevant matters including the following:</w:t>
      </w:r>
    </w:p>
    <w:p>
      <w:pPr>
        <w:numPr>
          <w:numId w:val="7"/>
        </w:numPr>
        <w:tabs>
          <w:tab w:val="clear" w:pos="112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whether questions of fact or law common to the members of the class predominate over any questions affecting only individual members;</w:t>
      </w:r>
    </w:p>
    <w:p>
      <w:pPr>
        <w:numPr>
          <w:numId w:val="7"/>
        </w:numPr>
        <w:tabs>
          <w:tab w:val="clear" w:pos="112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whether a significant number of the members of the class have a valid interest in individually controlling the prosecution of separate actions;</w:t>
      </w:r>
    </w:p>
    <w:p>
      <w:pPr>
        <w:numPr>
          <w:numId w:val="7"/>
        </w:numPr>
        <w:tabs>
          <w:tab w:val="clear" w:pos="112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whether the class proceeding would involve claims that are or have been the subject of any other proceedings;</w:t>
      </w:r>
    </w:p>
    <w:p>
      <w:pPr>
        <w:numPr>
          <w:numId w:val="7"/>
        </w:numPr>
        <w:tabs>
          <w:tab w:val="clear" w:pos="112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whether other means of resolving the claims are less practical or less efficient;</w:t>
      </w:r>
    </w:p>
    <w:p>
      <w:pPr>
        <w:numPr>
          <w:numId w:val="7"/>
        </w:numPr>
        <w:tabs>
          <w:tab w:val="clear" w:pos="112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whether the administration of the class proceeding would create greater difficulties than those likely to be experienced if relief were sought by other means.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46</w:t>
      </w:r>
      <w:r>
        <w:rPr>
          <w:rFonts w:ascii="arial" w:eastAsia="arial" w:hAnsi="arial" w:cs="arial"/>
          <w:color w:val="000000"/>
          <w:sz w:val="20"/>
          <w:lang w:val="en-US" w:eastAsia="en-US" w:bidi="ar-SA"/>
        </w:rPr>
        <w:t>  If the requirements of s. 4(1) are satisfied, the court must certify the proceeding as a class proceeding.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47</w:t>
      </w:r>
      <w:r>
        <w:rPr>
          <w:rFonts w:ascii="arial" w:eastAsia="arial" w:hAnsi="arial" w:cs="arial"/>
          <w:color w:val="000000"/>
          <w:sz w:val="20"/>
          <w:lang w:val="en-US" w:eastAsia="en-US" w:bidi="ar-SA"/>
        </w:rPr>
        <w:t xml:space="preserve">  The provisions of the </w:t>
      </w:r>
      <w:r>
        <w:rPr>
          <w:rFonts w:ascii="arial" w:eastAsia="arial" w:hAnsi="arial" w:cs="arial"/>
          <w:b/>
          <w:i/>
          <w:color w:val="000000"/>
          <w:sz w:val="20"/>
          <w:lang w:val="en-US" w:eastAsia="en-US" w:bidi="ar-SA"/>
        </w:rPr>
        <w:t>CPA</w:t>
      </w:r>
      <w:r>
        <w:rPr>
          <w:rFonts w:ascii="arial" w:eastAsia="arial" w:hAnsi="arial" w:cs="arial"/>
          <w:color w:val="000000"/>
          <w:sz w:val="20"/>
          <w:lang w:val="en-US" w:eastAsia="en-US" w:bidi="ar-SA"/>
        </w:rPr>
        <w:t xml:space="preserve"> should be construed generously in order to achieve its objects: judicial economy (by combining similar actions and avoiding unnecessary duplication in fact-finding and legal analysis); access to justice (by spreading litigation costs over a large number of plaintiffs, thereby making economical the prosecution of otherwise unaffordable claims); and behaviour modification (by deterring wrongdoers and potential wrongdoers through disabusing them of the assumption that minor but widespread harm will not result in litigation). See </w:t>
      </w:r>
      <w:r>
        <w:rPr>
          <w:rFonts w:ascii="arial" w:eastAsia="arial" w:hAnsi="arial" w:cs="arial"/>
          <w:b/>
          <w:i/>
          <w:color w:val="000000"/>
          <w:sz w:val="20"/>
          <w:lang w:val="en-US" w:eastAsia="en-US" w:bidi="ar-SA"/>
        </w:rPr>
        <w:t>Western Canadian Shopping Centres Inc. v. Dutton</w:t>
      </w:r>
      <w:r>
        <w:rPr>
          <w:rFonts w:ascii="arial" w:eastAsia="arial" w:hAnsi="arial" w:cs="arial"/>
          <w:color w:val="000000"/>
          <w:sz w:val="20"/>
          <w:lang w:val="en-US" w:eastAsia="en-US" w:bidi="ar-SA"/>
        </w:rPr>
        <w:t xml:space="preserve">, </w:t>
      </w:r>
      <w:hyperlink r:id="rId945" w:history="1">
        <w:r>
          <w:rPr>
            <w:rFonts w:ascii="arial" w:eastAsia="arial" w:hAnsi="arial" w:cs="arial"/>
            <w:i/>
            <w:color w:val="0077CC"/>
            <w:sz w:val="20"/>
            <w:u w:val="single"/>
            <w:shd w:val="clear" w:color="auto" w:fill="FFFFFF"/>
            <w:lang w:val="en-US" w:eastAsia="en-US" w:bidi="ar-SA"/>
          </w:rPr>
          <w:t>2001 SCC 46</w:t>
        </w:r>
      </w:hyperlink>
      <w:r>
        <w:rPr>
          <w:rFonts w:ascii="arial" w:eastAsia="arial" w:hAnsi="arial" w:cs="arial"/>
          <w:color w:val="000000"/>
          <w:sz w:val="20"/>
          <w:lang w:val="en-US" w:eastAsia="en-US" w:bidi="ar-SA"/>
        </w:rPr>
        <w:t xml:space="preserve"> ("</w:t>
      </w:r>
      <w:r>
        <w:rPr>
          <w:rFonts w:ascii="arial" w:eastAsia="arial" w:hAnsi="arial" w:cs="arial"/>
          <w:b/>
          <w:i/>
          <w:color w:val="000000"/>
          <w:sz w:val="20"/>
          <w:lang w:val="en-US" w:eastAsia="en-US" w:bidi="ar-SA"/>
        </w:rPr>
        <w:t>Dutton</w:t>
      </w:r>
      <w:r>
        <w:rPr>
          <w:rFonts w:ascii="arial" w:eastAsia="arial" w:hAnsi="arial" w:cs="arial"/>
          <w:color w:val="000000"/>
          <w:sz w:val="20"/>
          <w:lang w:val="en-US" w:eastAsia="en-US" w:bidi="ar-SA"/>
        </w:rPr>
        <w:t>"), at paras. 26-29.</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48</w:t>
      </w:r>
      <w:r>
        <w:rPr>
          <w:rFonts w:ascii="arial" w:eastAsia="arial" w:hAnsi="arial" w:cs="arial"/>
          <w:color w:val="000000"/>
          <w:sz w:val="20"/>
          <w:lang w:val="en-US" w:eastAsia="en-US" w:bidi="ar-SA"/>
        </w:rPr>
        <w:t xml:space="preserve">  The certification hearing does not involve an assessment of the merits of the claim. Rather, it focuses on the </w:t>
      </w:r>
      <w:r>
        <w:rPr>
          <w:rFonts w:ascii="arial" w:eastAsia="arial" w:hAnsi="arial" w:cs="arial"/>
          <w:color w:val="000000"/>
          <w:sz w:val="20"/>
          <w:u w:val="single"/>
          <w:lang w:val="en-US" w:eastAsia="en-US" w:bidi="ar-SA"/>
        </w:rPr>
        <w:t>form</w:t>
      </w:r>
      <w:r>
        <w:rPr>
          <w:rFonts w:ascii="arial" w:eastAsia="arial" w:hAnsi="arial" w:cs="arial"/>
          <w:color w:val="000000"/>
          <w:sz w:val="20"/>
          <w:lang w:val="en-US" w:eastAsia="en-US" w:bidi="ar-SA"/>
        </w:rPr>
        <w:t xml:space="preserve"> of the action in order to determine whether the action can appropriately go forward as a class proceeding. See </w:t>
      </w:r>
      <w:r>
        <w:rPr>
          <w:rFonts w:ascii="arial" w:eastAsia="arial" w:hAnsi="arial" w:cs="arial"/>
          <w:b/>
          <w:i/>
          <w:color w:val="000000"/>
          <w:sz w:val="20"/>
          <w:lang w:val="en-US" w:eastAsia="en-US" w:bidi="ar-SA"/>
        </w:rPr>
        <w:t>Hollick v. Toronto (City)</w:t>
      </w:r>
      <w:r>
        <w:rPr>
          <w:rFonts w:ascii="arial" w:eastAsia="arial" w:hAnsi="arial" w:cs="arial"/>
          <w:color w:val="000000"/>
          <w:sz w:val="20"/>
          <w:lang w:val="en-US" w:eastAsia="en-US" w:bidi="ar-SA"/>
        </w:rPr>
        <w:t xml:space="preserve">, </w:t>
      </w:r>
      <w:hyperlink r:id="rId946" w:history="1">
        <w:r>
          <w:rPr>
            <w:rFonts w:ascii="arial" w:eastAsia="arial" w:hAnsi="arial" w:cs="arial"/>
            <w:i/>
            <w:color w:val="0077CC"/>
            <w:sz w:val="20"/>
            <w:u w:val="single"/>
            <w:shd w:val="clear" w:color="auto" w:fill="FFFFFF"/>
            <w:lang w:val="en-US" w:eastAsia="en-US" w:bidi="ar-SA"/>
          </w:rPr>
          <w:t>2001 SCC 68</w:t>
        </w:r>
      </w:hyperlink>
      <w:r>
        <w:rPr>
          <w:rFonts w:ascii="arial" w:eastAsia="arial" w:hAnsi="arial" w:cs="arial"/>
          <w:color w:val="000000"/>
          <w:sz w:val="20"/>
          <w:lang w:val="en-US" w:eastAsia="en-US" w:bidi="ar-SA"/>
        </w:rPr>
        <w:t xml:space="preserve">, at para. 16, and </w:t>
      </w:r>
      <w:r>
        <w:rPr>
          <w:rFonts w:ascii="arial" w:eastAsia="arial" w:hAnsi="arial" w:cs="arial"/>
          <w:b/>
          <w:i/>
          <w:color w:val="000000"/>
          <w:sz w:val="20"/>
          <w:lang w:val="en-US" w:eastAsia="en-US" w:bidi="ar-SA"/>
        </w:rPr>
        <w:t>Pro-Sys Consultants Ltd. v. Microsoft Corporation</w:t>
      </w:r>
      <w:r>
        <w:rPr>
          <w:rFonts w:ascii="arial" w:eastAsia="arial" w:hAnsi="arial" w:cs="arial"/>
          <w:color w:val="000000"/>
          <w:sz w:val="20"/>
          <w:lang w:val="en-US" w:eastAsia="en-US" w:bidi="ar-SA"/>
        </w:rPr>
        <w:t xml:space="preserve">, </w:t>
      </w:r>
      <w:hyperlink r:id="rId947" w:history="1">
        <w:r>
          <w:rPr>
            <w:rFonts w:ascii="arial" w:eastAsia="arial" w:hAnsi="arial" w:cs="arial"/>
            <w:i/>
            <w:color w:val="0077CC"/>
            <w:sz w:val="20"/>
            <w:u w:val="single"/>
            <w:shd w:val="clear" w:color="auto" w:fill="FFFFFF"/>
            <w:lang w:val="en-US" w:eastAsia="en-US" w:bidi="ar-SA"/>
          </w:rPr>
          <w:t>2013 SCC 57</w:t>
        </w:r>
      </w:hyperlink>
      <w:r>
        <w:rPr>
          <w:rFonts w:ascii="arial" w:eastAsia="arial" w:hAnsi="arial" w:cs="arial"/>
          <w:color w:val="000000"/>
          <w:sz w:val="20"/>
          <w:lang w:val="en-US" w:eastAsia="en-US" w:bidi="ar-SA"/>
        </w:rPr>
        <w:t xml:space="preserve">, at para. 102. The </w:t>
      </w:r>
      <w:r>
        <w:rPr>
          <w:rFonts w:ascii="arial" w:eastAsia="arial" w:hAnsi="arial" w:cs="arial"/>
          <w:b/>
          <w:i/>
          <w:color w:val="000000"/>
          <w:sz w:val="20"/>
          <w:lang w:val="en-US" w:eastAsia="en-US" w:bidi="ar-SA"/>
        </w:rPr>
        <w:t>CPA</w:t>
      </w:r>
      <w:r>
        <w:rPr>
          <w:rFonts w:ascii="arial" w:eastAsia="arial" w:hAnsi="arial" w:cs="arial"/>
          <w:color w:val="000000"/>
          <w:sz w:val="20"/>
          <w:lang w:val="en-US" w:eastAsia="en-US" w:bidi="ar-SA"/>
        </w:rPr>
        <w:t xml:space="preserve"> is entirely procedural and does not create any new substantive rights.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49</w:t>
      </w:r>
      <w:r>
        <w:rPr>
          <w:rFonts w:ascii="arial" w:eastAsia="arial" w:hAnsi="arial" w:cs="arial"/>
          <w:color w:val="000000"/>
          <w:sz w:val="20"/>
          <w:lang w:val="en-US" w:eastAsia="en-US" w:bidi="ar-SA"/>
        </w:rPr>
        <w:t xml:space="preserve">  The burden is on the plaintiff to show "some basis in fact" for each of the certification requirements, other than the requirement that the pleadings disclose a cause of action: see </w:t>
      </w:r>
      <w:r>
        <w:rPr>
          <w:rFonts w:ascii="arial" w:eastAsia="arial" w:hAnsi="arial" w:cs="arial"/>
          <w:b/>
          <w:i/>
          <w:color w:val="000000"/>
          <w:sz w:val="20"/>
          <w:lang w:val="en-US" w:eastAsia="en-US" w:bidi="ar-SA"/>
        </w:rPr>
        <w:t>Hollick</w:t>
      </w:r>
      <w:r>
        <w:rPr>
          <w:rFonts w:ascii="arial" w:eastAsia="arial" w:hAnsi="arial" w:cs="arial"/>
          <w:color w:val="000000"/>
          <w:sz w:val="20"/>
          <w:lang w:val="en-US" w:eastAsia="en-US" w:bidi="ar-SA"/>
        </w:rPr>
        <w:t xml:space="preserve">, at para. 25 and </w:t>
      </w:r>
      <w:r>
        <w:rPr>
          <w:rFonts w:ascii="arial" w:eastAsia="arial" w:hAnsi="arial" w:cs="arial"/>
          <w:b/>
          <w:i/>
          <w:color w:val="000000"/>
          <w:sz w:val="20"/>
          <w:lang w:val="en-US" w:eastAsia="en-US" w:bidi="ar-SA"/>
        </w:rPr>
        <w:t>Pro-Sys</w:t>
      </w:r>
      <w:r>
        <w:rPr>
          <w:rFonts w:ascii="arial" w:eastAsia="arial" w:hAnsi="arial" w:cs="arial"/>
          <w:color w:val="000000"/>
          <w:sz w:val="20"/>
          <w:lang w:val="en-US" w:eastAsia="en-US" w:bidi="ar-SA"/>
        </w:rPr>
        <w:t xml:space="preserve">, at paras. 99-100. The evidentiary burden is not an onerous one: see </w:t>
      </w:r>
      <w:r>
        <w:rPr>
          <w:rFonts w:ascii="arial" w:eastAsia="arial" w:hAnsi="arial" w:cs="arial"/>
          <w:b/>
          <w:i/>
          <w:color w:val="000000"/>
          <w:sz w:val="20"/>
          <w:lang w:val="en-US" w:eastAsia="en-US" w:bidi="ar-SA"/>
        </w:rPr>
        <w:t>Hollick</w:t>
      </w:r>
      <w:r>
        <w:rPr>
          <w:rFonts w:ascii="arial" w:eastAsia="arial" w:hAnsi="arial" w:cs="arial"/>
          <w:color w:val="000000"/>
          <w:sz w:val="20"/>
          <w:lang w:val="en-US" w:eastAsia="en-US" w:bidi="ar-SA"/>
        </w:rPr>
        <w:t>, at paras. 21, 24-25.</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50</w:t>
      </w:r>
      <w:r>
        <w:rPr>
          <w:rFonts w:ascii="arial" w:eastAsia="arial" w:hAnsi="arial" w:cs="arial"/>
          <w:color w:val="000000"/>
          <w:sz w:val="20"/>
          <w:lang w:val="en-US" w:eastAsia="en-US" w:bidi="ar-SA"/>
        </w:rPr>
        <w:t xml:space="preserve">  Nevertheless, the evidence must meet the usual criteria for admissibility, as a relaxation of the usual rules would not seem consonant with the policy implicit in the </w:t>
      </w:r>
      <w:r>
        <w:rPr>
          <w:rFonts w:ascii="arial" w:eastAsia="arial" w:hAnsi="arial" w:cs="arial"/>
          <w:b/>
          <w:i/>
          <w:color w:val="000000"/>
          <w:sz w:val="20"/>
          <w:lang w:val="en-US" w:eastAsia="en-US" w:bidi="ar-SA"/>
        </w:rPr>
        <w:t>CPA</w:t>
      </w:r>
      <w:r>
        <w:rPr>
          <w:rFonts w:ascii="arial" w:eastAsia="arial" w:hAnsi="arial" w:cs="arial"/>
          <w:color w:val="000000"/>
          <w:sz w:val="20"/>
          <w:lang w:val="en-US" w:eastAsia="en-US" w:bidi="ar-SA"/>
        </w:rPr>
        <w:t xml:space="preserve"> that some judicial scrutiny of certification applications is desirable: see </w:t>
      </w:r>
      <w:r>
        <w:rPr>
          <w:rFonts w:ascii="arial" w:eastAsia="arial" w:hAnsi="arial" w:cs="arial"/>
          <w:b/>
          <w:i/>
          <w:color w:val="000000"/>
          <w:sz w:val="20"/>
          <w:lang w:val="en-US" w:eastAsia="en-US" w:bidi="ar-SA"/>
        </w:rPr>
        <w:t>Ernewein v. General Motors of Canada Ltd.</w:t>
      </w:r>
      <w:r>
        <w:rPr>
          <w:rFonts w:ascii="arial" w:eastAsia="arial" w:hAnsi="arial" w:cs="arial"/>
          <w:color w:val="000000"/>
          <w:sz w:val="20"/>
          <w:lang w:val="en-US" w:eastAsia="en-US" w:bidi="ar-SA"/>
        </w:rPr>
        <w:t xml:space="preserve">, </w:t>
      </w:r>
      <w:hyperlink r:id="rId948" w:history="1">
        <w:r>
          <w:rPr>
            <w:rFonts w:ascii="arial" w:eastAsia="arial" w:hAnsi="arial" w:cs="arial"/>
            <w:i/>
            <w:color w:val="0077CC"/>
            <w:sz w:val="20"/>
            <w:u w:val="single"/>
            <w:shd w:val="clear" w:color="auto" w:fill="FFFFFF"/>
            <w:lang w:val="en-US" w:eastAsia="en-US" w:bidi="ar-SA"/>
          </w:rPr>
          <w:t>2005 BCCA 540</w:t>
        </w:r>
      </w:hyperlink>
      <w:r>
        <w:rPr>
          <w:rFonts w:ascii="arial" w:eastAsia="arial" w:hAnsi="arial" w:cs="arial"/>
          <w:color w:val="000000"/>
          <w:sz w:val="20"/>
          <w:lang w:val="en-US" w:eastAsia="en-US" w:bidi="ar-SA"/>
        </w:rPr>
        <w:t xml:space="preserve">, at para. 31. In </w:t>
      </w:r>
      <w:r>
        <w:rPr>
          <w:rFonts w:ascii="arial" w:eastAsia="arial" w:hAnsi="arial" w:cs="arial"/>
          <w:b/>
          <w:i/>
          <w:color w:val="000000"/>
          <w:sz w:val="20"/>
          <w:lang w:val="en-US" w:eastAsia="en-US" w:bidi="ar-SA"/>
        </w:rPr>
        <w:t>Pro-Sys</w:t>
      </w:r>
      <w:r>
        <w:rPr>
          <w:rFonts w:ascii="arial" w:eastAsia="arial" w:hAnsi="arial" w:cs="arial"/>
          <w:color w:val="000000"/>
          <w:sz w:val="20"/>
          <w:lang w:val="en-US" w:eastAsia="en-US" w:bidi="ar-SA"/>
        </w:rPr>
        <w:t>, Mr. Justice Rothstein (for the court) noted: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[103] . . . [I]t is worth reaffirming the importance of certification as a meaningful screening device. The standard for assessing evidence at certification does not give rise to "a determination of the merits of the proceeding" . . . ; nor does it involve such a superficial level of analysis into the sufficiency of the evidence that it would amount to nothing more than symbolic scrutiny.</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[104] In any event, in my respectful opinion, there is limited utility in attempting to define "some basis in fact" in the abstract. Each case must be decided on its own facts. There must be sufficient facts to satisfy the applications judge that the conditions for certification have been met to a degree that should allow the matter to proceed on a class basis without foundering at the merits stage by reason of the requirements of s. 4(1) of the </w:t>
      </w:r>
      <w:r>
        <w:rPr>
          <w:rFonts w:ascii="arial" w:eastAsia="arial" w:hAnsi="arial" w:cs="arial"/>
          <w:i/>
          <w:color w:val="000000"/>
          <w:sz w:val="20"/>
          <w:lang w:val="en-US" w:eastAsia="en-US" w:bidi="ar-SA"/>
        </w:rPr>
        <w:t>CPA</w:t>
      </w:r>
      <w:r>
        <w:rPr>
          <w:rFonts w:ascii="arial" w:eastAsia="arial" w:hAnsi="arial" w:cs="arial"/>
          <w:color w:val="000000"/>
          <w:sz w:val="20"/>
          <w:lang w:val="en-US" w:eastAsia="en-US" w:bidi="ar-SA"/>
        </w:rPr>
        <w:t xml:space="preserve"> not having been met.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4. Does the Proposed NCC disclose a cause of action: s. 4(1)(a)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51</w:t>
      </w:r>
      <w:r>
        <w:rPr>
          <w:rFonts w:ascii="arial" w:eastAsia="arial" w:hAnsi="arial" w:cs="arial"/>
          <w:color w:val="000000"/>
          <w:sz w:val="20"/>
          <w:lang w:val="en-US" w:eastAsia="en-US" w:bidi="ar-SA"/>
        </w:rPr>
        <w:t xml:space="preserve">  The first requirement for certification is that the plaintiff's pleadings disclose a cause of action. This requirement is assessed on the same standard of proof that applies to a motion to strike or an application to amend a pleading, as set out in </w:t>
      </w:r>
      <w:r>
        <w:rPr>
          <w:rFonts w:ascii="arial" w:eastAsia="arial" w:hAnsi="arial" w:cs="arial"/>
          <w:b/>
          <w:i/>
          <w:color w:val="000000"/>
          <w:sz w:val="20"/>
          <w:lang w:val="en-US" w:eastAsia="en-US" w:bidi="ar-SA"/>
        </w:rPr>
        <w:t>Hunt v. Carey Canada Inc.</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[1990] 2 S.C.R. 959</w:t>
      </w:r>
      <w:r>
        <w:rPr>
          <w:rFonts w:ascii="arial" w:eastAsia="arial" w:hAnsi="arial" w:cs="arial"/>
          <w:color w:val="000000"/>
          <w:sz w:val="20"/>
          <w:lang w:val="en-US" w:eastAsia="en-US" w:bidi="ar-SA"/>
        </w:rPr>
        <w:t>, at p. 980.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52</w:t>
      </w:r>
      <w:r>
        <w:rPr>
          <w:rFonts w:ascii="arial" w:eastAsia="arial" w:hAnsi="arial" w:cs="arial"/>
          <w:color w:val="000000"/>
          <w:sz w:val="20"/>
          <w:lang w:val="en-US" w:eastAsia="en-US" w:bidi="ar-SA"/>
        </w:rPr>
        <w:t xml:space="preserve">  A plaintiff satisfies this requirement unless, assuming all facts pleaded to be true (unless they are patently unreasonable or incapable of proof), it is plain and obvious that the plaintiff's claim cannot succeed or has no reasonable prospect of success: see </w:t>
      </w:r>
      <w:r>
        <w:rPr>
          <w:rFonts w:ascii="arial" w:eastAsia="arial" w:hAnsi="arial" w:cs="arial"/>
          <w:b/>
          <w:i/>
          <w:color w:val="000000"/>
          <w:sz w:val="20"/>
          <w:lang w:val="en-US" w:eastAsia="en-US" w:bidi="ar-SA"/>
        </w:rPr>
        <w:t>Pro-Sys</w:t>
      </w:r>
      <w:r>
        <w:rPr>
          <w:rFonts w:ascii="arial" w:eastAsia="arial" w:hAnsi="arial" w:cs="arial"/>
          <w:color w:val="000000"/>
          <w:sz w:val="20"/>
          <w:lang w:val="en-US" w:eastAsia="en-US" w:bidi="ar-SA"/>
        </w:rPr>
        <w:t xml:space="preserve">, at para. 63, and </w:t>
      </w:r>
      <w:r>
        <w:rPr>
          <w:rFonts w:ascii="arial" w:eastAsia="arial" w:hAnsi="arial" w:cs="arial"/>
          <w:b/>
          <w:i/>
          <w:color w:val="000000"/>
          <w:sz w:val="20"/>
          <w:lang w:val="en-US" w:eastAsia="en-US" w:bidi="ar-SA"/>
        </w:rPr>
        <w:t>Operation Dismantle Inc. v. The Queen</w:t>
      </w:r>
      <w:r>
        <w:rPr>
          <w:rFonts w:ascii="arial" w:eastAsia="arial" w:hAnsi="arial" w:cs="arial"/>
          <w:color w:val="000000"/>
          <w:sz w:val="20"/>
          <w:lang w:val="en-US" w:eastAsia="en-US" w:bidi="ar-SA"/>
        </w:rPr>
        <w:t xml:space="preserve">, </w:t>
      </w:r>
      <w:hyperlink r:id="rId920" w:history="1">
        <w:r>
          <w:rPr>
            <w:rFonts w:ascii="arial" w:eastAsia="arial" w:hAnsi="arial" w:cs="arial"/>
            <w:i/>
            <w:color w:val="0077CC"/>
            <w:sz w:val="20"/>
            <w:u w:val="single"/>
            <w:shd w:val="clear" w:color="auto" w:fill="FFFFFF"/>
            <w:lang w:val="en-US" w:eastAsia="en-US" w:bidi="ar-SA"/>
          </w:rPr>
          <w:t>[1985] 1 S.C.R. 441</w:t>
        </w:r>
      </w:hyperlink>
      <w:r>
        <w:rPr>
          <w:rFonts w:ascii="arial" w:eastAsia="arial" w:hAnsi="arial" w:cs="arial"/>
          <w:color w:val="000000"/>
          <w:sz w:val="20"/>
          <w:lang w:val="en-US" w:eastAsia="en-US" w:bidi="ar-SA"/>
        </w:rPr>
        <w:t xml:space="preserve">, at p. 455. The approach must be generous and err on the side of permitting a novel but arguable claim to proceed to trial: see </w:t>
      </w:r>
      <w:r>
        <w:rPr>
          <w:rFonts w:ascii="arial" w:eastAsia="arial" w:hAnsi="arial" w:cs="arial"/>
          <w:b/>
          <w:i/>
          <w:color w:val="000000"/>
          <w:sz w:val="20"/>
          <w:lang w:val="en-US" w:eastAsia="en-US" w:bidi="ar-SA"/>
        </w:rPr>
        <w:t>R. v. Imperial Tobacco Canada Ltd.</w:t>
      </w:r>
      <w:r>
        <w:rPr>
          <w:rFonts w:ascii="arial" w:eastAsia="arial" w:hAnsi="arial" w:cs="arial"/>
          <w:color w:val="000000"/>
          <w:sz w:val="20"/>
          <w:lang w:val="en-US" w:eastAsia="en-US" w:bidi="ar-SA"/>
        </w:rPr>
        <w:t xml:space="preserve">, </w:t>
      </w:r>
      <w:hyperlink r:id="rId25" w:history="1">
        <w:r>
          <w:rPr>
            <w:rFonts w:ascii="arial" w:eastAsia="arial" w:hAnsi="arial" w:cs="arial"/>
            <w:i/>
            <w:color w:val="0077CC"/>
            <w:sz w:val="20"/>
            <w:u w:val="single"/>
            <w:shd w:val="clear" w:color="auto" w:fill="FFFFFF"/>
            <w:lang w:val="en-US" w:eastAsia="en-US" w:bidi="ar-SA"/>
          </w:rPr>
          <w:t>2011 SCC 42</w:t>
        </w:r>
      </w:hyperlink>
      <w:r>
        <w:rPr>
          <w:rFonts w:ascii="arial" w:eastAsia="arial" w:hAnsi="arial" w:cs="arial"/>
          <w:color w:val="000000"/>
          <w:sz w:val="20"/>
          <w:lang w:val="en-US" w:eastAsia="en-US" w:bidi="ar-SA"/>
        </w:rPr>
        <w:t xml:space="preserve">, at para. 21. The fact that the case pleaded is a weak one, or raises a novel point requiring investigation, is not enough to strike it: see </w:t>
      </w:r>
      <w:r>
        <w:rPr>
          <w:rFonts w:ascii="arial" w:eastAsia="arial" w:hAnsi="arial" w:cs="arial"/>
          <w:b/>
          <w:i/>
          <w:color w:val="000000"/>
          <w:sz w:val="20"/>
          <w:lang w:val="en-US" w:eastAsia="en-US" w:bidi="ar-SA"/>
        </w:rPr>
        <w:t>Wakelam v. Wyeth Consumer Healthcare/Wyeth Soins de Sante Inc.,</w:t>
      </w:r>
      <w:r>
        <w:rPr>
          <w:rFonts w:ascii="arial" w:eastAsia="arial" w:hAnsi="arial" w:cs="arial"/>
          <w:color w:val="000000"/>
          <w:sz w:val="20"/>
          <w:lang w:val="en-US" w:eastAsia="en-US" w:bidi="ar-SA"/>
        </w:rPr>
        <w:t xml:space="preserve"> </w:t>
      </w:r>
      <w:hyperlink r:id="rId949" w:history="1">
        <w:r>
          <w:rPr>
            <w:rFonts w:ascii="arial" w:eastAsia="arial" w:hAnsi="arial" w:cs="arial"/>
            <w:i/>
            <w:color w:val="0077CC"/>
            <w:sz w:val="20"/>
            <w:u w:val="single"/>
            <w:shd w:val="clear" w:color="auto" w:fill="FFFFFF"/>
            <w:lang w:val="en-US" w:eastAsia="en-US" w:bidi="ar-SA"/>
          </w:rPr>
          <w:t>2014 BCCA 36</w:t>
        </w:r>
      </w:hyperlink>
      <w:r>
        <w:rPr>
          <w:rFonts w:ascii="arial" w:eastAsia="arial" w:hAnsi="arial" w:cs="arial"/>
          <w:color w:val="000000"/>
          <w:sz w:val="20"/>
          <w:lang w:val="en-US" w:eastAsia="en-US" w:bidi="ar-SA"/>
        </w:rPr>
        <w:t xml:space="preserve">, at para. 8. However, it is incumbent on the plaintiff to clearly plead the facts upon which she relies in making the claim, since the facts pleaded are the firm basis upon which the possibility of success of the claim must be evaluated: </w:t>
      </w:r>
      <w:r>
        <w:rPr>
          <w:rFonts w:ascii="arial" w:eastAsia="arial" w:hAnsi="arial" w:cs="arial"/>
          <w:b/>
          <w:i/>
          <w:color w:val="000000"/>
          <w:sz w:val="20"/>
          <w:lang w:val="en-US" w:eastAsia="en-US" w:bidi="ar-SA"/>
        </w:rPr>
        <w:t>Imperial Tobacco</w:t>
      </w:r>
      <w:r>
        <w:rPr>
          <w:rFonts w:ascii="arial" w:eastAsia="arial" w:hAnsi="arial" w:cs="arial"/>
          <w:color w:val="000000"/>
          <w:sz w:val="20"/>
          <w:lang w:val="en-US" w:eastAsia="en-US" w:bidi="ar-SA"/>
        </w:rPr>
        <w:t>, at para. 22.</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53</w:t>
      </w:r>
      <w:r>
        <w:rPr>
          <w:rFonts w:ascii="arial" w:eastAsia="arial" w:hAnsi="arial" w:cs="arial"/>
          <w:color w:val="000000"/>
          <w:sz w:val="20"/>
          <w:lang w:val="en-US" w:eastAsia="en-US" w:bidi="ar-SA"/>
        </w:rPr>
        <w:t xml:space="preserve">  With respect to amendments to pleadings and the function of pleadings, I wrote in </w:t>
      </w:r>
      <w:r>
        <w:rPr>
          <w:rFonts w:ascii="arial" w:eastAsia="arial" w:hAnsi="arial" w:cs="arial"/>
          <w:b/>
          <w:i/>
          <w:color w:val="000000"/>
          <w:sz w:val="20"/>
          <w:lang w:val="en-US" w:eastAsia="en-US" w:bidi="ar-SA"/>
        </w:rPr>
        <w:t>Virk v. Brar</w:t>
      </w:r>
      <w:r>
        <w:rPr>
          <w:rFonts w:ascii="arial" w:eastAsia="arial" w:hAnsi="arial" w:cs="arial"/>
          <w:color w:val="000000"/>
          <w:sz w:val="20"/>
          <w:lang w:val="en-US" w:eastAsia="en-US" w:bidi="ar-SA"/>
        </w:rPr>
        <w:t xml:space="preserve">, </w:t>
      </w:r>
      <w:hyperlink r:id="rId950" w:history="1">
        <w:r>
          <w:rPr>
            <w:rFonts w:ascii="arial" w:eastAsia="arial" w:hAnsi="arial" w:cs="arial"/>
            <w:i/>
            <w:color w:val="0077CC"/>
            <w:sz w:val="20"/>
            <w:u w:val="single"/>
            <w:shd w:val="clear" w:color="auto" w:fill="FFFFFF"/>
            <w:lang w:val="en-US" w:eastAsia="en-US" w:bidi="ar-SA"/>
          </w:rPr>
          <w:t>2011 BCSC 301</w:t>
        </w:r>
      </w:hyperlink>
      <w:r>
        <w:rPr>
          <w:rFonts w:ascii="arial" w:eastAsia="arial" w:hAnsi="arial" w:cs="arial"/>
          <w:color w:val="000000"/>
          <w:sz w:val="20"/>
          <w:lang w:val="en-US" w:eastAsia="en-US" w:bidi="ar-SA"/>
        </w:rPr>
        <w:t>, at paras. 5-9:</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[5] The basic principles governing the granting of amendments to pleadings are not in dispute. Such amendments should be permitted as are necessary to determine the real question or questions in issue between the parties: see </w:t>
      </w:r>
      <w:r>
        <w:rPr>
          <w:rFonts w:ascii="arial" w:eastAsia="arial" w:hAnsi="arial" w:cs="arial"/>
          <w:b/>
          <w:i/>
          <w:color w:val="000000"/>
          <w:sz w:val="20"/>
          <w:lang w:val="en-US" w:eastAsia="en-US" w:bidi="ar-SA"/>
        </w:rPr>
        <w:t>Victoria Grey Metro Trust Company v. Fort Gary Trust Company</w:t>
      </w:r>
      <w:r>
        <w:rPr>
          <w:rFonts w:ascii="arial" w:eastAsia="arial" w:hAnsi="arial" w:cs="arial"/>
          <w:color w:val="000000"/>
          <w:sz w:val="20"/>
          <w:lang w:val="en-US" w:eastAsia="en-US" w:bidi="ar-SA"/>
        </w:rPr>
        <w:t xml:space="preserve"> </w:t>
      </w:r>
      <w:hyperlink r:id="rId951" w:history="1">
        <w:r>
          <w:rPr>
            <w:rFonts w:ascii="arial" w:eastAsia="arial" w:hAnsi="arial" w:cs="arial"/>
            <w:i/>
            <w:color w:val="0077CC"/>
            <w:sz w:val="20"/>
            <w:u w:val="single"/>
            <w:shd w:val="clear" w:color="auto" w:fill="FFFFFF"/>
            <w:lang w:val="en-US" w:eastAsia="en-US" w:bidi="ar-SA"/>
          </w:rPr>
          <w:t>(1982), 30 B.C.L.R. (2d) 45</w:t>
        </w:r>
      </w:hyperlink>
      <w:r>
        <w:rPr>
          <w:rFonts w:ascii="arial" w:eastAsia="arial" w:hAnsi="arial" w:cs="arial"/>
          <w:color w:val="000000"/>
          <w:sz w:val="20"/>
          <w:lang w:val="en-US" w:eastAsia="en-US" w:bidi="ar-SA"/>
        </w:rPr>
        <w:t xml:space="preserve"> (S.C.), at p. 46.</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[6] The court will not allow useless amendments, and an application to amend is considered on the same basis as an application to strike a pleading under Rule 9-5: see </w:t>
      </w:r>
      <w:r>
        <w:rPr>
          <w:rFonts w:ascii="arial" w:eastAsia="arial" w:hAnsi="arial" w:cs="arial"/>
          <w:b/>
          <w:i/>
          <w:color w:val="000000"/>
          <w:sz w:val="20"/>
          <w:lang w:val="en-US" w:eastAsia="en-US" w:bidi="ar-SA"/>
        </w:rPr>
        <w:t>Victoria Grey</w:t>
      </w:r>
      <w:r>
        <w:rPr>
          <w:rFonts w:ascii="arial" w:eastAsia="arial" w:hAnsi="arial" w:cs="arial"/>
          <w:color w:val="000000"/>
          <w:sz w:val="20"/>
          <w:lang w:val="en-US" w:eastAsia="en-US" w:bidi="ar-SA"/>
        </w:rPr>
        <w:t xml:space="preserve">, at pp. 46-47; </w:t>
      </w:r>
      <w:r>
        <w:rPr>
          <w:rFonts w:ascii="arial" w:eastAsia="arial" w:hAnsi="arial" w:cs="arial"/>
          <w:b/>
          <w:i/>
          <w:color w:val="000000"/>
          <w:sz w:val="20"/>
          <w:lang w:val="en-US" w:eastAsia="en-US" w:bidi="ar-SA"/>
        </w:rPr>
        <w:t>Shaw Cablesystems Ltd. v. Concord Pacific Group Inc.</w:t>
      </w:r>
      <w:r>
        <w:rPr>
          <w:rFonts w:ascii="arial" w:eastAsia="arial" w:hAnsi="arial" w:cs="arial"/>
          <w:color w:val="000000"/>
          <w:sz w:val="20"/>
          <w:lang w:val="en-US" w:eastAsia="en-US" w:bidi="ar-SA"/>
        </w:rPr>
        <w:t xml:space="preserve">, </w:t>
      </w:r>
      <w:hyperlink r:id="rId952" w:history="1">
        <w:r>
          <w:rPr>
            <w:rFonts w:ascii="arial" w:eastAsia="arial" w:hAnsi="arial" w:cs="arial"/>
            <w:i/>
            <w:color w:val="0077CC"/>
            <w:sz w:val="20"/>
            <w:u w:val="single"/>
            <w:shd w:val="clear" w:color="auto" w:fill="FFFFFF"/>
            <w:lang w:val="en-US" w:eastAsia="en-US" w:bidi="ar-SA"/>
          </w:rPr>
          <w:t>2009 BCSC 203</w:t>
        </w:r>
      </w:hyperlink>
      <w:r>
        <w:rPr>
          <w:rFonts w:ascii="arial" w:eastAsia="arial" w:hAnsi="arial" w:cs="arial"/>
          <w:color w:val="000000"/>
          <w:sz w:val="20"/>
          <w:lang w:val="en-US" w:eastAsia="en-US" w:bidi="ar-SA"/>
        </w:rPr>
        <w:t xml:space="preserve"> at para. 8. The court will not give its sanction to amendments which violate the rules that govern pleadings. These include . . . the prohibition against pleadings which disclose no reasonable claim or are otherwise scandalous, frivolous or vexatious or embarrassing (Rule 9-5(1)).</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[7] Before turning to the proposed amended notice of civil claim, I wish to make some brief observations about the function of pleadings.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[8] The ultimate function of pleadings is to clearly define the issues of fact and law to be determined by the court. The issues must be defined for each cause of action relied upon by the plaintiff. That process is begun by the plaintiff stating, for each cause, the material facts; that is, those facts necessary for the purpose of formulating a complete cause of action. A statement of claim (now a notice of civil claim) must plead the causes of action in the traditional way so that the defendant may know the case it has to meet, to the end that clear issues of fact and law are presented for the court. See </w:t>
      </w:r>
      <w:r>
        <w:rPr>
          <w:rFonts w:ascii="arial" w:eastAsia="arial" w:hAnsi="arial" w:cs="arial"/>
          <w:b/>
          <w:i/>
          <w:color w:val="000000"/>
          <w:sz w:val="20"/>
          <w:lang w:val="en-US" w:eastAsia="en-US" w:bidi="ar-SA"/>
        </w:rPr>
        <w:t>Homalco Indian Band v. British Columbia</w:t>
      </w:r>
      <w:r>
        <w:rPr>
          <w:rFonts w:ascii="arial" w:eastAsia="arial" w:hAnsi="arial" w:cs="arial"/>
          <w:color w:val="000000"/>
          <w:sz w:val="20"/>
          <w:lang w:val="en-US" w:eastAsia="en-US" w:bidi="ar-SA"/>
        </w:rPr>
        <w:t xml:space="preserve"> </w:t>
      </w:r>
      <w:hyperlink r:id="rId953" w:history="1">
        <w:r>
          <w:rPr>
            <w:rFonts w:ascii="arial" w:eastAsia="arial" w:hAnsi="arial" w:cs="arial"/>
            <w:i/>
            <w:color w:val="0077CC"/>
            <w:sz w:val="20"/>
            <w:u w:val="single"/>
            <w:shd w:val="clear" w:color="auto" w:fill="FFFFFF"/>
            <w:lang w:val="en-US" w:eastAsia="en-US" w:bidi="ar-SA"/>
          </w:rPr>
          <w:t>(1998), 25 C.P.C. (4th) 107</w:t>
        </w:r>
      </w:hyperlink>
      <w:r>
        <w:rPr>
          <w:rFonts w:ascii="arial" w:eastAsia="arial" w:hAnsi="arial" w:cs="arial"/>
          <w:color w:val="000000"/>
          <w:sz w:val="20"/>
          <w:lang w:val="en-US" w:eastAsia="en-US" w:bidi="ar-SA"/>
        </w:rPr>
        <w:t xml:space="preserve"> (B.C.S.C.), at paras. 5 - 11. As noted by Madam Justice Southin, when a plaintiff files "a hopelessly inadequate statement of claim, there is nothing upon which the trial judge can concentrate his or her mind": </w:t>
      </w:r>
      <w:r>
        <w:rPr>
          <w:rFonts w:ascii="arial" w:eastAsia="arial" w:hAnsi="arial" w:cs="arial"/>
          <w:b/>
          <w:i/>
          <w:color w:val="000000"/>
          <w:sz w:val="20"/>
          <w:lang w:val="en-US" w:eastAsia="en-US" w:bidi="ar-SA"/>
        </w:rPr>
        <w:t>Cotton v. Wellsby</w:t>
      </w:r>
      <w:r>
        <w:rPr>
          <w:rFonts w:ascii="arial" w:eastAsia="arial" w:hAnsi="arial" w:cs="arial"/>
          <w:color w:val="000000"/>
          <w:sz w:val="20"/>
          <w:lang w:val="en-US" w:eastAsia="en-US" w:bidi="ar-SA"/>
        </w:rPr>
        <w:t xml:space="preserve"> </w:t>
      </w:r>
      <w:hyperlink r:id="rId954" w:history="1">
        <w:r>
          <w:rPr>
            <w:rFonts w:ascii="arial" w:eastAsia="arial" w:hAnsi="arial" w:cs="arial"/>
            <w:i/>
            <w:color w:val="0077CC"/>
            <w:sz w:val="20"/>
            <w:u w:val="single"/>
            <w:shd w:val="clear" w:color="auto" w:fill="FFFFFF"/>
            <w:lang w:val="en-US" w:eastAsia="en-US" w:bidi="ar-SA"/>
          </w:rPr>
          <w:t>(1991), 59 B.C.L.R. (2d) 366</w:t>
        </w:r>
      </w:hyperlink>
      <w:r>
        <w:rPr>
          <w:rFonts w:ascii="arial" w:eastAsia="arial" w:hAnsi="arial" w:cs="arial"/>
          <w:color w:val="000000"/>
          <w:sz w:val="20"/>
          <w:lang w:val="en-US" w:eastAsia="en-US" w:bidi="ar-SA"/>
        </w:rPr>
        <w:t xml:space="preserve"> (C.A.), at para. 26.</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[9] Thus, pleadings are intended to define and limit the issues in order to promote fairness, judicial economy and exposition of the truth. The rules governing pleadings exist to support and facilitate that end. Defining and limiting the issues must be done so that the court understands the dispute and the parties have fair notice of the case to be met and the remedies to be sought. Pleadings are important because they are the foundation on which the case rests, and they shape the scope of relevance for both discovery and trial.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54</w:t>
      </w:r>
      <w:r>
        <w:rPr>
          <w:rFonts w:ascii="arial" w:eastAsia="arial" w:hAnsi="arial" w:cs="arial"/>
          <w:color w:val="000000"/>
          <w:sz w:val="20"/>
          <w:lang w:val="en-US" w:eastAsia="en-US" w:bidi="ar-SA"/>
        </w:rPr>
        <w:t xml:space="preserve">  The provisions in the </w:t>
      </w:r>
      <w:r>
        <w:rPr>
          <w:rFonts w:ascii="arial" w:eastAsia="arial" w:hAnsi="arial" w:cs="arial"/>
          <w:b/>
          <w:i/>
          <w:color w:val="000000"/>
          <w:sz w:val="20"/>
          <w:lang w:val="en-US" w:eastAsia="en-US" w:bidi="ar-SA"/>
        </w:rPr>
        <w:t>Supreme Court Civil Rules</w:t>
      </w:r>
      <w:r>
        <w:rPr>
          <w:rFonts w:ascii="arial" w:eastAsia="arial" w:hAnsi="arial" w:cs="arial"/>
          <w:color w:val="000000"/>
          <w:sz w:val="20"/>
          <w:lang w:val="en-US" w:eastAsia="en-US" w:bidi="ar-SA"/>
        </w:rPr>
        <w:t xml:space="preserve"> governing pleadings are relevant to the plaintiffs' application to amend. Rule 3-1(2) requires that a notice of civil claim must set out "a </w:t>
      </w:r>
      <w:r>
        <w:rPr>
          <w:rFonts w:ascii="arial" w:eastAsia="arial" w:hAnsi="arial" w:cs="arial"/>
          <w:color w:val="000000"/>
          <w:sz w:val="20"/>
          <w:u w:val="single"/>
          <w:lang w:val="en-US" w:eastAsia="en-US" w:bidi="ar-SA"/>
        </w:rPr>
        <w:t>concise</w:t>
      </w:r>
      <w:r>
        <w:rPr>
          <w:rFonts w:ascii="arial" w:eastAsia="arial" w:hAnsi="arial" w:cs="arial"/>
          <w:color w:val="000000"/>
          <w:sz w:val="20"/>
          <w:lang w:val="en-US" w:eastAsia="en-US" w:bidi="ar-SA"/>
        </w:rPr>
        <w:t xml:space="preserve"> statement of the material facts giving rise to the claim" and "a </w:t>
      </w:r>
      <w:r>
        <w:rPr>
          <w:rFonts w:ascii="arial" w:eastAsia="arial" w:hAnsi="arial" w:cs="arial"/>
          <w:color w:val="000000"/>
          <w:sz w:val="20"/>
          <w:u w:val="single"/>
          <w:lang w:val="en-US" w:eastAsia="en-US" w:bidi="ar-SA"/>
        </w:rPr>
        <w:t>concise</w:t>
      </w:r>
      <w:r>
        <w:rPr>
          <w:rFonts w:ascii="arial" w:eastAsia="arial" w:hAnsi="arial" w:cs="arial"/>
          <w:color w:val="000000"/>
          <w:sz w:val="20"/>
          <w:lang w:val="en-US" w:eastAsia="en-US" w:bidi="ar-SA"/>
        </w:rPr>
        <w:t xml:space="preserve"> summary of the legal basis for the relief sought" (underlining added). Rule 3-7(1) brings home the point that a material fact is different than evidence and that evidence must not be pleaded. The requirement that the statement of the material facts and the summary of the legal basis be "concise" should emphasize the importance of stating clearly everything that is necessary, but not more.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55</w:t>
      </w:r>
      <w:r>
        <w:rPr>
          <w:rFonts w:ascii="arial" w:eastAsia="arial" w:hAnsi="arial" w:cs="arial"/>
          <w:color w:val="000000"/>
          <w:sz w:val="20"/>
          <w:lang w:val="en-US" w:eastAsia="en-US" w:bidi="ar-SA"/>
        </w:rPr>
        <w:t xml:space="preserve">  The plaintiffs cite authorities such as </w:t>
      </w:r>
      <w:r>
        <w:rPr>
          <w:rFonts w:ascii="arial" w:eastAsia="arial" w:hAnsi="arial" w:cs="arial"/>
          <w:b/>
          <w:i/>
          <w:color w:val="000000"/>
          <w:sz w:val="20"/>
          <w:lang w:val="en-US" w:eastAsia="en-US" w:bidi="ar-SA"/>
        </w:rPr>
        <w:t>Halvorson v. British Columbia (Medical Services Commission)</w:t>
      </w:r>
      <w:r>
        <w:rPr>
          <w:rFonts w:ascii="arial" w:eastAsia="arial" w:hAnsi="arial" w:cs="arial"/>
          <w:color w:val="000000"/>
          <w:sz w:val="20"/>
          <w:lang w:val="en-US" w:eastAsia="en-US" w:bidi="ar-SA"/>
        </w:rPr>
        <w:t xml:space="preserve">, </w:t>
      </w:r>
      <w:hyperlink r:id="rId955" w:history="1">
        <w:r>
          <w:rPr>
            <w:rFonts w:ascii="arial" w:eastAsia="arial" w:hAnsi="arial" w:cs="arial"/>
            <w:i/>
            <w:color w:val="0077CC"/>
            <w:sz w:val="20"/>
            <w:u w:val="single"/>
            <w:shd w:val="clear" w:color="auto" w:fill="FFFFFF"/>
            <w:lang w:val="en-US" w:eastAsia="en-US" w:bidi="ar-SA"/>
          </w:rPr>
          <w:t>2010 BCCA 267</w:t>
        </w:r>
      </w:hyperlink>
      <w:r>
        <w:rPr>
          <w:rFonts w:ascii="arial" w:eastAsia="arial" w:hAnsi="arial" w:cs="arial"/>
          <w:color w:val="000000"/>
          <w:sz w:val="20"/>
          <w:lang w:val="en-US" w:eastAsia="en-US" w:bidi="ar-SA"/>
        </w:rPr>
        <w:t xml:space="preserve"> and </w:t>
      </w:r>
      <w:r>
        <w:rPr>
          <w:rFonts w:ascii="arial" w:eastAsia="arial" w:hAnsi="arial" w:cs="arial"/>
          <w:b/>
          <w:i/>
          <w:color w:val="000000"/>
          <w:sz w:val="20"/>
          <w:lang w:val="en-US" w:eastAsia="en-US" w:bidi="ar-SA"/>
        </w:rPr>
        <w:t>Watson v. Bank of America Corporation</w:t>
      </w:r>
      <w:r>
        <w:rPr>
          <w:rFonts w:ascii="arial" w:eastAsia="arial" w:hAnsi="arial" w:cs="arial"/>
          <w:color w:val="000000"/>
          <w:sz w:val="20"/>
          <w:lang w:val="en-US" w:eastAsia="en-US" w:bidi="ar-SA"/>
        </w:rPr>
        <w:t xml:space="preserve">, </w:t>
      </w:r>
      <w:hyperlink r:id="rId956" w:history="1">
        <w:r>
          <w:rPr>
            <w:rFonts w:ascii="arial" w:eastAsia="arial" w:hAnsi="arial" w:cs="arial"/>
            <w:i/>
            <w:color w:val="0077CC"/>
            <w:sz w:val="20"/>
            <w:u w:val="single"/>
            <w:shd w:val="clear" w:color="auto" w:fill="FFFFFF"/>
            <w:lang w:val="en-US" w:eastAsia="en-US" w:bidi="ar-SA"/>
          </w:rPr>
          <w:t>2014 BCSC 532</w:t>
        </w:r>
      </w:hyperlink>
      <w:r>
        <w:rPr>
          <w:rFonts w:ascii="arial" w:eastAsia="arial" w:hAnsi="arial" w:cs="arial"/>
          <w:color w:val="000000"/>
          <w:sz w:val="20"/>
          <w:lang w:val="en-US" w:eastAsia="en-US" w:bidi="ar-SA"/>
        </w:rPr>
        <w:t xml:space="preserve"> ("</w:t>
      </w:r>
      <w:r>
        <w:rPr>
          <w:rFonts w:ascii="arial" w:eastAsia="arial" w:hAnsi="arial" w:cs="arial"/>
          <w:b/>
          <w:i/>
          <w:color w:val="000000"/>
          <w:sz w:val="20"/>
          <w:lang w:val="en-US" w:eastAsia="en-US" w:bidi="ar-SA"/>
        </w:rPr>
        <w:t>Watson Certification</w:t>
      </w:r>
      <w:r>
        <w:rPr>
          <w:rFonts w:ascii="arial" w:eastAsia="arial" w:hAnsi="arial" w:cs="arial"/>
          <w:color w:val="000000"/>
          <w:sz w:val="20"/>
          <w:lang w:val="en-US" w:eastAsia="en-US" w:bidi="ar-SA"/>
        </w:rPr>
        <w:t xml:space="preserve">"), rev'd in part </w:t>
      </w:r>
      <w:hyperlink r:id="rId957" w:history="1">
        <w:r>
          <w:rPr>
            <w:rFonts w:ascii="arial" w:eastAsia="arial" w:hAnsi="arial" w:cs="arial"/>
            <w:i/>
            <w:color w:val="0077CC"/>
            <w:sz w:val="20"/>
            <w:u w:val="single"/>
            <w:shd w:val="clear" w:color="auto" w:fill="FFFFFF"/>
            <w:lang w:val="en-US" w:eastAsia="en-US" w:bidi="ar-SA"/>
          </w:rPr>
          <w:t>2015 BCCA 362</w:t>
        </w:r>
      </w:hyperlink>
      <w:r>
        <w:rPr>
          <w:rFonts w:ascii="arial" w:eastAsia="arial" w:hAnsi="arial" w:cs="arial"/>
          <w:color w:val="000000"/>
          <w:sz w:val="20"/>
          <w:lang w:val="en-US" w:eastAsia="en-US" w:bidi="ar-SA"/>
        </w:rPr>
        <w:t xml:space="preserve"> ("</w:t>
      </w:r>
      <w:r>
        <w:rPr>
          <w:rFonts w:ascii="arial" w:eastAsia="arial" w:hAnsi="arial" w:cs="arial"/>
          <w:b/>
          <w:i/>
          <w:color w:val="000000"/>
          <w:sz w:val="20"/>
          <w:lang w:val="en-US" w:eastAsia="en-US" w:bidi="ar-SA"/>
        </w:rPr>
        <w:t>Watson Appeal</w:t>
      </w:r>
      <w:r>
        <w:rPr>
          <w:rFonts w:ascii="arial" w:eastAsia="arial" w:hAnsi="arial" w:cs="arial"/>
          <w:color w:val="000000"/>
          <w:sz w:val="20"/>
          <w:lang w:val="en-US" w:eastAsia="en-US" w:bidi="ar-SA"/>
        </w:rPr>
        <w:t>"), at paras. 361 and 362, for the proposition that, if the pleadings were found to be deficient, they could be redrafted to address any deficiencies. However, at the hearing, Mr. Aaron confirmed that the Proposed NCC is the case that the plaintiffs wish to proceed with, and they do not have anything else to propose.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56</w:t>
      </w:r>
      <w:r>
        <w:rPr>
          <w:rFonts w:ascii="arial" w:eastAsia="arial" w:hAnsi="arial" w:cs="arial"/>
          <w:color w:val="000000"/>
          <w:sz w:val="20"/>
          <w:lang w:val="en-US" w:eastAsia="en-US" w:bidi="ar-SA"/>
        </w:rPr>
        <w:t xml:space="preserve">  The essential question before me is whether, assuming the facts pleaded are true, the plaintiffs have pleaded a cause of action under s. 7 of the </w:t>
      </w:r>
      <w:r>
        <w:rPr>
          <w:rFonts w:ascii="arial" w:eastAsia="arial" w:hAnsi="arial" w:cs="arial"/>
          <w:b/>
          <w:i/>
          <w:color w:val="000000"/>
          <w:sz w:val="20"/>
          <w:lang w:val="en-US" w:eastAsia="en-US" w:bidi="ar-SA"/>
        </w:rPr>
        <w:t>Charter</w:t>
      </w:r>
      <w:r>
        <w:rPr>
          <w:rFonts w:ascii="arial" w:eastAsia="arial" w:hAnsi="arial" w:cs="arial"/>
          <w:color w:val="000000"/>
          <w:sz w:val="20"/>
          <w:lang w:val="en-US" w:eastAsia="en-US" w:bidi="ar-SA"/>
        </w:rPr>
        <w:t xml:space="preserve">. The plaintiffs have the burden under </w:t>
      </w:r>
      <w:r>
        <w:rPr>
          <w:rFonts w:ascii="arial" w:eastAsia="arial" w:hAnsi="arial" w:cs="arial"/>
          <w:b/>
          <w:i/>
          <w:color w:val="000000"/>
          <w:sz w:val="20"/>
          <w:lang w:val="en-US" w:eastAsia="en-US" w:bidi="ar-SA"/>
        </w:rPr>
        <w:t>CPA</w:t>
      </w:r>
      <w:r>
        <w:rPr>
          <w:rFonts w:ascii="arial" w:eastAsia="arial" w:hAnsi="arial" w:cs="arial"/>
          <w:color w:val="000000"/>
          <w:sz w:val="20"/>
          <w:lang w:val="en-US" w:eastAsia="en-US" w:bidi="ar-SA"/>
        </w:rPr>
        <w:t xml:space="preserve"> s. 4(1)(a), and on the application to amend, to demonstrate this.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57</w:t>
      </w:r>
      <w:r>
        <w:rPr>
          <w:rFonts w:ascii="arial" w:eastAsia="arial" w:hAnsi="arial" w:cs="arial"/>
          <w:color w:val="000000"/>
          <w:sz w:val="20"/>
          <w:lang w:val="en-US" w:eastAsia="en-US" w:bidi="ar-SA"/>
        </w:rPr>
        <w:t>  The Proposed NCC is 32 pages and contains over 200 paragraphs. The facts are pleaded in "Part 1: Statement of Facts," at paras. 1-170, and include facts pleaded in respect of the named plaintiffs and proposed plaintiffs. "Part 3: Legal Basis" is found at paras. 171-210.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58</w:t>
      </w:r>
      <w:r>
        <w:rPr>
          <w:rFonts w:ascii="arial" w:eastAsia="arial" w:hAnsi="arial" w:cs="arial"/>
          <w:color w:val="000000"/>
          <w:sz w:val="20"/>
          <w:lang w:val="en-US" w:eastAsia="en-US" w:bidi="ar-SA"/>
        </w:rPr>
        <w:t xml:space="preserve">  The Proposed NCC contains allegations and seeks relief relying on s. 8 of the </w:t>
      </w:r>
      <w:r>
        <w:rPr>
          <w:rFonts w:ascii="arial" w:eastAsia="arial" w:hAnsi="arial" w:cs="arial"/>
          <w:b/>
          <w:i/>
          <w:color w:val="000000"/>
          <w:sz w:val="20"/>
          <w:lang w:val="en-US" w:eastAsia="en-US" w:bidi="ar-SA"/>
        </w:rPr>
        <w:t>Charter</w:t>
      </w:r>
      <w:r>
        <w:rPr>
          <w:rFonts w:ascii="arial" w:eastAsia="arial" w:hAnsi="arial" w:cs="arial"/>
          <w:color w:val="000000"/>
          <w:sz w:val="20"/>
          <w:lang w:val="en-US" w:eastAsia="en-US" w:bidi="ar-SA"/>
        </w:rPr>
        <w:t>. However, the claims based on s. 8 were abandoned at the hearing.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59</w:t>
      </w:r>
      <w:r>
        <w:rPr>
          <w:rFonts w:ascii="arial" w:eastAsia="arial" w:hAnsi="arial" w:cs="arial"/>
          <w:color w:val="000000"/>
          <w:sz w:val="20"/>
          <w:lang w:val="en-US" w:eastAsia="en-US" w:bidi="ar-SA"/>
        </w:rPr>
        <w:t xml:space="preserve">  The Proposed NCC begins (at paras. 1-7) with a description of the parties. BC Hydro is alleged to be "a Crown corporation and agent of the Crown operating under" the </w:t>
      </w:r>
      <w:r>
        <w:rPr>
          <w:rFonts w:ascii="arial" w:eastAsia="arial" w:hAnsi="arial" w:cs="arial"/>
          <w:b/>
          <w:i/>
          <w:color w:val="000000"/>
          <w:sz w:val="20"/>
          <w:lang w:val="en-US" w:eastAsia="en-US" w:bidi="ar-SA"/>
        </w:rPr>
        <w:t>Hydro and Power Authority Act</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R.S.B.C. 1996, c. 212</w:t>
      </w:r>
      <w:r>
        <w:rPr>
          <w:rFonts w:ascii="arial" w:eastAsia="arial" w:hAnsi="arial" w:cs="arial"/>
          <w:color w:val="000000"/>
          <w:sz w:val="20"/>
          <w:lang w:val="en-US" w:eastAsia="en-US" w:bidi="ar-SA"/>
        </w:rPr>
        <w:t xml:space="preserve">. This is the only allegation of fact asserting that BC Hydro is an agent of the Crown. BC Hydro does not concede that the </w:t>
      </w:r>
      <w:r>
        <w:rPr>
          <w:rFonts w:ascii="arial" w:eastAsia="arial" w:hAnsi="arial" w:cs="arial"/>
          <w:b/>
          <w:i/>
          <w:color w:val="000000"/>
          <w:sz w:val="20"/>
          <w:lang w:val="en-US" w:eastAsia="en-US" w:bidi="ar-SA"/>
        </w:rPr>
        <w:t>Charter</w:t>
      </w:r>
      <w:r>
        <w:rPr>
          <w:rFonts w:ascii="arial" w:eastAsia="arial" w:hAnsi="arial" w:cs="arial"/>
          <w:color w:val="000000"/>
          <w:sz w:val="20"/>
          <w:lang w:val="en-US" w:eastAsia="en-US" w:bidi="ar-SA"/>
        </w:rPr>
        <w:t xml:space="preserve"> applies to it, and whether the </w:t>
      </w:r>
      <w:r>
        <w:rPr>
          <w:rFonts w:ascii="arial" w:eastAsia="arial" w:hAnsi="arial" w:cs="arial"/>
          <w:b/>
          <w:i/>
          <w:color w:val="000000"/>
          <w:sz w:val="20"/>
          <w:lang w:val="en-US" w:eastAsia="en-US" w:bidi="ar-SA"/>
        </w:rPr>
        <w:t>Charter</w:t>
      </w:r>
      <w:r>
        <w:rPr>
          <w:rFonts w:ascii="arial" w:eastAsia="arial" w:hAnsi="arial" w:cs="arial"/>
          <w:color w:val="000000"/>
          <w:sz w:val="20"/>
          <w:lang w:val="en-US" w:eastAsia="en-US" w:bidi="ar-SA"/>
        </w:rPr>
        <w:t xml:space="preserve"> applies to BC Hydro is very much a live issue in the action.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60</w:t>
      </w:r>
      <w:r>
        <w:rPr>
          <w:rFonts w:ascii="arial" w:eastAsia="arial" w:hAnsi="arial" w:cs="arial"/>
          <w:color w:val="000000"/>
          <w:sz w:val="20"/>
          <w:lang w:val="en-US" w:eastAsia="en-US" w:bidi="ar-SA"/>
        </w:rPr>
        <w:t>  Beginning at para. 8 and through to para. 22, the plaintiffs plead a number of definitions. (Other terms are defined later in the Proposed NCC.) For example, the plaintiffs plead: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u w:val="single"/>
          <w:lang w:val="en-US" w:eastAsia="en-US" w:bidi="ar-SA"/>
        </w:rPr>
        <w:t>"Smart Meter"</w:t>
      </w:r>
    </w:p>
    <w:p>
      <w:pPr>
        <w:numPr>
          <w:numId w:val="8"/>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 . "Smart Meter" (where capitalised) has the meaning ascribed to it by definition under section 17(1) of the </w:t>
      </w:r>
      <w:r>
        <w:rPr>
          <w:rFonts w:ascii="arial" w:eastAsia="arial" w:hAnsi="arial" w:cs="arial"/>
          <w:i/>
          <w:color w:val="000000"/>
          <w:sz w:val="20"/>
          <w:lang w:val="en-US" w:eastAsia="en-US" w:bidi="ar-SA"/>
        </w:rPr>
        <w:t>Clean Energy Act</w:t>
      </w:r>
      <w:r>
        <w:rPr>
          <w:rFonts w:ascii="arial" w:eastAsia="arial" w:hAnsi="arial" w:cs="arial"/>
          <w:color w:val="000000"/>
          <w:sz w:val="20"/>
          <w:lang w:val="en-US" w:eastAsia="en-US" w:bidi="ar-SA"/>
        </w:rPr>
        <w:t xml:space="preserve"> [SBC 2010] CHAPTER 22 and section 2 of the </w:t>
      </w:r>
      <w:r>
        <w:rPr>
          <w:rFonts w:ascii="arial" w:eastAsia="arial" w:hAnsi="arial" w:cs="arial"/>
          <w:i/>
          <w:color w:val="000000"/>
          <w:sz w:val="20"/>
          <w:lang w:val="en-US" w:eastAsia="en-US" w:bidi="ar-SA"/>
        </w:rPr>
        <w:t>Smart Meters and Smart Grid Regulation</w:t>
      </w:r>
      <w:r>
        <w:rPr>
          <w:rFonts w:ascii="arial" w:eastAsia="arial" w:hAnsi="arial" w:cs="arial"/>
          <w:color w:val="000000"/>
          <w:sz w:val="20"/>
          <w:lang w:val="en-US" w:eastAsia="en-US" w:bidi="ar-SA"/>
        </w:rPr>
        <w:t xml:space="preserve">, </w:t>
      </w:r>
      <w:hyperlink r:id="rId941" w:history="1">
        <w:r>
          <w:rPr>
            <w:rFonts w:ascii="arial" w:eastAsia="arial" w:hAnsi="arial" w:cs="arial"/>
            <w:i/>
            <w:color w:val="0077CC"/>
            <w:sz w:val="20"/>
            <w:u w:val="single"/>
            <w:shd w:val="clear" w:color="auto" w:fill="FFFFFF"/>
            <w:lang w:val="en-US" w:eastAsia="en-US" w:bidi="ar-SA"/>
          </w:rPr>
          <w:t>B.C. Reg. 368/2010</w:t>
        </w:r>
      </w:hyperlink>
      <w:r>
        <w:rPr>
          <w:rFonts w:ascii="arial" w:eastAsia="arial" w:hAnsi="arial" w:cs="arial"/>
          <w:color w:val="000000"/>
          <w:sz w:val="20"/>
          <w:lang w:val="en-US" w:eastAsia="en-US" w:bidi="ar-SA"/>
        </w:rPr>
        <w:t xml:space="preserve"> ("the Smart Meter Regulation").</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numPr>
          <w:numId w:val="9"/>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Where a Smart Meter does contain a Microwave Device, the operation of the Microwave Device may either be enabled or disabled.</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u w:val="single"/>
          <w:lang w:val="en-US" w:eastAsia="en-US" w:bidi="ar-SA"/>
        </w:rPr>
        <w:t>"Radio-off Meter"</w:t>
      </w:r>
    </w:p>
    <w:p>
      <w:pPr>
        <w:numPr>
          <w:numId w:val="10"/>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 . . "Radio-off Meter" means a Smart Meter that contains a Microwave Device, the operation of which has been disabled.</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u w:val="single"/>
          <w:lang w:val="en-US" w:eastAsia="en-US" w:bidi="ar-SA"/>
        </w:rPr>
        <w:t>"RF-Emitting Meter"</w:t>
      </w:r>
    </w:p>
    <w:p>
      <w:pPr>
        <w:numPr>
          <w:numId w:val="11"/>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 . . "RF-Emitting Meter" means a Smart Meter that contains a Microwave Device, the operation of which has been enabled. This is the kind of meter that is impugned in these proceedings. It is popularly referred to as a "smart meter" and such references are cited herein using the term "smart meter" in quotation marks without capitalization.</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u w:val="single"/>
          <w:lang w:val="en-US" w:eastAsia="en-US" w:bidi="ar-SA"/>
        </w:rPr>
        <w:t>"Dwelling"</w:t>
      </w:r>
    </w:p>
    <w:p>
      <w:pPr>
        <w:numPr>
          <w:numId w:val="12"/>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 . . "Dwelling" means a domestic residence or commercial premises to which a utility provides electrical service.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u w:val="single"/>
          <w:lang w:val="en-US" w:eastAsia="en-US" w:bidi="ar-SA"/>
        </w:rPr>
        <w:t>"Customer"</w:t>
      </w:r>
    </w:p>
    <w:p>
      <w:pPr>
        <w:numPr>
          <w:numId w:val="13"/>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 . . "Customer" means any individual, person, partnership, company or other entity receiving electrical service from an electrical utility at any particular Dwelling.</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u w:val="single"/>
          <w:lang w:val="en-US" w:eastAsia="en-US" w:bidi="ar-SA"/>
        </w:rPr>
        <w:t>"Opt-Out Fee"</w:t>
      </w:r>
    </w:p>
    <w:p>
      <w:pPr>
        <w:numPr>
          <w:numId w:val="14"/>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 . . "Opt-Out Fee" means a fee that an electrical utility charges to a Customer in exchange for the utility abiding by the Customer's choice to be free from the installation/operation of an RF-Emitting Meter at a particular Dwelling.</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u w:val="single"/>
          <w:lang w:val="en-US" w:eastAsia="en-US" w:bidi="ar-SA"/>
        </w:rPr>
        <w:t>"Failed Installation Fee"</w:t>
      </w:r>
    </w:p>
    <w:p>
      <w:pPr>
        <w:numPr>
          <w:numId w:val="15"/>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 . . "Failed Installation Fee" means a fee related to BC Hydro's attendance at a Dwelling to install an RF-Emitting Meter where installation is not carried out because of either an objection made by a Customer or an obstruction.</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u w:val="single"/>
          <w:lang w:val="en-US" w:eastAsia="en-US" w:bidi="ar-SA"/>
        </w:rPr>
        <w:t>"Service Refusal"</w:t>
      </w:r>
    </w:p>
    <w:p>
      <w:pPr>
        <w:numPr>
          <w:numId w:val="1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 . "Service Refusal" means a refusal by an electrical utility to initiate or continue the supply of electrical service to a Dwelling for reason of a Customer's refusal to:</w:t>
      </w:r>
    </w:p>
    <w:p>
      <w:pPr>
        <w:numPr>
          <w:numId w:val="17"/>
        </w:numPr>
        <w:tabs>
          <w:tab w:val="clear" w:pos="112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Allow the installation of an RF-Emitting Meter at a Dwelling; or</w:t>
      </w:r>
    </w:p>
    <w:p>
      <w:pPr>
        <w:numPr>
          <w:numId w:val="18"/>
        </w:numPr>
        <w:tabs>
          <w:tab w:val="clear" w:pos="112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Pay an Opt-Out Fee or Failed Installation Fee.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61</w:t>
      </w:r>
      <w:r>
        <w:rPr>
          <w:rFonts w:ascii="arial" w:eastAsia="arial" w:hAnsi="arial" w:cs="arial"/>
          <w:color w:val="000000"/>
          <w:sz w:val="20"/>
          <w:lang w:val="en-US" w:eastAsia="en-US" w:bidi="ar-SA"/>
        </w:rPr>
        <w:t>  "Impugned Conduct" and "Impugned Provisions" are key terms. The plaintiffs plead as follows: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u w:val="single"/>
          <w:lang w:val="en-US" w:eastAsia="en-US" w:bidi="ar-SA"/>
        </w:rPr>
        <w:t>"Impugned Conduct"</w:t>
      </w:r>
    </w:p>
    <w:p>
      <w:pPr>
        <w:numPr>
          <w:numId w:val="19"/>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This claim challenges the constitutionality of the following conduct by BC Hydro:</w:t>
      </w:r>
    </w:p>
    <w:p>
      <w:pPr>
        <w:numPr>
          <w:numId w:val="20"/>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Operation of an RF-Emitting Meter at a Dwelling of a Customer who at any time requests that there be no operation of an RF-Emitting Meter at his/her Dwelling;</w:t>
      </w:r>
    </w:p>
    <w:p>
      <w:pPr>
        <w:numPr>
          <w:numId w:val="21"/>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Threatening or effecting a Service Refusal;</w:t>
      </w:r>
    </w:p>
    <w:p>
      <w:pPr>
        <w:numPr>
          <w:numId w:val="22"/>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Exacting payment from a Customer of an Opt-Out Fee in exchange for BC Hydro abiding by the Customer's choice to be free from the installation/operation of an RF-Emitting Meter at a particular Dwelling.</w:t>
      </w:r>
    </w:p>
    <w:p>
      <w:pPr>
        <w:numPr>
          <w:numId w:val="23"/>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Exacting payment from a Customer of a Failed Installation Fee related to BC Hydro's attendance at a Dwelling to install an RF-Emitting Meter where installation is not carried out because of either an objection made by a Customer or an obstruction.</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Impugned Conduct")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u w:val="single"/>
          <w:lang w:val="en-US" w:eastAsia="en-US" w:bidi="ar-SA"/>
        </w:rPr>
        <w:t>"Impugned Provisions"</w:t>
      </w:r>
    </w:p>
    <w:p>
      <w:pPr>
        <w:numPr>
          <w:numId w:val="24"/>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This claim challenges the constitutional validity of the various legislative and/or administrative acts to the extent that they individually and/or collectively, by purpose or effect, authorize the Impugned Conduct, including:</w:t>
      </w:r>
    </w:p>
    <w:p>
      <w:pPr>
        <w:numPr>
          <w:numId w:val="25"/>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i/>
          <w:color w:val="000000"/>
          <w:sz w:val="20"/>
          <w:lang w:val="en-US" w:eastAsia="en-US" w:bidi="ar-SA"/>
        </w:rPr>
        <w:t>Clean Energy Act</w:t>
      </w:r>
      <w:r>
        <w:rPr>
          <w:rFonts w:ascii="arial" w:eastAsia="arial" w:hAnsi="arial" w:cs="arial"/>
          <w:color w:val="000000"/>
          <w:sz w:val="20"/>
          <w:lang w:val="en-US" w:eastAsia="en-US" w:bidi="ar-SA"/>
        </w:rPr>
        <w:t xml:space="preserve"> [SBC 2010] CHAPTER 22, section 17;</w:t>
      </w:r>
    </w:p>
    <w:p>
      <w:pPr>
        <w:numPr>
          <w:numId w:val="26"/>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i/>
          <w:color w:val="000000"/>
          <w:sz w:val="20"/>
          <w:lang w:val="en-US" w:eastAsia="en-US" w:bidi="ar-SA"/>
        </w:rPr>
        <w:t>Smart Meters and Smart Grid Regulation</w:t>
      </w:r>
      <w:r>
        <w:rPr>
          <w:rFonts w:ascii="arial" w:eastAsia="arial" w:hAnsi="arial" w:cs="arial"/>
          <w:color w:val="000000"/>
          <w:sz w:val="20"/>
          <w:lang w:val="en-US" w:eastAsia="en-US" w:bidi="ar-SA"/>
        </w:rPr>
        <w:t xml:space="preserve">, </w:t>
      </w:r>
      <w:hyperlink r:id="rId941" w:history="1">
        <w:r>
          <w:rPr>
            <w:rFonts w:ascii="arial" w:eastAsia="arial" w:hAnsi="arial" w:cs="arial"/>
            <w:i/>
            <w:color w:val="0077CC"/>
            <w:sz w:val="20"/>
            <w:u w:val="single"/>
            <w:shd w:val="clear" w:color="auto" w:fill="FFFFFF"/>
            <w:lang w:val="en-US" w:eastAsia="en-US" w:bidi="ar-SA"/>
          </w:rPr>
          <w:t>B.C. Reg. 368/2010</w:t>
        </w:r>
      </w:hyperlink>
      <w:r>
        <w:rPr>
          <w:rFonts w:ascii="arial" w:eastAsia="arial" w:hAnsi="arial" w:cs="arial"/>
          <w:color w:val="000000"/>
          <w:sz w:val="20"/>
          <w:lang w:val="en-US" w:eastAsia="en-US" w:bidi="ar-SA"/>
        </w:rPr>
        <w:t xml:space="preserve"> ("the Smart Meter Regulation");</w:t>
      </w:r>
    </w:p>
    <w:p>
      <w:pPr>
        <w:numPr>
          <w:numId w:val="27"/>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i/>
          <w:color w:val="000000"/>
          <w:sz w:val="20"/>
          <w:lang w:val="en-US" w:eastAsia="en-US" w:bidi="ar-SA"/>
        </w:rPr>
        <w:t>Hydro and Power Authority Act</w:t>
      </w:r>
      <w:r>
        <w:rPr>
          <w:rFonts w:ascii="arial" w:eastAsia="arial" w:hAnsi="arial" w:cs="arial"/>
          <w:color w:val="000000"/>
          <w:sz w:val="20"/>
          <w:lang w:val="en-US" w:eastAsia="en-US" w:bidi="ar-SA"/>
        </w:rPr>
        <w:t xml:space="preserve">, </w:t>
      </w:r>
      <w:hyperlink r:id="rId958" w:history="1">
        <w:r>
          <w:rPr>
            <w:rFonts w:ascii="arial" w:eastAsia="arial" w:hAnsi="arial" w:cs="arial"/>
            <w:i/>
            <w:color w:val="0077CC"/>
            <w:sz w:val="20"/>
            <w:u w:val="single"/>
            <w:shd w:val="clear" w:color="auto" w:fill="FFFFFF"/>
            <w:lang w:val="en-US" w:eastAsia="en-US" w:bidi="ar-SA"/>
          </w:rPr>
          <w:t>R.S.B.C. 1996, c. 212, section 20</w:t>
        </w:r>
      </w:hyperlink>
      <w:r>
        <w:rPr>
          <w:rFonts w:ascii="arial" w:eastAsia="arial" w:hAnsi="arial" w:cs="arial"/>
          <w:color w:val="000000"/>
          <w:sz w:val="20"/>
          <w:lang w:val="en-US" w:eastAsia="en-US" w:bidi="ar-SA"/>
        </w:rPr>
        <w:t>;</w:t>
      </w:r>
    </w:p>
    <w:p>
      <w:pPr>
        <w:numPr>
          <w:numId w:val="28"/>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i/>
          <w:color w:val="000000"/>
          <w:sz w:val="20"/>
          <w:lang w:val="en-US" w:eastAsia="en-US" w:bidi="ar-SA"/>
        </w:rPr>
        <w:t>Electricity and Gas Inspection Act</w:t>
      </w:r>
      <w:r>
        <w:rPr>
          <w:rFonts w:ascii="arial" w:eastAsia="arial" w:hAnsi="arial" w:cs="arial"/>
          <w:color w:val="000000"/>
          <w:sz w:val="20"/>
          <w:lang w:val="en-US" w:eastAsia="en-US" w:bidi="ar-SA"/>
        </w:rPr>
        <w:t>, (R.S.C., 1985, c. E-4), section 7;</w:t>
      </w:r>
    </w:p>
    <w:p>
      <w:pPr>
        <w:numPr>
          <w:numId w:val="32"/>
        </w:numPr>
        <w:spacing w:before="120" w:line="260" w:lineRule="atLeast"/>
        <w:jc w:val="both"/>
        <w:rPr>
          <w:rFonts w:ascii="arial" w:eastAsia="arial" w:hAnsi="arial" w:cs="arial"/>
          <w:sz w:val="20"/>
          <w:lang w:val="en-US" w:eastAsia="en-US" w:bidi="ar-SA"/>
        </w:rPr>
      </w:pPr>
      <w:r>
        <w:rPr>
          <w:rFonts w:ascii="arial" w:eastAsia="arial" w:hAnsi="arial" w:cs="arial"/>
          <w:i/>
          <w:color w:val="000000"/>
          <w:sz w:val="20"/>
          <w:lang w:val="en-US" w:eastAsia="en-US" w:bidi="ar-SA"/>
        </w:rPr>
        <w:t>BC Hydro Electric Tariff</w:t>
      </w:r>
      <w:r>
        <w:rPr>
          <w:rFonts w:ascii="arial" w:eastAsia="arial" w:hAnsi="arial" w:cs="arial"/>
          <w:color w:val="000000"/>
          <w:sz w:val="20"/>
          <w:lang w:val="en-US" w:eastAsia="en-US" w:bidi="ar-SA"/>
        </w:rPr>
        <w:t xml:space="preserve"> ("the Tariff'), sections 2.3, 4.2 - 4.2.5 and 9.5;</w:t>
      </w:r>
    </w:p>
    <w:p>
      <w:pPr>
        <w:numPr>
          <w:numId w:val="33"/>
        </w:numPr>
        <w:tabs>
          <w:tab w:val="clear" w:pos="112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BC Regulation 203/2013 ("Direction No. 4") and the amendments to the Tariff, as dictated by Direction No. 4, (i.e. sections 4.2.1, 4.2.2, 4.2.3 &amp; 4.2.4) including the criteria for opt-out eligibility under the Meter Choices Program, the imposition of an Opt-Out Fee, the imposition of a Failed Installation Fee, the definition of a "smart meter" as an RF-Emitting Meter and the establishment of such a meter as BC Hydro's standard meter that must be installed at each Customer's Dwelling.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62</w:t>
      </w:r>
      <w:r>
        <w:rPr>
          <w:rFonts w:ascii="arial" w:eastAsia="arial" w:hAnsi="arial" w:cs="arial"/>
          <w:color w:val="000000"/>
          <w:sz w:val="20"/>
          <w:lang w:val="en-US" w:eastAsia="en-US" w:bidi="ar-SA"/>
        </w:rPr>
        <w:t xml:space="preserve">  I note that all of the "Impugned Conduct" is described as in relation to a "Dwelling." While one normally thinks of a dwelling as being a home or a residence, that is not how "Dwelling" has been defined in the Proposed NCC. Rather, it includes </w:t>
      </w:r>
      <w:r>
        <w:rPr>
          <w:rFonts w:ascii="arial" w:eastAsia="arial" w:hAnsi="arial" w:cs="arial"/>
          <w:color w:val="000000"/>
          <w:sz w:val="20"/>
          <w:u w:val="single"/>
          <w:lang w:val="en-US" w:eastAsia="en-US" w:bidi="ar-SA"/>
        </w:rPr>
        <w:t>commercial</w:t>
      </w:r>
      <w:r>
        <w:rPr>
          <w:rFonts w:ascii="arial" w:eastAsia="arial" w:hAnsi="arial" w:cs="arial"/>
          <w:color w:val="000000"/>
          <w:sz w:val="20"/>
          <w:lang w:val="en-US" w:eastAsia="en-US" w:bidi="ar-SA"/>
        </w:rPr>
        <w:t xml:space="preserve"> premises, as well as residential premises. Given the importance the plaintiffs place on the sanctity of their </w:t>
      </w:r>
      <w:r>
        <w:rPr>
          <w:rFonts w:ascii="arial" w:eastAsia="arial" w:hAnsi="arial" w:cs="arial"/>
          <w:color w:val="000000"/>
          <w:sz w:val="20"/>
          <w:u w:val="single"/>
          <w:lang w:val="en-US" w:eastAsia="en-US" w:bidi="ar-SA"/>
        </w:rPr>
        <w:t>homes</w:t>
      </w:r>
      <w:r>
        <w:rPr>
          <w:rFonts w:ascii="arial" w:eastAsia="arial" w:hAnsi="arial" w:cs="arial"/>
          <w:color w:val="000000"/>
          <w:sz w:val="20"/>
          <w:lang w:val="en-US" w:eastAsia="en-US" w:bidi="ar-SA"/>
        </w:rPr>
        <w:t xml:space="preserve"> for purposes of their s. 7 claim, that has implications for proposed common issues 4 and 4.5, both of which use the term "Dwelling."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63</w:t>
      </w:r>
      <w:r>
        <w:rPr>
          <w:rFonts w:ascii="arial" w:eastAsia="arial" w:hAnsi="arial" w:cs="arial"/>
          <w:color w:val="000000"/>
          <w:sz w:val="20"/>
          <w:lang w:val="en-US" w:eastAsia="en-US" w:bidi="ar-SA"/>
        </w:rPr>
        <w:t xml:space="preserve">  Generally, paragraphs 23-85 of the Proposed NCC plead the facts on which the plaintiffs rely to say that the deprivation of their rights under s. 7 of the </w:t>
      </w:r>
      <w:r>
        <w:rPr>
          <w:rFonts w:ascii="arial" w:eastAsia="arial" w:hAnsi="arial" w:cs="arial"/>
          <w:b/>
          <w:i/>
          <w:color w:val="000000"/>
          <w:sz w:val="20"/>
          <w:lang w:val="en-US" w:eastAsia="en-US" w:bidi="ar-SA"/>
        </w:rPr>
        <w:t>Charter</w:t>
      </w:r>
      <w:r>
        <w:rPr>
          <w:rFonts w:ascii="arial" w:eastAsia="arial" w:hAnsi="arial" w:cs="arial"/>
          <w:color w:val="000000"/>
          <w:sz w:val="20"/>
          <w:lang w:val="en-US" w:eastAsia="en-US" w:bidi="ar-SA"/>
        </w:rPr>
        <w:t xml:space="preserve"> occurred in a manner that is inconsistent with the principles of fundamental justice. For example, the plaintiffs say that in paras. 38-74, they have alleged facts setting out how the law (i.e., the Impugned Provisions) "authorizes BC Hydro to coerce its Customers, under the pain of disconnection, to host components of the utility's network infrastructure" in a manner that is arbitrary and grossly disproportionate.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64</w:t>
      </w:r>
      <w:r>
        <w:rPr>
          <w:rFonts w:ascii="arial" w:eastAsia="arial" w:hAnsi="arial" w:cs="arial"/>
          <w:color w:val="000000"/>
          <w:sz w:val="20"/>
          <w:lang w:val="en-US" w:eastAsia="en-US" w:bidi="ar-SA"/>
        </w:rPr>
        <w:t xml:space="preserve">  Mr. Aaron submits that, at paras. 86-123 of the Proposed NCC, the plaintiffs have pleaded basic facts relating to health concerns in relation to smart meters. These are the key facts in relation to the s. 7 claim. Mr. Aaron submits that the plaintiffs have pleaded facts asserting a reasonable basis for concern so as to render the choice to be free from a smart meter a fundamental personal choice within an individual's home, and therefore protected by s. 7 of the </w:t>
      </w:r>
      <w:r>
        <w:rPr>
          <w:rFonts w:ascii="arial" w:eastAsia="arial" w:hAnsi="arial" w:cs="arial"/>
          <w:b/>
          <w:i/>
          <w:color w:val="000000"/>
          <w:sz w:val="20"/>
          <w:lang w:val="en-US" w:eastAsia="en-US" w:bidi="ar-SA"/>
        </w:rPr>
        <w:t>Charter</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65</w:t>
      </w:r>
      <w:r>
        <w:rPr>
          <w:rFonts w:ascii="arial" w:eastAsia="arial" w:hAnsi="arial" w:cs="arial"/>
          <w:color w:val="000000"/>
          <w:sz w:val="20"/>
          <w:lang w:val="en-US" w:eastAsia="en-US" w:bidi="ar-SA"/>
        </w:rPr>
        <w:t>  For example, the plaintiffs plead the following (headings have been omitted):</w:t>
      </w:r>
      <w:r>
        <w:rPr>
          <w:rFonts w:ascii="arial" w:eastAsia="arial" w:hAnsi="arial" w:cs="arial"/>
          <w:sz w:val="20"/>
          <w:lang w:val="en-US" w:eastAsia="en-US" w:bidi="ar-SA"/>
        </w:rPr>
        <w:cr/>
      </w:r>
    </w:p>
    <w:p>
      <w:pPr>
        <w:numPr>
          <w:numId w:val="34"/>
        </w:numPr>
        <w:tabs>
          <w:tab w:val="clear" w:pos="112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Each RF-Emitting Meter emits microwave radiation at a frequency range of 902 Megahertz (MHz) to 928 MHz ("the Emissions"), very close to the frequency range of cell phones.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 .</w:t>
      </w:r>
    </w:p>
    <w:p>
      <w:pPr>
        <w:numPr>
          <w:numId w:val="35"/>
        </w:numPr>
        <w:tabs>
          <w:tab w:val="clear" w:pos="112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Health Canada states that:</w:t>
      </w:r>
    </w:p>
    <w:p>
      <w:pPr>
        <w:numPr>
          <w:numId w:val="3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some of the RF energy emitted by "smart meters" will be absorbed by anyone who is nearby;</w:t>
      </w:r>
    </w:p>
    <w:p>
      <w:pPr>
        <w:numPr>
          <w:numId w:val="3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amount of energy absorbed depends largely on how close one's body is to a "smart meter"; and</w:t>
      </w:r>
    </w:p>
    <w:p>
      <w:pPr>
        <w:numPr>
          <w:numId w:val="38"/>
        </w:numPr>
        <w:tabs>
          <w:tab w:val="clear" w:pos="112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RF energy from smart meters results in very low RF exposure levels across the entire body.</w:t>
      </w:r>
    </w:p>
    <w:p>
      <w:pPr>
        <w:numPr>
          <w:numId w:val="39"/>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Where an RF-Emitting Meter is operating at a Dwelling, the occupants of that Dwelling will be exposed to the Emissions.</w:t>
      </w:r>
    </w:p>
    <w:p>
      <w:pPr>
        <w:numPr>
          <w:numId w:val="40"/>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At any given Dwelling, the Emissions cause biological effects in individuals who are exposed to them. The extent of those biological effects will increase with:</w:t>
      </w:r>
    </w:p>
    <w:p>
      <w:pPr>
        <w:numPr>
          <w:numId w:val="4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proximity of the individual to the RF-Emitting Meter; and</w:t>
      </w:r>
    </w:p>
    <w:p>
      <w:pPr>
        <w:numPr>
          <w:numId w:val="4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duration of exposure.</w:t>
      </w:r>
    </w:p>
    <w:p>
      <w:pPr>
        <w:numPr>
          <w:numId w:val="4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biological effects caused by exposure to RF emissions include:</w:t>
      </w:r>
    </w:p>
    <w:p>
      <w:pPr>
        <w:numPr>
          <w:numId w:val="4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increase in heart rate;</w:t>
      </w:r>
    </w:p>
    <w:p>
      <w:pPr>
        <w:numPr>
          <w:numId w:val="4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weight gain;</w:t>
      </w:r>
    </w:p>
    <w:p>
      <w:pPr>
        <w:numPr>
          <w:numId w:val="46"/>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DNA damage;</w:t>
      </w:r>
    </w:p>
    <w:p>
      <w:pPr>
        <w:numPr>
          <w:numId w:val="47"/>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changes in brain chemistry and electrical activity; and</w:t>
      </w:r>
    </w:p>
    <w:p>
      <w:pPr>
        <w:numPr>
          <w:numId w:val="48"/>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cellular stress response, i.e. the biological reaction of cells to a variety of harmful stimuli (e.g., temperature, toxic ions, pH, alcohol).</w:t>
      </w:r>
    </w:p>
    <w:p>
      <w:pPr>
        <w:numPr>
          <w:numId w:val="49"/>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RF emissions cause key biological reactions in cells that occur well before the tissue shows a rise in temperature as a result of the RF exposure.</w:t>
      </w:r>
    </w:p>
    <w:p>
      <w:pPr>
        <w:numPr>
          <w:numId w:val="50"/>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There is consensus in the scientific community as to the fact that exposure to the RF emissions causes biological effects. Those biological effects have not been established as being safe to human health.</w:t>
      </w:r>
    </w:p>
    <w:p>
      <w:pPr>
        <w:numPr>
          <w:numId w:val="5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interval between exposures is a relevant factor in the potential cumulative biological impact of RF emissions.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numPr>
          <w:numId w:val="52"/>
        </w:numPr>
        <w:tabs>
          <w:tab w:val="num" w:pos="1120"/>
          <w:tab w:val="clear" w:pos="184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Customers with an RF-Emitting Meter operating at their homes will be incessantly exposed to the Emissions, at the above-referenced intervals, for an indefinite duration.</w:t>
      </w:r>
    </w:p>
    <w:p>
      <w:pPr>
        <w:numPr>
          <w:numId w:val="53"/>
        </w:numPr>
        <w:tabs>
          <w:tab w:val="num" w:pos="1120"/>
          <w:tab w:val="clear" w:pos="184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The duration over which an individual is exposed to RF emissions is a relevant factor in the potential cumulative biological impact of RF emissions.</w:t>
      </w:r>
    </w:p>
    <w:p>
      <w:pPr>
        <w:numPr>
          <w:numId w:val="54"/>
        </w:numPr>
        <w:tabs>
          <w:tab w:val="num" w:pos="1120"/>
          <w:tab w:val="clear" w:pos="184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The biological response to RF emissions is cumulative. The probability of RF emissions causing a biological effect, and the severity of an effect, increases with the duration of exposure.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numPr>
          <w:numId w:val="55"/>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BC Hydro's RF-Emitting Meters will subject Customers to chronic RF exposure, day in and day out, at potentially close range, over an indefinite duration, at the above-referenced intervals.</w:t>
      </w:r>
    </w:p>
    <w:p>
      <w:pPr>
        <w:numPr>
          <w:numId w:val="5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There is a real issue of potential harm to the human body arising from exposure to the Emissions.</w:t>
      </w:r>
    </w:p>
    <w:p>
      <w:pPr>
        <w:numPr>
          <w:numId w:val="57"/>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Long-term exposure to RF emissions is a concern that carries much weight amongst the scientific and medical community.</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numPr>
          <w:numId w:val="58"/>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Science hasn't established that the RF emissions or RF-Emitting Meters are safe. On the contrary, there is evidence that RF emissions could be a health risk and, furthermore, there is evidence that RF emissions are a health risk.</w:t>
      </w:r>
    </w:p>
    <w:p>
      <w:pPr>
        <w:numPr>
          <w:numId w:val="59"/>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Serious and reasonable concerns exist regarding the effects of RF exposure on DNA expression, cellular processes and homeostasis.</w:t>
      </w:r>
    </w:p>
    <w:p>
      <w:pPr>
        <w:numPr>
          <w:numId w:val="60"/>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Some of the health concerns arise from the fact that RF emissions, at very low levels of exposure, can cause changes in the body that are indicative of cellular damage. These concerns are supported by measured increases in cancer risk that are linked to the radiation.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66</w:t>
      </w:r>
      <w:r>
        <w:rPr>
          <w:rFonts w:ascii="arial" w:eastAsia="arial" w:hAnsi="arial" w:cs="arial"/>
          <w:color w:val="000000"/>
          <w:sz w:val="20"/>
          <w:lang w:val="en-US" w:eastAsia="en-US" w:bidi="ar-SA"/>
        </w:rPr>
        <w:t>  I note in these paragraphs that a distinction is drawn between "Emissions" (see paras. 90-91, 100, 111), which is a defined term, and "RF emissions" (see, e.g., paras. 92-95, 101-102, 112). I note also that a distinction is drawn between a Dwelling (see paras. 90, 91, e.g.) and customers' "homes" (see para. 100).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67</w:t>
      </w:r>
      <w:r>
        <w:rPr>
          <w:rFonts w:ascii="arial" w:eastAsia="arial" w:hAnsi="arial" w:cs="arial"/>
          <w:color w:val="000000"/>
          <w:sz w:val="20"/>
          <w:lang w:val="en-US" w:eastAsia="en-US" w:bidi="ar-SA"/>
        </w:rPr>
        <w:t>  The plaintiffs then plead:</w:t>
      </w:r>
      <w:r>
        <w:rPr>
          <w:rFonts w:ascii="arial" w:eastAsia="arial" w:hAnsi="arial" w:cs="arial"/>
          <w:sz w:val="20"/>
          <w:lang w:val="en-US" w:eastAsia="en-US" w:bidi="ar-SA"/>
        </w:rPr>
        <w:cr/>
      </w:r>
    </w:p>
    <w:p>
      <w:pPr>
        <w:numPr>
          <w:numId w:val="61"/>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Some individuals choose to eliminate or minimize their exposure to RF emissions in their residential environment or workplace.</w:t>
      </w:r>
    </w:p>
    <w:p>
      <w:pPr>
        <w:numPr>
          <w:numId w:val="62"/>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The choice to be free from the operation of an RF-Emitting Meter at one's Dwelling is a fundamental personal choice and an act of environmental self-determination.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68</w:t>
      </w:r>
      <w:r>
        <w:rPr>
          <w:rFonts w:ascii="arial" w:eastAsia="arial" w:hAnsi="arial" w:cs="arial"/>
          <w:color w:val="000000"/>
          <w:sz w:val="20"/>
          <w:lang w:val="en-US" w:eastAsia="en-US" w:bidi="ar-SA"/>
        </w:rPr>
        <w:t xml:space="preserve">  I note several things in relation to these two paragraphs. First, I note the allegation of </w:t>
      </w:r>
      <w:r>
        <w:rPr>
          <w:rFonts w:ascii="arial" w:eastAsia="arial" w:hAnsi="arial" w:cs="arial"/>
          <w:color w:val="000000"/>
          <w:sz w:val="20"/>
          <w:u w:val="single"/>
          <w:lang w:val="en-US" w:eastAsia="en-US" w:bidi="ar-SA"/>
        </w:rPr>
        <w:t>some</w:t>
      </w:r>
      <w:r>
        <w:rPr>
          <w:rFonts w:ascii="arial" w:eastAsia="arial" w:hAnsi="arial" w:cs="arial"/>
          <w:color w:val="000000"/>
          <w:sz w:val="20"/>
          <w:lang w:val="en-US" w:eastAsia="en-US" w:bidi="ar-SA"/>
        </w:rPr>
        <w:t xml:space="preserve"> individuals. Not surprisingly, the plaintiffs implicitly acknowledge that </w:t>
      </w:r>
      <w:r>
        <w:rPr>
          <w:rFonts w:ascii="arial" w:eastAsia="arial" w:hAnsi="arial" w:cs="arial"/>
          <w:color w:val="000000"/>
          <w:sz w:val="20"/>
          <w:u w:val="single"/>
          <w:lang w:val="en-US" w:eastAsia="en-US" w:bidi="ar-SA"/>
        </w:rPr>
        <w:t>other</w:t>
      </w:r>
      <w:r>
        <w:rPr>
          <w:rFonts w:ascii="arial" w:eastAsia="arial" w:hAnsi="arial" w:cs="arial"/>
          <w:color w:val="000000"/>
          <w:sz w:val="20"/>
          <w:lang w:val="en-US" w:eastAsia="en-US" w:bidi="ar-SA"/>
        </w:rPr>
        <w:t xml:space="preserve"> individuals have or may have different points of view and make different choices. Second, the allegation in para. 130 is not connected with anything. For example, the allegation is not connected with health concerns, which are said to be the basis for the plaintiffs' assertions that their rights are being violated by the Impugned Provisions and the Impugned Conduct. Third, a "residential environment or workplace" is not the same as a "Dwelling." Thus, even within the Proposed NCC, there is a lack of clarity in how the plaintiffs plead their s. 7 claim. Finally, the allegation that the "choice to be free . . . is a fundamental personal choice" cannot be an allegation of fact. Rather, it is the legal conclusion that the plaintiffs hope will ultimately be drawn in their s. 7 claim.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69</w:t>
      </w:r>
      <w:r>
        <w:rPr>
          <w:rFonts w:ascii="arial" w:eastAsia="arial" w:hAnsi="arial" w:cs="arial"/>
          <w:color w:val="000000"/>
          <w:sz w:val="20"/>
          <w:lang w:val="en-US" w:eastAsia="en-US" w:bidi="ar-SA"/>
        </w:rPr>
        <w:t>  Beginning at para. 132, the plaintiffs plead allegations concerning individuals proposed as representative plaintiffs. For example, the plaintiffs plead regarding Ms. Davis as follows:</w:t>
      </w:r>
      <w:r>
        <w:rPr>
          <w:rFonts w:ascii="arial" w:eastAsia="arial" w:hAnsi="arial" w:cs="arial"/>
          <w:sz w:val="20"/>
          <w:lang w:val="en-US" w:eastAsia="en-US" w:bidi="ar-SA"/>
        </w:rPr>
        <w:cr/>
      </w:r>
    </w:p>
    <w:p>
      <w:pPr>
        <w:numPr>
          <w:numId w:val="63"/>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Davis and her husband are residential customers of BC Hydro with respect to the supply of power to their home at the above-referenced address.</w:t>
      </w:r>
    </w:p>
    <w:p>
      <w:pPr>
        <w:numPr>
          <w:numId w:val="64"/>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Davis and her husband choose that their home be free of an RF-Emitting Meter; however, they have been deprived of that choice as a result of BC Hydro's installation of an RF-Emitting Meter at their home.</w:t>
      </w:r>
    </w:p>
    <w:p>
      <w:pPr>
        <w:numPr>
          <w:numId w:val="65"/>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On August 22, 2012, at the home of Davis, BC Hydro installed an RF-Emitting Meter which has since been operating continuously.</w:t>
      </w:r>
    </w:p>
    <w:p>
      <w:pPr>
        <w:numPr>
          <w:numId w:val="66"/>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Prior to Direction No. 4 coming into force, Davis requested that the RF-Emitting Meter be removed from her home and BC Hydro did not accede to that request.</w:t>
      </w:r>
    </w:p>
    <w:p>
      <w:pPr>
        <w:numPr>
          <w:numId w:val="67"/>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On September 25, 2013, Direction No. 4 came into force, with the result that Davis and her husband became ineligible to choose to be free of an RF-Emitting Meter at their home (for reason that an RF-Emitting Meter had already been installed there).</w:t>
      </w:r>
    </w:p>
    <w:p>
      <w:pPr>
        <w:numPr>
          <w:numId w:val="68"/>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In reliance on the Impugned Provisions, BC Hydro takes the position that the operation of an RF-Emitting Meter at the Davis home is compulsory, the only other option being Service Refusal.</w:t>
      </w:r>
    </w:p>
    <w:p>
      <w:pPr>
        <w:numPr>
          <w:numId w:val="69"/>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Davis and her husband require BC Hydro's electrical service, without which they would be deprived of a necessity to their daily life.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70</w:t>
      </w:r>
      <w:r>
        <w:rPr>
          <w:rFonts w:ascii="arial" w:eastAsia="arial" w:hAnsi="arial" w:cs="arial"/>
          <w:color w:val="000000"/>
          <w:sz w:val="20"/>
          <w:lang w:val="en-US" w:eastAsia="en-US" w:bidi="ar-SA"/>
        </w:rPr>
        <w:t xml:space="preserve">  I note that no facts are pleaded concerning Ms. Davis's </w:t>
      </w:r>
      <w:r>
        <w:rPr>
          <w:rFonts w:ascii="arial" w:eastAsia="arial" w:hAnsi="arial" w:cs="arial"/>
          <w:color w:val="000000"/>
          <w:sz w:val="20"/>
          <w:u w:val="single"/>
          <w:lang w:val="en-US" w:eastAsia="en-US" w:bidi="ar-SA"/>
        </w:rPr>
        <w:t>reason</w:t>
      </w:r>
      <w:r>
        <w:rPr>
          <w:rFonts w:ascii="arial" w:eastAsia="arial" w:hAnsi="arial" w:cs="arial"/>
          <w:color w:val="000000"/>
          <w:sz w:val="20"/>
          <w:lang w:val="en-US" w:eastAsia="en-US" w:bidi="ar-SA"/>
        </w:rPr>
        <w:t xml:space="preserve"> for choosing to be free of a smart meter, although her affidavit evidence provides some explanation.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71</w:t>
      </w:r>
      <w:r>
        <w:rPr>
          <w:rFonts w:ascii="arial" w:eastAsia="arial" w:hAnsi="arial" w:cs="arial"/>
          <w:color w:val="000000"/>
          <w:sz w:val="20"/>
          <w:lang w:val="en-US" w:eastAsia="en-US" w:bidi="ar-SA"/>
        </w:rPr>
        <w:t>  The plaintiffs plead with respect to Sharon Noble:</w:t>
      </w:r>
      <w:r>
        <w:rPr>
          <w:rFonts w:ascii="arial" w:eastAsia="arial" w:hAnsi="arial" w:cs="arial"/>
          <w:sz w:val="20"/>
          <w:lang w:val="en-US" w:eastAsia="en-US" w:bidi="ar-SA"/>
        </w:rPr>
        <w:cr/>
      </w:r>
    </w:p>
    <w:p>
      <w:pPr>
        <w:numPr>
          <w:numId w:val="70"/>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Noble is a residential customer of BC Hydro with respect to the supply of power to her home at the above-referenced address.</w:t>
      </w:r>
    </w:p>
    <w:p>
      <w:pPr>
        <w:numPr>
          <w:numId w:val="71"/>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Noble seeks to freely choose that her home be free of an RF-Emitting Meter; however, BC Hydro has exacted payment of an Opt-Out Fee as a consequence of her making that choice.</w:t>
      </w:r>
    </w:p>
    <w:p>
      <w:pPr>
        <w:numPr>
          <w:numId w:val="72"/>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As of September 25, 2013, BC Hydro had not installed an RF-Emitting Meter at the home of Noble, with the result that Noble became eligible to choose to be free of an RF- Emitting Meter at her home subject to her payment of an Opt-Out Fee.</w:t>
      </w:r>
    </w:p>
    <w:p>
      <w:pPr>
        <w:numPr>
          <w:numId w:val="73"/>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Noble paid the Opt-Out Fee.</w:t>
      </w:r>
    </w:p>
    <w:p>
      <w:pPr>
        <w:numPr>
          <w:numId w:val="74"/>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In reliance on the Impugned Provisions, BC Hydro takes the position that payment of the Opt-Out Fee is compulsory, the only other options being Service Refusal or the installation of an RF-Emitting Meter.</w:t>
      </w:r>
    </w:p>
    <w:p>
      <w:pPr>
        <w:numPr>
          <w:numId w:val="75"/>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Noble requires BC Hydro's electrical service, without which she would be deprived of a necessity to her daily life.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72</w:t>
      </w:r>
      <w:r>
        <w:rPr>
          <w:rFonts w:ascii="arial" w:eastAsia="arial" w:hAnsi="arial" w:cs="arial"/>
          <w:color w:val="000000"/>
          <w:sz w:val="20"/>
          <w:lang w:val="en-US" w:eastAsia="en-US" w:bidi="ar-SA"/>
        </w:rPr>
        <w:t>  Again, no facts are pleaded concerning Ms. Noble's reason for seeking to "freely choose" that her home be free of a smart meter.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73</w:t>
      </w:r>
      <w:r>
        <w:rPr>
          <w:rFonts w:ascii="arial" w:eastAsia="arial" w:hAnsi="arial" w:cs="arial"/>
          <w:color w:val="000000"/>
          <w:sz w:val="20"/>
          <w:lang w:val="en-US" w:eastAsia="en-US" w:bidi="ar-SA"/>
        </w:rPr>
        <w:t>  With respect to relief, and in addition to certification of this action as a class proceeding, the plaintiffs seek the following in "Part 2: Relief Sought":</w:t>
      </w:r>
      <w:r>
        <w:rPr>
          <w:rFonts w:ascii="arial" w:eastAsia="arial" w:hAnsi="arial" w:cs="arial"/>
          <w:sz w:val="20"/>
          <w:lang w:val="en-US" w:eastAsia="en-US" w:bidi="ar-SA"/>
        </w:rPr>
        <w:cr/>
      </w:r>
    </w:p>
    <w:p>
      <w:pPr>
        <w:numPr>
          <w:numId w:val="76"/>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A declaration that, to the extent that the Impugned Provisions authorize BC Hydro to engage in the Impugned Conduct, both the Impugned Provisions and the Impugned Conduct unjustifiably infringe s. 7 of the [</w:t>
      </w:r>
      <w:r>
        <w:rPr>
          <w:rFonts w:ascii="arial" w:eastAsia="arial" w:hAnsi="arial" w:cs="arial"/>
          <w:b/>
          <w:i/>
          <w:color w:val="000000"/>
          <w:sz w:val="20"/>
          <w:lang w:val="en-US" w:eastAsia="en-US" w:bidi="ar-SA"/>
        </w:rPr>
        <w:t>Charter</w:t>
      </w:r>
      <w:r>
        <w:rPr>
          <w:rFonts w:ascii="arial" w:eastAsia="arial" w:hAnsi="arial" w:cs="arial"/>
          <w:color w:val="000000"/>
          <w:sz w:val="20"/>
          <w:lang w:val="en-US" w:eastAsia="en-US" w:bidi="ar-SA"/>
        </w:rPr>
        <w:t>] and are, to that extent, of no force and effect;</w:t>
      </w:r>
    </w:p>
    <w:p>
      <w:pPr>
        <w:numPr>
          <w:numId w:val="76"/>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That such a declaration be given retroactive effect dating back to BC Hydro's first instance of the Impugned Conduct in the summer of 2011;</w:t>
      </w:r>
    </w:p>
    <w:p>
      <w:pPr>
        <w:numPr>
          <w:numId w:val="76"/>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An order in the nature of a permanent injunction:</w:t>
      </w:r>
    </w:p>
    <w:p>
      <w:pPr>
        <w:numPr>
          <w:numId w:val="77"/>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requiring BC Hydro to forthwith cease and desist from the operation of an RF-Emitting Meter at the Dwelling of any Plaintiff who at any time requests that there be no operation of an RF-Emitting Meter at his/her Dwelling;</w:t>
      </w:r>
    </w:p>
    <w:p>
      <w:pPr>
        <w:numPr>
          <w:numId w:val="77"/>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prohibiting BC Hydro from charging (or threatening to charge) an Opt-Out Fee to any Customer; and</w:t>
      </w:r>
    </w:p>
    <w:p>
      <w:pPr>
        <w:numPr>
          <w:numId w:val="77"/>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Prohibiting BC Hydro from engaging (or threatening to engage) in a Service Refusal;</w:t>
      </w:r>
    </w:p>
    <w:p>
      <w:pPr>
        <w:numPr>
          <w:numId w:val="78"/>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An declaration as to the invalidity of any agreement provided by any Plaintiff under the Meter Choices Program to accept an RF-Emitting Meter or pay an Opt-Out Fee;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numPr>
          <w:numId w:val="79"/>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An order of damages in the amount of any Opt-Out Fee and/or Failed Installation Fee collected by BC Hydro;</w:t>
      </w:r>
    </w:p>
    <w:p>
      <w:pPr>
        <w:numPr>
          <w:numId w:val="79"/>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Further and in any event, pursuant to section 24(1) of the </w:t>
      </w:r>
      <w:r>
        <w:rPr>
          <w:rFonts w:ascii="arial" w:eastAsia="arial" w:hAnsi="arial" w:cs="arial"/>
          <w:i/>
          <w:color w:val="000000"/>
          <w:sz w:val="20"/>
          <w:lang w:val="en-US" w:eastAsia="en-US" w:bidi="ar-SA"/>
        </w:rPr>
        <w:t>Charter</w:t>
      </w:r>
      <w:r>
        <w:rPr>
          <w:rFonts w:ascii="arial" w:eastAsia="arial" w:hAnsi="arial" w:cs="arial"/>
          <w:color w:val="000000"/>
          <w:sz w:val="20"/>
          <w:lang w:val="en-US" w:eastAsia="en-US" w:bidi="ar-SA"/>
        </w:rPr>
        <w:t xml:space="preserve">, an order for damages in the aggregate for breach of the rights of the Plaintiffs as protected under the </w:t>
      </w:r>
      <w:r>
        <w:rPr>
          <w:rFonts w:ascii="arial" w:eastAsia="arial" w:hAnsi="arial" w:cs="arial"/>
          <w:i/>
          <w:color w:val="000000"/>
          <w:sz w:val="20"/>
          <w:lang w:val="en-US" w:eastAsia="en-US" w:bidi="ar-SA"/>
        </w:rPr>
        <w:t>Charter</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74</w:t>
      </w:r>
      <w:r>
        <w:rPr>
          <w:rFonts w:ascii="arial" w:eastAsia="arial" w:hAnsi="arial" w:cs="arial"/>
          <w:color w:val="000000"/>
          <w:sz w:val="20"/>
          <w:lang w:val="en-US" w:eastAsia="en-US" w:bidi="ar-SA"/>
        </w:rPr>
        <w:t>  In the "Legal Basis" section, the plaintiffs plead:</w:t>
      </w:r>
      <w:r>
        <w:rPr>
          <w:rFonts w:ascii="arial" w:eastAsia="arial" w:hAnsi="arial" w:cs="arial"/>
          <w:sz w:val="20"/>
          <w:lang w:val="en-US" w:eastAsia="en-US" w:bidi="ar-SA"/>
        </w:rPr>
        <w:cr/>
      </w:r>
    </w:p>
    <w:p>
      <w:pPr>
        <w:numPr>
          <w:numId w:val="80"/>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Each Plaintiff has been deprived of his or her s. 7 </w:t>
      </w:r>
      <w:r>
        <w:rPr>
          <w:rFonts w:ascii="arial" w:eastAsia="arial" w:hAnsi="arial" w:cs="arial"/>
          <w:i/>
          <w:color w:val="000000"/>
          <w:sz w:val="20"/>
          <w:lang w:val="en-US" w:eastAsia="en-US" w:bidi="ar-SA"/>
        </w:rPr>
        <w:t>Charter</w:t>
      </w:r>
      <w:r>
        <w:rPr>
          <w:rFonts w:ascii="arial" w:eastAsia="arial" w:hAnsi="arial" w:cs="arial"/>
          <w:color w:val="000000"/>
          <w:sz w:val="20"/>
          <w:lang w:val="en-US" w:eastAsia="en-US" w:bidi="ar-SA"/>
        </w:rPr>
        <w:t xml:space="preserve"> rights of liberty and security of the person . . . .</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75</w:t>
      </w:r>
      <w:r>
        <w:rPr>
          <w:rFonts w:ascii="arial" w:eastAsia="arial" w:hAnsi="arial" w:cs="arial"/>
          <w:color w:val="000000"/>
          <w:sz w:val="20"/>
          <w:lang w:val="en-US" w:eastAsia="en-US" w:bidi="ar-SA"/>
        </w:rPr>
        <w:t>  With respect to the right to liberty, the plaintiffs plead further that:</w:t>
      </w:r>
      <w:r>
        <w:rPr>
          <w:rFonts w:ascii="arial" w:eastAsia="arial" w:hAnsi="arial" w:cs="arial"/>
          <w:sz w:val="20"/>
          <w:lang w:val="en-US" w:eastAsia="en-US" w:bidi="ar-SA"/>
        </w:rPr>
        <w:cr/>
      </w:r>
    </w:p>
    <w:p>
      <w:pPr>
        <w:numPr>
          <w:numId w:val="81"/>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The s. 7 right to liberty is engaged and infringed by state interference with the right of the individual to a protected sphere of autonomy over fundamental personal choices going to the core of what it means to enjoy individual dignity and independence, including:</w:t>
      </w:r>
    </w:p>
    <w:p>
      <w:pPr>
        <w:numPr>
          <w:numId w:val="11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determination of one's environmental exposures generated from one's own home;</w:t>
      </w:r>
    </w:p>
    <w:p>
      <w:pPr>
        <w:numPr>
          <w:numId w:val="11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choice to take precautionary avoidance measures against long-term, sustained exposure to an environmental agent, the safety of which remains a matter of reasonable concern; and</w:t>
      </w:r>
    </w:p>
    <w:p>
      <w:pPr>
        <w:numPr>
          <w:numId w:val="11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choice to be free of an RF-Emitting Meter situated at one's own home.</w:t>
      </w:r>
    </w:p>
    <w:p>
      <w:pPr>
        <w:numPr>
          <w:numId w:val="11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said state interference occurs by way of the Impugned Provisions and the Impugned Conduct that is authorized thereunder, both of which deprive the Plaintiffs of the power and autonomy to make fundamental personal choices about how to live in their own homes.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76</w:t>
      </w:r>
      <w:r>
        <w:rPr>
          <w:rFonts w:ascii="arial" w:eastAsia="arial" w:hAnsi="arial" w:cs="arial"/>
          <w:color w:val="000000"/>
          <w:sz w:val="20"/>
          <w:lang w:val="en-US" w:eastAsia="en-US" w:bidi="ar-SA"/>
        </w:rPr>
        <w:t xml:space="preserve">  I note these allegations are in connection with an individual's </w:t>
      </w:r>
      <w:r>
        <w:rPr>
          <w:rFonts w:ascii="arial" w:eastAsia="arial" w:hAnsi="arial" w:cs="arial"/>
          <w:color w:val="000000"/>
          <w:sz w:val="20"/>
          <w:u w:val="single"/>
          <w:lang w:val="en-US" w:eastAsia="en-US" w:bidi="ar-SA"/>
        </w:rPr>
        <w:t>home</w:t>
      </w:r>
      <w:r>
        <w:rPr>
          <w:rFonts w:ascii="arial" w:eastAsia="arial" w:hAnsi="arial" w:cs="arial"/>
          <w:color w:val="000000"/>
          <w:sz w:val="20"/>
          <w:lang w:val="en-US" w:eastAsia="en-US" w:bidi="ar-SA"/>
        </w:rPr>
        <w:t xml:space="preserve">, not a Dwelling, and connect the liberty right with a right to control and make decisions about what goes on in and at one's </w:t>
      </w:r>
      <w:r>
        <w:rPr>
          <w:rFonts w:ascii="arial" w:eastAsia="arial" w:hAnsi="arial" w:cs="arial"/>
          <w:color w:val="000000"/>
          <w:sz w:val="20"/>
          <w:u w:val="single"/>
          <w:lang w:val="en-US" w:eastAsia="en-US" w:bidi="ar-SA"/>
        </w:rPr>
        <w:t>home</w:t>
      </w:r>
      <w:r>
        <w:rPr>
          <w:rFonts w:ascii="arial" w:eastAsia="arial" w:hAnsi="arial" w:cs="arial"/>
          <w:color w:val="000000"/>
          <w:sz w:val="20"/>
          <w:lang w:val="en-US" w:eastAsia="en-US" w:bidi="ar-SA"/>
        </w:rPr>
        <w:t>. However, proposed common issues 4 and 4.5 are about a Dwelling.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77</w:t>
      </w:r>
      <w:r>
        <w:rPr>
          <w:rFonts w:ascii="arial" w:eastAsia="arial" w:hAnsi="arial" w:cs="arial"/>
          <w:color w:val="000000"/>
          <w:sz w:val="20"/>
          <w:lang w:val="en-US" w:eastAsia="en-US" w:bidi="ar-SA"/>
        </w:rPr>
        <w:t>  With respect to security of the person, the plaintiffs plead, for example:</w:t>
      </w:r>
      <w:r>
        <w:rPr>
          <w:rFonts w:ascii="arial" w:eastAsia="arial" w:hAnsi="arial" w:cs="arial"/>
          <w:sz w:val="20"/>
          <w:lang w:val="en-US" w:eastAsia="en-US" w:bidi="ar-SA"/>
        </w:rPr>
        <w:cr/>
      </w:r>
    </w:p>
    <w:p>
      <w:pPr>
        <w:numPr>
          <w:numId w:val="11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Security of the person encompasses a notion of personal autonomy involving control over one's bodily integrity free from state interference.</w:t>
      </w:r>
    </w:p>
    <w:p>
      <w:pPr>
        <w:numPr>
          <w:numId w:val="11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s. 7 right to security of person is engaged and infringed by state interference with an individual's bodily integrity in the sanctity of his/her own home. The said state interference occurs by the Impugned Provisions which authorize BC Hydro's imposition of an RF-emitting device at one's place of residence, a device that generates sustained emissions of a possibly harmful environmental agent such that those emissions are absorbed into the bodies of anyone nearby, with biological effects.</w:t>
      </w:r>
    </w:p>
    <w:p>
      <w:pPr>
        <w:numPr>
          <w:numId w:val="12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s. 7 right to security of person is further engaged and infringed by state interference with the ability of an individual to make and act upon decisions concerning his or her own home and body, to exercise control over matters fundamental to his or her bodily integrity, and by the resultant impairment to his or her human dignity and independence.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78</w:t>
      </w:r>
      <w:r>
        <w:rPr>
          <w:rFonts w:ascii="arial" w:eastAsia="arial" w:hAnsi="arial" w:cs="arial"/>
          <w:color w:val="000000"/>
          <w:sz w:val="20"/>
          <w:lang w:val="en-US" w:eastAsia="en-US" w:bidi="ar-SA"/>
        </w:rPr>
        <w:t>  Again, I note that these allegations are made, not in respect of a Dwelling, but in relation to "one's own home" and an individual's "residence." Since the proposed common issues use the term Dwelling, they are therefore not grounded in the allegations in the Proposed NCC.</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79</w:t>
      </w:r>
      <w:r>
        <w:rPr>
          <w:rFonts w:ascii="arial" w:eastAsia="arial" w:hAnsi="arial" w:cs="arial"/>
          <w:color w:val="000000"/>
          <w:sz w:val="20"/>
          <w:lang w:val="en-US" w:eastAsia="en-US" w:bidi="ar-SA"/>
        </w:rPr>
        <w:t>  The plaintiffs assert under the heading "Biological effects trigger rights" the following:</w:t>
      </w:r>
      <w:r>
        <w:rPr>
          <w:rFonts w:ascii="arial" w:eastAsia="arial" w:hAnsi="arial" w:cs="arial"/>
          <w:sz w:val="20"/>
          <w:lang w:val="en-US" w:eastAsia="en-US" w:bidi="ar-SA"/>
        </w:rPr>
        <w:cr/>
      </w:r>
    </w:p>
    <w:p>
      <w:pPr>
        <w:numPr>
          <w:numId w:val="12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Exposure to the RF emissions causes biological effects. That fact, in itself, triggers a right of autonomy and free choice, regardless of whether the said biological effects have been established as being adverse to human health. One has a right against being physically "touched" by the state in one's own home.</w:t>
      </w:r>
    </w:p>
    <w:p>
      <w:pPr>
        <w:numPr>
          <w:numId w:val="12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It is a violation of s. 7 (autonomy and personal security) . . . to forcefully situate an RF-Emitting Device at an individual's home where that device generates an environmental agent that is known to have effects on human biology, a fortiori where the safety of such exposure remains a matter of reasonable concern.</w:t>
      </w:r>
    </w:p>
    <w:p>
      <w:pPr>
        <w:numPr>
          <w:numId w:val="12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safety of the Emissions remains a matter of reasonable concern.</w:t>
      </w:r>
    </w:p>
    <w:p>
      <w:pPr>
        <w:numPr>
          <w:numId w:val="124"/>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Given that there is evidence that RF Emissions could be a health risk, the individual choice to be free of an RF-Emitting Meter at home is an intimately personal choice as well as a reasonable choice.</w:t>
      </w:r>
    </w:p>
    <w:p>
      <w:pPr>
        <w:numPr>
          <w:numId w:val="12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There exists a reasonable basis for concern about health risk so as to justify a precautionary approach to avoidance of an RF-Emitting Meter at one's Dwelling.</w:t>
      </w:r>
    </w:p>
    <w:p>
      <w:pPr>
        <w:numPr>
          <w:numId w:val="12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There exists a reasonable basis for concern about health risk so as to give rise to a right of autonomy and free choice as to whether an RF-Emitting Meter is operational from one's own Dwelling.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These are not alleged as facts, but as part of the Legal Basis of the Proposed NCC.</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80</w:t>
      </w:r>
      <w:r>
        <w:rPr>
          <w:rFonts w:ascii="arial" w:eastAsia="arial" w:hAnsi="arial" w:cs="arial"/>
          <w:color w:val="000000"/>
          <w:sz w:val="20"/>
          <w:lang w:val="en-US" w:eastAsia="en-US" w:bidi="ar-SA"/>
        </w:rPr>
        <w:t xml:space="preserve">  In support of his position that, based on the Proposed NCC, the plaintiffs have pleaded a reasonable claim in respect of the protection under s. 7 of the right to liberty, Mr. Aaron refers to (among other cases): </w:t>
      </w:r>
      <w:r>
        <w:rPr>
          <w:rFonts w:ascii="arial" w:eastAsia="arial" w:hAnsi="arial" w:cs="arial"/>
          <w:b/>
          <w:i/>
          <w:color w:val="000000"/>
          <w:sz w:val="20"/>
          <w:lang w:val="en-US" w:eastAsia="en-US" w:bidi="ar-SA"/>
        </w:rPr>
        <w:t>Godbout v. Longueuil (City)</w:t>
      </w:r>
      <w:r>
        <w:rPr>
          <w:rFonts w:ascii="arial" w:eastAsia="arial" w:hAnsi="arial" w:cs="arial"/>
          <w:color w:val="000000"/>
          <w:sz w:val="20"/>
          <w:lang w:val="en-US" w:eastAsia="en-US" w:bidi="ar-SA"/>
        </w:rPr>
        <w:t xml:space="preserve">, </w:t>
      </w:r>
      <w:hyperlink r:id="rId959" w:history="1">
        <w:r>
          <w:rPr>
            <w:rFonts w:ascii="arial" w:eastAsia="arial" w:hAnsi="arial" w:cs="arial"/>
            <w:i/>
            <w:color w:val="0077CC"/>
            <w:sz w:val="20"/>
            <w:u w:val="single"/>
            <w:shd w:val="clear" w:color="auto" w:fill="FFFFFF"/>
            <w:lang w:val="en-US" w:eastAsia="en-US" w:bidi="ar-SA"/>
          </w:rPr>
          <w:t>[1997] 3 S.C.R. 844</w:t>
        </w:r>
      </w:hyperlink>
      <w:r>
        <w:rPr>
          <w:rFonts w:ascii="arial" w:eastAsia="arial" w:hAnsi="arial" w:cs="arial"/>
          <w:color w:val="000000"/>
          <w:sz w:val="20"/>
          <w:lang w:val="en-US" w:eastAsia="en-US" w:bidi="ar-SA"/>
        </w:rPr>
        <w:t xml:space="preserve"> (the judgment of La Forest J.); </w:t>
      </w:r>
      <w:r>
        <w:rPr>
          <w:rFonts w:ascii="arial" w:eastAsia="arial" w:hAnsi="arial" w:cs="arial"/>
          <w:b/>
          <w:i/>
          <w:color w:val="000000"/>
          <w:sz w:val="20"/>
          <w:lang w:val="en-US" w:eastAsia="en-US" w:bidi="ar-SA"/>
        </w:rPr>
        <w:t>Blencoe v. British Columbia (Human Rights Commission)</w:t>
      </w:r>
      <w:r>
        <w:rPr>
          <w:rFonts w:ascii="arial" w:eastAsia="arial" w:hAnsi="arial" w:cs="arial"/>
          <w:color w:val="000000"/>
          <w:sz w:val="20"/>
          <w:lang w:val="en-US" w:eastAsia="en-US" w:bidi="ar-SA"/>
        </w:rPr>
        <w:t xml:space="preserve">, </w:t>
      </w:r>
      <w:hyperlink r:id="rId960" w:history="1">
        <w:r>
          <w:rPr>
            <w:rFonts w:ascii="arial" w:eastAsia="arial" w:hAnsi="arial" w:cs="arial"/>
            <w:i/>
            <w:color w:val="0077CC"/>
            <w:sz w:val="20"/>
            <w:u w:val="single"/>
            <w:shd w:val="clear" w:color="auto" w:fill="FFFFFF"/>
            <w:lang w:val="en-US" w:eastAsia="en-US" w:bidi="ar-SA"/>
          </w:rPr>
          <w:t>2000 SCC 44</w:t>
        </w:r>
      </w:hyperlink>
      <w:r>
        <w:rPr>
          <w:rFonts w:ascii="arial" w:eastAsia="arial" w:hAnsi="arial" w:cs="arial"/>
          <w:color w:val="000000"/>
          <w:sz w:val="20"/>
          <w:lang w:val="en-US" w:eastAsia="en-US" w:bidi="ar-SA"/>
        </w:rPr>
        <w:t xml:space="preserve">; and </w:t>
      </w:r>
      <w:r>
        <w:rPr>
          <w:rFonts w:ascii="arial" w:eastAsia="arial" w:hAnsi="arial" w:cs="arial"/>
          <w:b/>
          <w:i/>
          <w:color w:val="000000"/>
          <w:sz w:val="20"/>
          <w:lang w:val="en-US" w:eastAsia="en-US" w:bidi="ar-SA"/>
        </w:rPr>
        <w:t>R. v. Smith</w:t>
      </w:r>
      <w:r>
        <w:rPr>
          <w:rFonts w:ascii="arial" w:eastAsia="arial" w:hAnsi="arial" w:cs="arial"/>
          <w:color w:val="000000"/>
          <w:sz w:val="20"/>
          <w:lang w:val="en-US" w:eastAsia="en-US" w:bidi="ar-SA"/>
        </w:rPr>
        <w:t xml:space="preserve">, </w:t>
      </w:r>
      <w:hyperlink r:id="rId961" w:history="1">
        <w:r>
          <w:rPr>
            <w:rFonts w:ascii="arial" w:eastAsia="arial" w:hAnsi="arial" w:cs="arial"/>
            <w:i/>
            <w:color w:val="0077CC"/>
            <w:sz w:val="20"/>
            <w:u w:val="single"/>
            <w:shd w:val="clear" w:color="auto" w:fill="FFFFFF"/>
            <w:lang w:val="en-US" w:eastAsia="en-US" w:bidi="ar-SA"/>
          </w:rPr>
          <w:t>2014 BCCA 322</w:t>
        </w:r>
      </w:hyperlink>
      <w:r>
        <w:rPr>
          <w:rFonts w:ascii="arial" w:eastAsia="arial" w:hAnsi="arial" w:cs="arial"/>
          <w:color w:val="000000"/>
          <w:sz w:val="20"/>
          <w:lang w:val="en-US" w:eastAsia="en-US" w:bidi="ar-SA"/>
        </w:rPr>
        <w:t xml:space="preserve">, aff'd </w:t>
      </w:r>
      <w:hyperlink r:id="rId962" w:history="1">
        <w:r>
          <w:rPr>
            <w:rFonts w:ascii="arial" w:eastAsia="arial" w:hAnsi="arial" w:cs="arial"/>
            <w:i/>
            <w:color w:val="0077CC"/>
            <w:sz w:val="20"/>
            <w:u w:val="single"/>
            <w:shd w:val="clear" w:color="auto" w:fill="FFFFFF"/>
            <w:lang w:val="en-US" w:eastAsia="en-US" w:bidi="ar-SA"/>
          </w:rPr>
          <w:t>2015 SCC 34</w:t>
        </w:r>
      </w:hyperlink>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81</w:t>
      </w:r>
      <w:r>
        <w:rPr>
          <w:rFonts w:ascii="arial" w:eastAsia="arial" w:hAnsi="arial" w:cs="arial"/>
          <w:color w:val="000000"/>
          <w:sz w:val="20"/>
          <w:lang w:val="en-US" w:eastAsia="en-US" w:bidi="ar-SA"/>
        </w:rPr>
        <w:t xml:space="preserve">  In </w:t>
      </w:r>
      <w:r>
        <w:rPr>
          <w:rFonts w:ascii="arial" w:eastAsia="arial" w:hAnsi="arial" w:cs="arial"/>
          <w:b/>
          <w:i/>
          <w:color w:val="000000"/>
          <w:sz w:val="20"/>
          <w:lang w:val="en-US" w:eastAsia="en-US" w:bidi="ar-SA"/>
        </w:rPr>
        <w:t>Godbout</w:t>
      </w:r>
      <w:r>
        <w:rPr>
          <w:rFonts w:ascii="arial" w:eastAsia="arial" w:hAnsi="arial" w:cs="arial"/>
          <w:color w:val="000000"/>
          <w:sz w:val="20"/>
          <w:lang w:val="en-US" w:eastAsia="en-US" w:bidi="ar-SA"/>
        </w:rPr>
        <w:t xml:space="preserve">, the plaintiff challenged the enforceability of a municipal by-law that required municipal employees to live within the municipality. Mr. Justice La Forest was in the minority, the majority preferring to decide the issues based on the </w:t>
      </w:r>
      <w:r>
        <w:rPr>
          <w:rFonts w:ascii="arial" w:eastAsia="arial" w:hAnsi="arial" w:cs="arial"/>
          <w:b/>
          <w:i/>
          <w:color w:val="000000"/>
          <w:sz w:val="20"/>
          <w:lang w:val="en-US" w:eastAsia="en-US" w:bidi="ar-SA"/>
        </w:rPr>
        <w:t>Quebec Charter</w:t>
      </w:r>
      <w:r>
        <w:rPr>
          <w:rFonts w:ascii="arial" w:eastAsia="arial" w:hAnsi="arial" w:cs="arial"/>
          <w:color w:val="000000"/>
          <w:sz w:val="20"/>
          <w:lang w:val="en-US" w:eastAsia="en-US" w:bidi="ar-SA"/>
        </w:rPr>
        <w:t xml:space="preserve">, rather than under s. 7 of the </w:t>
      </w:r>
      <w:r>
        <w:rPr>
          <w:rFonts w:ascii="arial" w:eastAsia="arial" w:hAnsi="arial" w:cs="arial"/>
          <w:b/>
          <w:i/>
          <w:color w:val="000000"/>
          <w:sz w:val="20"/>
          <w:lang w:val="en-US" w:eastAsia="en-US" w:bidi="ar-SA"/>
        </w:rPr>
        <w:t>Charter</w:t>
      </w:r>
      <w:r>
        <w:rPr>
          <w:rFonts w:ascii="arial" w:eastAsia="arial" w:hAnsi="arial" w:cs="arial"/>
          <w:color w:val="000000"/>
          <w:sz w:val="20"/>
          <w:lang w:val="en-US" w:eastAsia="en-US" w:bidi="ar-SA"/>
        </w:rPr>
        <w:t>. However, in a passage that is frequently quoted, La Forest J. wrote, at para. 66 [</w:t>
      </w:r>
      <w:r>
        <w:rPr>
          <w:rFonts w:ascii="arial" w:eastAsia="arial" w:hAnsi="arial" w:cs="arial"/>
          <w:color w:val="000000"/>
          <w:sz w:val="20"/>
          <w:u w:val="single"/>
          <w:lang w:val="en-US" w:eastAsia="en-US" w:bidi="ar-SA"/>
        </w:rPr>
        <w:t>underlining</w:t>
      </w:r>
      <w:r>
        <w:rPr>
          <w:rFonts w:ascii="arial" w:eastAsia="arial" w:hAnsi="arial" w:cs="arial"/>
          <w:color w:val="000000"/>
          <w:sz w:val="20"/>
          <w:lang w:val="en-US" w:eastAsia="en-US" w:bidi="ar-SA"/>
        </w:rPr>
        <w:t xml:space="preserve"> added]: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[66] The foregoing discussion serves simply to reiterate my general view that the right to liberty enshrined in s. 7 of the </w:t>
      </w:r>
      <w:r>
        <w:rPr>
          <w:rFonts w:ascii="arial" w:eastAsia="arial" w:hAnsi="arial" w:cs="arial"/>
          <w:i/>
          <w:color w:val="000000"/>
          <w:sz w:val="20"/>
          <w:lang w:val="en-US" w:eastAsia="en-US" w:bidi="ar-SA"/>
        </w:rPr>
        <w:t>Charter</w:t>
      </w:r>
      <w:r>
        <w:rPr>
          <w:rFonts w:ascii="arial" w:eastAsia="arial" w:hAnsi="arial" w:cs="arial"/>
          <w:color w:val="000000"/>
          <w:sz w:val="20"/>
          <w:lang w:val="en-US" w:eastAsia="en-US" w:bidi="ar-SA"/>
        </w:rPr>
        <w:t xml:space="preserve"> protects within its ambit the right to </w:t>
      </w:r>
      <w:r>
        <w:rPr>
          <w:rFonts w:ascii="arial" w:eastAsia="arial" w:hAnsi="arial" w:cs="arial"/>
          <w:color w:val="000000"/>
          <w:sz w:val="20"/>
          <w:u w:val="single"/>
          <w:lang w:val="en-US" w:eastAsia="en-US" w:bidi="ar-SA"/>
        </w:rPr>
        <w:t>an irreducible sphere of personal autonomy wherein individuals may make inherently private choices free from state interference</w:t>
      </w:r>
      <w:r>
        <w:rPr>
          <w:rFonts w:ascii="arial" w:eastAsia="arial" w:hAnsi="arial" w:cs="arial"/>
          <w:color w:val="000000"/>
          <w:sz w:val="20"/>
          <w:lang w:val="en-US" w:eastAsia="en-US" w:bidi="ar-SA"/>
        </w:rPr>
        <w:t xml:space="preserve">. I must emphasize here that, as the tenor of my comments in </w:t>
      </w:r>
      <w:r>
        <w:rPr>
          <w:rFonts w:ascii="arial" w:eastAsia="arial" w:hAnsi="arial" w:cs="arial"/>
          <w:i/>
          <w:color w:val="000000"/>
          <w:sz w:val="20"/>
          <w:lang w:val="en-US" w:eastAsia="en-US" w:bidi="ar-SA"/>
        </w:rPr>
        <w:t>B. (R.)</w:t>
      </w:r>
      <w:r>
        <w:rPr>
          <w:rFonts w:ascii="arial" w:eastAsia="arial" w:hAnsi="arial" w:cs="arial"/>
          <w:color w:val="000000"/>
          <w:sz w:val="20"/>
          <w:lang w:val="en-US" w:eastAsia="en-US" w:bidi="ar-SA"/>
        </w:rPr>
        <w:t xml:space="preserve"> should indicate, </w:t>
      </w:r>
      <w:r>
        <w:rPr>
          <w:rFonts w:ascii="arial" w:eastAsia="arial" w:hAnsi="arial" w:cs="arial"/>
          <w:color w:val="000000"/>
          <w:sz w:val="20"/>
          <w:u w:val="single"/>
          <w:lang w:val="en-US" w:eastAsia="en-US" w:bidi="ar-SA"/>
        </w:rPr>
        <w:t>I do not by any means regard this sphere of autonomy as being so wide as to encompass any and all decisions that individuals might make in conducting their affairs.</w:t>
      </w:r>
      <w:r>
        <w:rPr>
          <w:rFonts w:ascii="arial" w:eastAsia="arial" w:hAnsi="arial" w:cs="arial"/>
          <w:color w:val="000000"/>
          <w:sz w:val="20"/>
          <w:lang w:val="en-US" w:eastAsia="en-US" w:bidi="ar-SA"/>
        </w:rPr>
        <w:t xml:space="preserve"> Indeed, such a view would run contrary to the basic idea, expressed both at the outset of these reasons and in my reasons in </w:t>
      </w:r>
      <w:r>
        <w:rPr>
          <w:rFonts w:ascii="arial" w:eastAsia="arial" w:hAnsi="arial" w:cs="arial"/>
          <w:i/>
          <w:color w:val="000000"/>
          <w:sz w:val="20"/>
          <w:lang w:val="en-US" w:eastAsia="en-US" w:bidi="ar-SA"/>
        </w:rPr>
        <w:t>B. (R.)</w:t>
      </w:r>
      <w:r>
        <w:rPr>
          <w:rFonts w:ascii="arial" w:eastAsia="arial" w:hAnsi="arial" w:cs="arial"/>
          <w:color w:val="000000"/>
          <w:sz w:val="20"/>
          <w:lang w:val="en-US" w:eastAsia="en-US" w:bidi="ar-SA"/>
        </w:rPr>
        <w:t xml:space="preserve">, that individuals cannot, in any organized society, be guaranteed an unbridled freedom to do whatever they please. Moreover, I do not even consider that the sphere of autonomy includes within its scope every matter that might, however vaguely, be described as "private". Rather, as I see it, </w:t>
      </w:r>
      <w:r>
        <w:rPr>
          <w:rFonts w:ascii="arial" w:eastAsia="arial" w:hAnsi="arial" w:cs="arial"/>
          <w:color w:val="000000"/>
          <w:sz w:val="20"/>
          <w:u w:val="single"/>
          <w:lang w:val="en-US" w:eastAsia="en-US" w:bidi="ar-SA"/>
        </w:rPr>
        <w:t>the autonomy protected by the s. 7 right to liberty encompasses only those matters that can properly be characterized as fundamentally or inherently personal such that, by their very nature, they implicate basic choices going to the core of what it means to enjoy individual dignity and independence.</w:t>
      </w:r>
      <w:r>
        <w:rPr>
          <w:rFonts w:ascii="arial" w:eastAsia="arial" w:hAnsi="arial" w:cs="arial"/>
          <w:color w:val="000000"/>
          <w:sz w:val="20"/>
          <w:lang w:val="en-US" w:eastAsia="en-US" w:bidi="ar-SA"/>
        </w:rPr>
        <w:t xml:space="preserve"> . . .</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Mr. Justice La Forest described choosing where to establish one's home as falling "within that narrow class of decisions deserving of constitutional protection" (at para. 68).</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82</w:t>
      </w:r>
      <w:r>
        <w:rPr>
          <w:rFonts w:ascii="arial" w:eastAsia="arial" w:hAnsi="arial" w:cs="arial"/>
          <w:color w:val="000000"/>
          <w:sz w:val="20"/>
          <w:lang w:val="en-US" w:eastAsia="en-US" w:bidi="ar-SA"/>
        </w:rPr>
        <w:t>  </w:t>
      </w:r>
      <w:r>
        <w:rPr>
          <w:rFonts w:ascii="arial" w:eastAsia="arial" w:hAnsi="arial" w:cs="arial"/>
          <w:b/>
          <w:i/>
          <w:color w:val="000000"/>
          <w:sz w:val="20"/>
          <w:lang w:val="en-US" w:eastAsia="en-US" w:bidi="ar-SA"/>
        </w:rPr>
        <w:t>Blencoe</w:t>
      </w:r>
      <w:r>
        <w:rPr>
          <w:rFonts w:ascii="arial" w:eastAsia="arial" w:hAnsi="arial" w:cs="arial"/>
          <w:color w:val="000000"/>
          <w:sz w:val="20"/>
          <w:lang w:val="en-US" w:eastAsia="en-US" w:bidi="ar-SA"/>
        </w:rPr>
        <w:t xml:space="preserve"> also discussed the nature of the liberty interest protected by s. 7. Bastarache J. (for the majority) wrote, at para. 49 [</w:t>
      </w:r>
      <w:r>
        <w:rPr>
          <w:rFonts w:ascii="arial" w:eastAsia="arial" w:hAnsi="arial" w:cs="arial"/>
          <w:color w:val="000000"/>
          <w:sz w:val="20"/>
          <w:u w:val="single"/>
          <w:lang w:val="en-US" w:eastAsia="en-US" w:bidi="ar-SA"/>
        </w:rPr>
        <w:t>underlining</w:t>
      </w:r>
      <w:r>
        <w:rPr>
          <w:rFonts w:ascii="arial" w:eastAsia="arial" w:hAnsi="arial" w:cs="arial"/>
          <w:color w:val="000000"/>
          <w:sz w:val="20"/>
          <w:lang w:val="en-US" w:eastAsia="en-US" w:bidi="ar-SA"/>
        </w:rPr>
        <w:t xml:space="preserve"> added]: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[49] The liberty interest protected by s. 7 of the </w:t>
      </w:r>
      <w:r>
        <w:rPr>
          <w:rFonts w:ascii="arial" w:eastAsia="arial" w:hAnsi="arial" w:cs="arial"/>
          <w:i/>
          <w:color w:val="000000"/>
          <w:sz w:val="20"/>
          <w:lang w:val="en-US" w:eastAsia="en-US" w:bidi="ar-SA"/>
        </w:rPr>
        <w:t>Charter</w:t>
      </w:r>
      <w:r>
        <w:rPr>
          <w:rFonts w:ascii="arial" w:eastAsia="arial" w:hAnsi="arial" w:cs="arial"/>
          <w:color w:val="000000"/>
          <w:sz w:val="20"/>
          <w:lang w:val="en-US" w:eastAsia="en-US" w:bidi="ar-SA"/>
        </w:rPr>
        <w:t xml:space="preserve"> is no longer restricted to mere freedom from physical restraint. Members of this Court have found that </w:t>
      </w:r>
      <w:r>
        <w:rPr>
          <w:rFonts w:ascii="arial" w:eastAsia="arial" w:hAnsi="arial" w:cs="arial"/>
          <w:color w:val="000000"/>
          <w:sz w:val="20"/>
          <w:u w:val="single"/>
          <w:lang w:val="en-US" w:eastAsia="en-US" w:bidi="ar-SA"/>
        </w:rPr>
        <w:t>"liberty" is engaged where state compulsions or prohibitions affect important and fundamental life choices</w:t>
      </w:r>
      <w:r>
        <w:rPr>
          <w:rFonts w:ascii="arial" w:eastAsia="arial" w:hAnsi="arial" w:cs="arial"/>
          <w:color w:val="000000"/>
          <w:sz w:val="20"/>
          <w:lang w:val="en-US" w:eastAsia="en-US" w:bidi="ar-SA"/>
        </w:rPr>
        <w:t>. This applies for example where persons are compelled to appear at a particular time and place for fingerprinting (</w:t>
      </w:r>
      <w:r>
        <w:rPr>
          <w:rFonts w:ascii="arial" w:eastAsia="arial" w:hAnsi="arial" w:cs="arial"/>
          <w:i/>
          <w:color w:val="000000"/>
          <w:sz w:val="20"/>
          <w:lang w:val="en-US" w:eastAsia="en-US" w:bidi="ar-SA"/>
        </w:rPr>
        <w:t>Beare</w:t>
      </w:r>
      <w:r>
        <w:rPr>
          <w:rFonts w:ascii="arial" w:eastAsia="arial" w:hAnsi="arial" w:cs="arial"/>
          <w:color w:val="000000"/>
          <w:sz w:val="20"/>
          <w:lang w:val="en-US" w:eastAsia="en-US" w:bidi="ar-SA"/>
        </w:rPr>
        <w:t xml:space="preserve">, </w:t>
      </w:r>
      <w:hyperlink r:id="rId963" w:history="1">
        <w:r>
          <w:rPr>
            <w:rFonts w:ascii="arial" w:eastAsia="arial" w:hAnsi="arial" w:cs="arial"/>
            <w:i/>
            <w:color w:val="0077CC"/>
            <w:sz w:val="20"/>
            <w:u w:val="single"/>
            <w:shd w:val="clear" w:color="auto" w:fill="FFFFFF"/>
            <w:lang w:val="en-US" w:eastAsia="en-US" w:bidi="ar-SA"/>
          </w:rPr>
          <w:t>[1988] 2 S.C.R. 387</w:t>
        </w:r>
      </w:hyperlink>
      <w:r>
        <w:rPr>
          <w:rFonts w:ascii="arial" w:eastAsia="arial" w:hAnsi="arial" w:cs="arial"/>
          <w:color w:val="000000"/>
          <w:sz w:val="20"/>
          <w:lang w:val="en-US" w:eastAsia="en-US" w:bidi="ar-SA"/>
        </w:rPr>
        <w:t xml:space="preserve"> supra); to produce documents or testify (</w:t>
      </w:r>
      <w:r>
        <w:rPr>
          <w:rFonts w:ascii="arial" w:eastAsia="arial" w:hAnsi="arial" w:cs="arial"/>
          <w:i/>
          <w:color w:val="000000"/>
          <w:sz w:val="20"/>
          <w:lang w:val="en-US" w:eastAsia="en-US" w:bidi="ar-SA"/>
        </w:rPr>
        <w:t>Thomson Newspapers Ltd. v. Canada (Director of Investigation and Research, Restrictive Trade Practices Commission</w:t>
      </w:r>
      <w:r>
        <w:rPr>
          <w:rFonts w:ascii="arial" w:eastAsia="arial" w:hAnsi="arial" w:cs="arial"/>
          <w:color w:val="000000"/>
          <w:sz w:val="20"/>
          <w:lang w:val="en-US" w:eastAsia="en-US" w:bidi="ar-SA"/>
        </w:rPr>
        <w:t xml:space="preserve">), </w:t>
      </w:r>
      <w:hyperlink r:id="rId964" w:history="1">
        <w:r>
          <w:rPr>
            <w:rFonts w:ascii="arial" w:eastAsia="arial" w:hAnsi="arial" w:cs="arial"/>
            <w:i/>
            <w:color w:val="0077CC"/>
            <w:sz w:val="20"/>
            <w:u w:val="single"/>
            <w:shd w:val="clear" w:color="auto" w:fill="FFFFFF"/>
            <w:lang w:val="en-US" w:eastAsia="en-US" w:bidi="ar-SA"/>
          </w:rPr>
          <w:t>[1990] 1 S.C.R. 425</w:t>
        </w:r>
      </w:hyperlink>
      <w:r>
        <w:rPr>
          <w:rFonts w:ascii="arial" w:eastAsia="arial" w:hAnsi="arial" w:cs="arial"/>
          <w:color w:val="000000"/>
          <w:sz w:val="20"/>
          <w:lang w:val="en-US" w:eastAsia="en-US" w:bidi="ar-SA"/>
        </w:rPr>
        <w:t>); and not to loiter in particular areas (</w:t>
      </w:r>
      <w:r>
        <w:rPr>
          <w:rFonts w:ascii="arial" w:eastAsia="arial" w:hAnsi="arial" w:cs="arial"/>
          <w:i/>
          <w:color w:val="000000"/>
          <w:sz w:val="20"/>
          <w:lang w:val="en-US" w:eastAsia="en-US" w:bidi="ar-SA"/>
        </w:rPr>
        <w:t>R. v. Heywood</w:t>
      </w:r>
      <w:r>
        <w:rPr>
          <w:rFonts w:ascii="arial" w:eastAsia="arial" w:hAnsi="arial" w:cs="arial"/>
          <w:color w:val="000000"/>
          <w:sz w:val="20"/>
          <w:lang w:val="en-US" w:eastAsia="en-US" w:bidi="ar-SA"/>
        </w:rPr>
        <w:t xml:space="preserve">, </w:t>
      </w:r>
      <w:hyperlink r:id="rId965" w:history="1">
        <w:r>
          <w:rPr>
            <w:rFonts w:ascii="arial" w:eastAsia="arial" w:hAnsi="arial" w:cs="arial"/>
            <w:i/>
            <w:color w:val="0077CC"/>
            <w:sz w:val="20"/>
            <w:u w:val="single"/>
            <w:shd w:val="clear" w:color="auto" w:fill="FFFFFF"/>
            <w:lang w:val="en-US" w:eastAsia="en-US" w:bidi="ar-SA"/>
          </w:rPr>
          <w:t>[1994] 3 S.C.R. 761</w:t>
        </w:r>
      </w:hyperlink>
      <w:r>
        <w:rPr>
          <w:rFonts w:ascii="arial" w:eastAsia="arial" w:hAnsi="arial" w:cs="arial"/>
          <w:color w:val="000000"/>
          <w:sz w:val="20"/>
          <w:lang w:val="en-US" w:eastAsia="en-US" w:bidi="ar-SA"/>
        </w:rPr>
        <w:t xml:space="preserve">). In our free and democratic society, </w:t>
      </w:r>
      <w:r>
        <w:rPr>
          <w:rFonts w:ascii="arial" w:eastAsia="arial" w:hAnsi="arial" w:cs="arial"/>
          <w:color w:val="000000"/>
          <w:sz w:val="20"/>
          <w:u w:val="single"/>
          <w:lang w:val="en-US" w:eastAsia="en-US" w:bidi="ar-SA"/>
        </w:rPr>
        <w:t>individuals are entitled to make decisions of fundamental importance free from state interference</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B. (R.) v. Children's Aid Society of Metropolitan Toronto</w:t>
      </w:r>
      <w:r>
        <w:rPr>
          <w:rFonts w:ascii="arial" w:eastAsia="arial" w:hAnsi="arial" w:cs="arial"/>
          <w:color w:val="000000"/>
          <w:sz w:val="20"/>
          <w:lang w:val="en-US" w:eastAsia="en-US" w:bidi="ar-SA"/>
        </w:rPr>
        <w:t xml:space="preserve">, </w:t>
      </w:r>
      <w:hyperlink r:id="rId966" w:history="1">
        <w:r>
          <w:rPr>
            <w:rFonts w:ascii="arial" w:eastAsia="arial" w:hAnsi="arial" w:cs="arial"/>
            <w:i/>
            <w:color w:val="0077CC"/>
            <w:sz w:val="20"/>
            <w:u w:val="single"/>
            <w:shd w:val="clear" w:color="auto" w:fill="FFFFFF"/>
            <w:lang w:val="en-US" w:eastAsia="en-US" w:bidi="ar-SA"/>
          </w:rPr>
          <w:t>[1995] 1 S.C.R. 315</w:t>
        </w:r>
      </w:hyperlink>
      <w:r>
        <w:rPr>
          <w:rFonts w:ascii="arial" w:eastAsia="arial" w:hAnsi="arial" w:cs="arial"/>
          <w:color w:val="000000"/>
          <w:sz w:val="20"/>
          <w:lang w:val="en-US" w:eastAsia="en-US" w:bidi="ar-SA"/>
        </w:rPr>
        <w:t xml:space="preserve">, at para. 80, La Forest J., with whom L'Heureux?Dubé, Gonthier and McLachlin JJ. agreed, emphasized that the liberty interest protected by s. 7 must be interpreted broadly and in accordance with the principles and values underlying the </w:t>
      </w:r>
      <w:r>
        <w:rPr>
          <w:rFonts w:ascii="arial" w:eastAsia="arial" w:hAnsi="arial" w:cs="arial"/>
          <w:i/>
          <w:color w:val="000000"/>
          <w:sz w:val="20"/>
          <w:lang w:val="en-US" w:eastAsia="en-US" w:bidi="ar-SA"/>
        </w:rPr>
        <w:t>Charter</w:t>
      </w:r>
      <w:r>
        <w:rPr>
          <w:rFonts w:ascii="arial" w:eastAsia="arial" w:hAnsi="arial" w:cs="arial"/>
          <w:color w:val="000000"/>
          <w:sz w:val="20"/>
          <w:lang w:val="en-US" w:eastAsia="en-US" w:bidi="ar-SA"/>
        </w:rPr>
        <w:t xml:space="preserve"> as a whole and that it protects an individual's personal autonomy:</w:t>
      </w:r>
      <w:r>
        <w:rPr>
          <w:rFonts w:ascii="arial" w:eastAsia="arial" w:hAnsi="arial" w:cs="arial"/>
          <w:sz w:val="20"/>
          <w:lang w:val="en-US" w:eastAsia="en-US" w:bidi="ar-SA"/>
        </w:rPr>
        <w:cr/>
      </w:r>
    </w:p>
    <w:p>
      <w:pPr>
        <w:spacing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 liberty does not mean mere freedom from physical restraint. In a free and democratic society, the individual must be left room for personal autonomy to live his or her own life and to make decisions that are of fundamental personal importance.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83</w:t>
      </w:r>
      <w:r>
        <w:rPr>
          <w:rFonts w:ascii="arial" w:eastAsia="arial" w:hAnsi="arial" w:cs="arial"/>
          <w:color w:val="000000"/>
          <w:sz w:val="20"/>
          <w:lang w:val="en-US" w:eastAsia="en-US" w:bidi="ar-SA"/>
        </w:rPr>
        <w:t xml:space="preserve">  In </w:t>
      </w:r>
      <w:r>
        <w:rPr>
          <w:rFonts w:ascii="arial" w:eastAsia="arial" w:hAnsi="arial" w:cs="arial"/>
          <w:b/>
          <w:i/>
          <w:color w:val="000000"/>
          <w:sz w:val="20"/>
          <w:lang w:val="en-US" w:eastAsia="en-US" w:bidi="ar-SA"/>
        </w:rPr>
        <w:t>R. v. Smith</w:t>
      </w:r>
      <w:r>
        <w:rPr>
          <w:rFonts w:ascii="arial" w:eastAsia="arial" w:hAnsi="arial" w:cs="arial"/>
          <w:color w:val="000000"/>
          <w:sz w:val="20"/>
          <w:lang w:val="en-US" w:eastAsia="en-US" w:bidi="ar-SA"/>
        </w:rPr>
        <w:t>, Garson J.A. wrote (for the Court), at para. 96:</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[96] In my opinion, decisions concerning how one manages serious health problems go to the core of what it means to live with dignity, independence and autonomy as contemplated in cases like </w:t>
      </w:r>
      <w:r>
        <w:rPr>
          <w:rFonts w:ascii="arial" w:eastAsia="arial" w:hAnsi="arial" w:cs="arial"/>
          <w:i/>
          <w:color w:val="000000"/>
          <w:sz w:val="20"/>
          <w:lang w:val="en-US" w:eastAsia="en-US" w:bidi="ar-SA"/>
        </w:rPr>
        <w:t>Morgentaler, Parker</w:t>
      </w:r>
      <w:r>
        <w:rPr>
          <w:rFonts w:ascii="arial" w:eastAsia="arial" w:hAnsi="arial" w:cs="arial"/>
          <w:color w:val="000000"/>
          <w:sz w:val="20"/>
          <w:lang w:val="en-US" w:eastAsia="en-US" w:bidi="ar-SA"/>
        </w:rPr>
        <w:t xml:space="preserve">, and </w:t>
      </w:r>
      <w:r>
        <w:rPr>
          <w:rFonts w:ascii="arial" w:eastAsia="arial" w:hAnsi="arial" w:cs="arial"/>
          <w:i/>
          <w:color w:val="000000"/>
          <w:sz w:val="20"/>
          <w:lang w:val="en-US" w:eastAsia="en-US" w:bidi="ar-SA"/>
        </w:rPr>
        <w:t>Adams</w:t>
      </w:r>
      <w:r>
        <w:rPr>
          <w:rFonts w:ascii="arial" w:eastAsia="arial" w:hAnsi="arial" w:cs="arial"/>
          <w:color w:val="000000"/>
          <w:sz w:val="20"/>
          <w:lang w:val="en-US" w:eastAsia="en-US" w:bidi="ar-SA"/>
        </w:rPr>
        <w:t xml:space="preserve"> </w:t>
      </w:r>
      <w:hyperlink r:id="rId967" w:history="1">
        <w:r>
          <w:rPr>
            <w:rFonts w:ascii="arial" w:eastAsia="arial" w:hAnsi="arial" w:cs="arial"/>
            <w:i/>
            <w:color w:val="0077CC"/>
            <w:sz w:val="20"/>
            <w:u w:val="single"/>
            <w:shd w:val="clear" w:color="auto" w:fill="FFFFFF"/>
            <w:lang w:val="en-US" w:eastAsia="en-US" w:bidi="ar-SA"/>
          </w:rPr>
          <w:t>[2009] B.C.J. No. 2451</w:t>
        </w:r>
      </w:hyperlink>
      <w:r>
        <w:rPr>
          <w:rFonts w:ascii="arial" w:eastAsia="arial" w:hAnsi="arial" w:cs="arial"/>
          <w:color w:val="000000"/>
          <w:sz w:val="20"/>
          <w:lang w:val="en-US" w:eastAsia="en-US" w:bidi="ar-SA"/>
        </w:rPr>
        <w:t xml:space="preserve"> . Where the state interferes with an individual's capacity to make decisions concerning the management of those health problems by threat of criminal sanction, the state is depriving that individual of the power to make fundamental personal choices and the liberty interest is engaged. Whether that infringement accords with the principles of fundamental justice and can therefore be justified is another question. The trial judge did not err in concluding that the liberty interest was engaged by, first, the threat of incarceration and, second, by state interference with decisions of fundamental personal importance.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84</w:t>
      </w:r>
      <w:r>
        <w:rPr>
          <w:rFonts w:ascii="arial" w:eastAsia="arial" w:hAnsi="arial" w:cs="arial"/>
          <w:color w:val="000000"/>
          <w:sz w:val="20"/>
          <w:lang w:val="en-US" w:eastAsia="en-US" w:bidi="ar-SA"/>
        </w:rPr>
        <w:t xml:space="preserve">  The plaintiffs' position is that, by analogy with these cases, they have pleaded sufficient facts (in particular, the facts alleged in paras. 86-123 relating to biological effects and health risks) so that, based on those facts, the matter of whether to reject or accept a smart meter can properly be characterized as fundamentally or inherently personal such that it implicates basic choices going to the core of what it means to enjoy individual dignity and independence (as described by La Forest J.). Further, the plaintiffs assert that, based on the facts pleaded, the choice to reject a smart meter qualifies as an important and fundamental life choice, and falls within the "narrow class of decisions deserving of constitutional protection." Therefore, based on the facts alleged (which must be accepted as true), the "Impugned Conduct" and the "Impugned Provisions" amount to a breach of the plaintiffs' rights to liberty and security of the person protected by s. 7 of the </w:t>
      </w:r>
      <w:r>
        <w:rPr>
          <w:rFonts w:ascii="arial" w:eastAsia="arial" w:hAnsi="arial" w:cs="arial"/>
          <w:b/>
          <w:i/>
          <w:color w:val="000000"/>
          <w:sz w:val="20"/>
          <w:lang w:val="en-US" w:eastAsia="en-US" w:bidi="ar-SA"/>
        </w:rPr>
        <w:t>Charter</w:t>
      </w:r>
      <w:r>
        <w:rPr>
          <w:rFonts w:ascii="arial" w:eastAsia="arial" w:hAnsi="arial" w:cs="arial"/>
          <w:color w:val="000000"/>
          <w:sz w:val="20"/>
          <w:lang w:val="en-US" w:eastAsia="en-US" w:bidi="ar-SA"/>
        </w:rPr>
        <w:t>, and the plaintiffs have, accordingly, pleaded a claim that is not bound to fail.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85</w:t>
      </w:r>
      <w:r>
        <w:rPr>
          <w:rFonts w:ascii="arial" w:eastAsia="arial" w:hAnsi="arial" w:cs="arial"/>
          <w:color w:val="000000"/>
          <w:sz w:val="20"/>
          <w:lang w:val="en-US" w:eastAsia="en-US" w:bidi="ar-SA"/>
        </w:rPr>
        <w:t xml:space="preserve">  In support of his submission that the plaintiffs have also pleaded a reasonable claim in respect of protection of security of the person under s. 7, Mr. Aaron cites </w:t>
      </w:r>
      <w:r>
        <w:rPr>
          <w:rFonts w:ascii="arial" w:eastAsia="arial" w:hAnsi="arial" w:cs="arial"/>
          <w:b/>
          <w:i/>
          <w:color w:val="000000"/>
          <w:sz w:val="20"/>
          <w:lang w:val="en-US" w:eastAsia="en-US" w:bidi="ar-SA"/>
        </w:rPr>
        <w:t>Carter v. Canada (Attorney General)</w:t>
      </w:r>
      <w:r>
        <w:rPr>
          <w:rFonts w:ascii="arial" w:eastAsia="arial" w:hAnsi="arial" w:cs="arial"/>
          <w:color w:val="000000"/>
          <w:sz w:val="20"/>
          <w:lang w:val="en-US" w:eastAsia="en-US" w:bidi="ar-SA"/>
        </w:rPr>
        <w:t xml:space="preserve">, </w:t>
      </w:r>
      <w:hyperlink r:id="rId968" w:history="1">
        <w:r>
          <w:rPr>
            <w:rFonts w:ascii="arial" w:eastAsia="arial" w:hAnsi="arial" w:cs="arial"/>
            <w:i/>
            <w:color w:val="0077CC"/>
            <w:sz w:val="20"/>
            <w:u w:val="single"/>
            <w:shd w:val="clear" w:color="auto" w:fill="FFFFFF"/>
            <w:lang w:val="en-US" w:eastAsia="en-US" w:bidi="ar-SA"/>
          </w:rPr>
          <w:t>2015 SCC 5</w:t>
        </w:r>
      </w:hyperlink>
      <w:r>
        <w:rPr>
          <w:rFonts w:ascii="arial" w:eastAsia="arial" w:hAnsi="arial" w:cs="arial"/>
          <w:color w:val="000000"/>
          <w:sz w:val="20"/>
          <w:lang w:val="en-US" w:eastAsia="en-US" w:bidi="ar-SA"/>
        </w:rPr>
        <w:t xml:space="preserve">. </w:t>
      </w:r>
      <w:r>
        <w:rPr>
          <w:rFonts w:ascii="arial" w:eastAsia="arial" w:hAnsi="arial" w:cs="arial"/>
          <w:b/>
          <w:i/>
          <w:color w:val="000000"/>
          <w:sz w:val="20"/>
          <w:lang w:val="en-US" w:eastAsia="en-US" w:bidi="ar-SA"/>
        </w:rPr>
        <w:t>Carter</w:t>
      </w:r>
      <w:r>
        <w:rPr>
          <w:rFonts w:ascii="arial" w:eastAsia="arial" w:hAnsi="arial" w:cs="arial"/>
          <w:color w:val="000000"/>
          <w:sz w:val="20"/>
          <w:lang w:val="en-US" w:eastAsia="en-US" w:bidi="ar-SA"/>
        </w:rPr>
        <w:t xml:space="preserve"> is the well-known case dealing with the challenge to the </w:t>
      </w:r>
      <w:r>
        <w:rPr>
          <w:rFonts w:ascii="arial" w:eastAsia="arial" w:hAnsi="arial" w:cs="arial"/>
          <w:b/>
          <w:i/>
          <w:color w:val="000000"/>
          <w:sz w:val="20"/>
          <w:lang w:val="en-US" w:eastAsia="en-US" w:bidi="ar-SA"/>
        </w:rPr>
        <w:t>Criminal Code</w:t>
      </w:r>
      <w:r>
        <w:rPr>
          <w:rFonts w:ascii="arial" w:eastAsia="arial" w:hAnsi="arial" w:cs="arial"/>
          <w:color w:val="000000"/>
          <w:sz w:val="20"/>
          <w:lang w:val="en-US" w:eastAsia="en-US" w:bidi="ar-SA"/>
        </w:rPr>
        <w:t xml:space="preserve"> provisions prohibiting physician-assisted dying, which ultimately were struck down. The Court wrote, at para. 64 [</w:t>
      </w:r>
      <w:r>
        <w:rPr>
          <w:rFonts w:ascii="arial" w:eastAsia="arial" w:hAnsi="arial" w:cs="arial"/>
          <w:color w:val="000000"/>
          <w:sz w:val="20"/>
          <w:u w:val="single"/>
          <w:lang w:val="en-US" w:eastAsia="en-US" w:bidi="ar-SA"/>
        </w:rPr>
        <w:t>underlining</w:t>
      </w:r>
      <w:r>
        <w:rPr>
          <w:rFonts w:ascii="arial" w:eastAsia="arial" w:hAnsi="arial" w:cs="arial"/>
          <w:color w:val="000000"/>
          <w:sz w:val="20"/>
          <w:lang w:val="en-US" w:eastAsia="en-US" w:bidi="ar-SA"/>
        </w:rPr>
        <w:t xml:space="preserve"> added]: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[64] . . . Security of the person encompasses "a notion of personal autonomy involving . . . control over one's bodily integrity free from state interference" [citations omitted] and it is engaged by </w:t>
      </w:r>
      <w:r>
        <w:rPr>
          <w:rFonts w:ascii="arial" w:eastAsia="arial" w:hAnsi="arial" w:cs="arial"/>
          <w:color w:val="000000"/>
          <w:sz w:val="20"/>
          <w:u w:val="single"/>
          <w:lang w:val="en-US" w:eastAsia="en-US" w:bidi="ar-SA"/>
        </w:rPr>
        <w:t>state interference with an individual's physical or psychological integrity, including any state action that causes physical or serious psychological suffering</w:t>
      </w:r>
      <w:r>
        <w:rPr>
          <w:rFonts w:ascii="arial" w:eastAsia="arial" w:hAnsi="arial" w:cs="arial"/>
          <w:color w:val="000000"/>
          <w:sz w:val="20"/>
          <w:lang w:val="en-US" w:eastAsia="en-US" w:bidi="ar-SA"/>
        </w:rPr>
        <w:t xml:space="preserve"> [citations omitted].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86</w:t>
      </w:r>
      <w:r>
        <w:rPr>
          <w:rFonts w:ascii="arial" w:eastAsia="arial" w:hAnsi="arial" w:cs="arial"/>
          <w:color w:val="000000"/>
          <w:sz w:val="20"/>
          <w:lang w:val="en-US" w:eastAsia="en-US" w:bidi="ar-SA"/>
        </w:rPr>
        <w:t xml:space="preserve">  Mr. Aaron submits that the plaintiffs have pleaded sufficient facts (in particular, in paras. 86-123 and 130-131) to establish a reasonable basis for concern and the reasonableness of an individual's choice to be free from the operation of a smart meter at the individual's Dwelling. In Mr. Aaron's submission, the pleaded facts that a concern exists, and about a loss of control in the individual's home are sufficient to state a reasonable claim under s. 7 of the </w:t>
      </w:r>
      <w:r>
        <w:rPr>
          <w:rFonts w:ascii="arial" w:eastAsia="arial" w:hAnsi="arial" w:cs="arial"/>
          <w:b/>
          <w:i/>
          <w:color w:val="000000"/>
          <w:sz w:val="20"/>
          <w:lang w:val="en-US" w:eastAsia="en-US" w:bidi="ar-SA"/>
        </w:rPr>
        <w:t>Charter</w:t>
      </w:r>
      <w:r>
        <w:rPr>
          <w:rFonts w:ascii="arial" w:eastAsia="arial" w:hAnsi="arial" w:cs="arial"/>
          <w:color w:val="000000"/>
          <w:sz w:val="20"/>
          <w:lang w:val="en-US" w:eastAsia="en-US" w:bidi="ar-SA"/>
        </w:rPr>
        <w:t xml:space="preserve">, and it is not plain and obvious the claim is bound to fail. Therefore, the plaintiffs have satisfied the requirement under s. 4(1)(a) of the </w:t>
      </w:r>
      <w:r>
        <w:rPr>
          <w:rFonts w:ascii="arial" w:eastAsia="arial" w:hAnsi="arial" w:cs="arial"/>
          <w:b/>
          <w:i/>
          <w:color w:val="000000"/>
          <w:sz w:val="20"/>
          <w:lang w:val="en-US" w:eastAsia="en-US" w:bidi="ar-SA"/>
        </w:rPr>
        <w:t>CPA</w:t>
      </w:r>
      <w:r>
        <w:rPr>
          <w:rFonts w:ascii="arial" w:eastAsia="arial" w:hAnsi="arial" w:cs="arial"/>
          <w:color w:val="000000"/>
          <w:sz w:val="20"/>
          <w:lang w:val="en-US" w:eastAsia="en-US" w:bidi="ar-SA"/>
        </w:rPr>
        <w:t>, and their application to amend should be granted.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87</w:t>
      </w:r>
      <w:r>
        <w:rPr>
          <w:rFonts w:ascii="arial" w:eastAsia="arial" w:hAnsi="arial" w:cs="arial"/>
          <w:color w:val="000000"/>
          <w:sz w:val="20"/>
          <w:lang w:val="en-US" w:eastAsia="en-US" w:bidi="ar-SA"/>
        </w:rPr>
        <w:t>  In his submissions on behalf of BC Hydro, Mr. Vesely argues simply that it is plain and obvious that the Proposed NCC fails to disclose a cause of action.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88</w:t>
      </w:r>
      <w:r>
        <w:rPr>
          <w:rFonts w:ascii="arial" w:eastAsia="arial" w:hAnsi="arial" w:cs="arial"/>
          <w:color w:val="000000"/>
          <w:sz w:val="20"/>
          <w:lang w:val="en-US" w:eastAsia="en-US" w:bidi="ar-SA"/>
        </w:rPr>
        <w:t xml:space="preserve">  Mr. Vesely notes that the plaintiffs do not allege that emissions from smart meters (i.e., "Emissions" in the Proposed NCC) in fact cause any adverse health effects, and the plaintiffs do not allege any actual harm. He says that the law is well-settled that the mere allegation that state action (or inaction) has increased the risk to the lives or security of the person of the state's citizens is insufficient to support a breach of s. 7 of the </w:t>
      </w:r>
      <w:r>
        <w:rPr>
          <w:rFonts w:ascii="arial" w:eastAsia="arial" w:hAnsi="arial" w:cs="arial"/>
          <w:b/>
          <w:i/>
          <w:color w:val="000000"/>
          <w:sz w:val="20"/>
          <w:lang w:val="en-US" w:eastAsia="en-US" w:bidi="ar-SA"/>
        </w:rPr>
        <w:t>Charter</w:t>
      </w:r>
      <w:r>
        <w:rPr>
          <w:rFonts w:ascii="arial" w:eastAsia="arial" w:hAnsi="arial" w:cs="arial"/>
          <w:color w:val="000000"/>
          <w:sz w:val="20"/>
          <w:lang w:val="en-US" w:eastAsia="en-US" w:bidi="ar-SA"/>
        </w:rPr>
        <w:t>. Therefore, in his submission, the plaintiffs have failed to state any reasonable cause of action.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89</w:t>
      </w:r>
      <w:r>
        <w:rPr>
          <w:rFonts w:ascii="arial" w:eastAsia="arial" w:hAnsi="arial" w:cs="arial"/>
          <w:color w:val="000000"/>
          <w:sz w:val="20"/>
          <w:lang w:val="en-US" w:eastAsia="en-US" w:bidi="ar-SA"/>
        </w:rPr>
        <w:t xml:space="preserve">  In support of his position that merely pleading a risk is insufficient, Mr. Vesely cites </w:t>
      </w:r>
      <w:r>
        <w:rPr>
          <w:rFonts w:ascii="arial" w:eastAsia="arial" w:hAnsi="arial" w:cs="arial"/>
          <w:b/>
          <w:i/>
          <w:color w:val="000000"/>
          <w:sz w:val="20"/>
          <w:lang w:val="en-US" w:eastAsia="en-US" w:bidi="ar-SA"/>
        </w:rPr>
        <w:t>Operation Dismantle</w:t>
      </w:r>
      <w:r>
        <w:rPr>
          <w:rFonts w:ascii="arial" w:eastAsia="arial" w:hAnsi="arial" w:cs="arial"/>
          <w:color w:val="000000"/>
          <w:sz w:val="20"/>
          <w:lang w:val="en-US" w:eastAsia="en-US" w:bidi="ar-SA"/>
        </w:rPr>
        <w:t>. There, Wilson J. wrote, at pp. 488-489:</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concept of "right" as used in the </w:t>
      </w:r>
      <w:r>
        <w:rPr>
          <w:rFonts w:ascii="arial" w:eastAsia="arial" w:hAnsi="arial" w:cs="arial"/>
          <w:i/>
          <w:color w:val="000000"/>
          <w:sz w:val="20"/>
          <w:lang w:val="en-US" w:eastAsia="en-US" w:bidi="ar-SA"/>
        </w:rPr>
        <w:t>Charter</w:t>
      </w:r>
      <w:r>
        <w:rPr>
          <w:rFonts w:ascii="arial" w:eastAsia="arial" w:hAnsi="arial" w:cs="arial"/>
          <w:color w:val="000000"/>
          <w:sz w:val="20"/>
          <w:lang w:val="en-US" w:eastAsia="en-US" w:bidi="ar-SA"/>
        </w:rPr>
        <w:t xml:space="preserve"> must also, I believe, recognize and take account of the political reality of the modern state. Action by the state or, conversely, inaction by the state will frequently have the effect of decreasing or increasing the risk to the lives or security of its citizens. It may be argued, for example, that the failure of government to limit significantly the speed of traffic on the highways threatens our right to life and security in that it increases the risk of highway accidents. Such conduct, however, would not, in my view, fall within the scope of the right protected by s. 7 of the </w:t>
      </w:r>
      <w:r>
        <w:rPr>
          <w:rFonts w:ascii="arial" w:eastAsia="arial" w:hAnsi="arial" w:cs="arial"/>
          <w:i/>
          <w:color w:val="000000"/>
          <w:sz w:val="20"/>
          <w:lang w:val="en-US" w:eastAsia="en-US" w:bidi="ar-SA"/>
        </w:rPr>
        <w:t>Charter</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90</w:t>
      </w:r>
      <w:r>
        <w:rPr>
          <w:rFonts w:ascii="arial" w:eastAsia="arial" w:hAnsi="arial" w:cs="arial"/>
          <w:color w:val="000000"/>
          <w:sz w:val="20"/>
          <w:lang w:val="en-US" w:eastAsia="en-US" w:bidi="ar-SA"/>
        </w:rPr>
        <w:t xml:space="preserve">  Mr. Vesely also cites </w:t>
      </w:r>
      <w:r>
        <w:rPr>
          <w:rFonts w:ascii="arial" w:eastAsia="arial" w:hAnsi="arial" w:cs="arial"/>
          <w:b/>
          <w:i/>
          <w:color w:val="000000"/>
          <w:sz w:val="20"/>
          <w:lang w:val="en-US" w:eastAsia="en-US" w:bidi="ar-SA"/>
        </w:rPr>
        <w:t>Trang v. Alberta (Edmonton Remand Centre)</w:t>
      </w:r>
      <w:r>
        <w:rPr>
          <w:rFonts w:ascii="arial" w:eastAsia="arial" w:hAnsi="arial" w:cs="arial"/>
          <w:color w:val="000000"/>
          <w:sz w:val="20"/>
          <w:lang w:val="en-US" w:eastAsia="en-US" w:bidi="ar-SA"/>
        </w:rPr>
        <w:t xml:space="preserve">, </w:t>
      </w:r>
      <w:hyperlink r:id="rId969" w:history="1">
        <w:r>
          <w:rPr>
            <w:rFonts w:ascii="arial" w:eastAsia="arial" w:hAnsi="arial" w:cs="arial"/>
            <w:i/>
            <w:color w:val="0077CC"/>
            <w:sz w:val="20"/>
            <w:u w:val="single"/>
            <w:shd w:val="clear" w:color="auto" w:fill="FFFFFF"/>
            <w:lang w:val="en-US" w:eastAsia="en-US" w:bidi="ar-SA"/>
          </w:rPr>
          <w:t>2007 ABCA 263</w:t>
        </w:r>
      </w:hyperlink>
      <w:r>
        <w:rPr>
          <w:rFonts w:ascii="arial" w:eastAsia="arial" w:hAnsi="arial" w:cs="arial"/>
          <w:color w:val="000000"/>
          <w:sz w:val="20"/>
          <w:lang w:val="en-US" w:eastAsia="en-US" w:bidi="ar-SA"/>
        </w:rPr>
        <w:t>, where Slater J.A. (for the court) said, at paras. 28-29:</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[28] An initial question is whether "mere risk" can result in a </w:t>
      </w:r>
      <w:r>
        <w:rPr>
          <w:rFonts w:ascii="arial" w:eastAsia="arial" w:hAnsi="arial" w:cs="arial"/>
          <w:i/>
          <w:color w:val="000000"/>
          <w:sz w:val="20"/>
          <w:lang w:val="en-US" w:eastAsia="en-US" w:bidi="ar-SA"/>
        </w:rPr>
        <w:t>Charter</w:t>
      </w:r>
      <w:r>
        <w:rPr>
          <w:rFonts w:ascii="arial" w:eastAsia="arial" w:hAnsi="arial" w:cs="arial"/>
          <w:color w:val="000000"/>
          <w:sz w:val="20"/>
          <w:lang w:val="en-US" w:eastAsia="en-US" w:bidi="ar-SA"/>
        </w:rPr>
        <w:t xml:space="preserve"> breach. The risks arising from ordinary life are generally dealt with by the law of tort, with all of its built-in limitations. For example, there is no tort of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unless there is damage. In tort "mere risk" and even "greater risk" usually do not justify a remedy. If these respondents have not suffered any damage, they would have no tort claim, but they claim they are still entitled to pursue a higher constitutional claim. It goes without saying that s. 7 of the </w:t>
      </w:r>
      <w:r>
        <w:rPr>
          <w:rFonts w:ascii="arial" w:eastAsia="arial" w:hAnsi="arial" w:cs="arial"/>
          <w:i/>
          <w:color w:val="000000"/>
          <w:sz w:val="20"/>
          <w:lang w:val="en-US" w:eastAsia="en-US" w:bidi="ar-SA"/>
        </w:rPr>
        <w:t>Charter</w:t>
      </w:r>
      <w:r>
        <w:rPr>
          <w:rFonts w:ascii="arial" w:eastAsia="arial" w:hAnsi="arial" w:cs="arial"/>
          <w:color w:val="000000"/>
          <w:sz w:val="20"/>
          <w:lang w:val="en-US" w:eastAsia="en-US" w:bidi="ar-SA"/>
        </w:rPr>
        <w:t xml:space="preserve"> was not designed to replace or supplement the law of torts, the law of product liability, or the rules regarding the manufacturing standards for passenger vehicles. . . .</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[29] The respondents rely on cases that hold that increased risk to a person's health can amount to an infringement of security of the person: </w:t>
      </w:r>
      <w:r>
        <w:rPr>
          <w:rFonts w:ascii="arial" w:eastAsia="arial" w:hAnsi="arial" w:cs="arial"/>
          <w:b/>
          <w:i/>
          <w:color w:val="000000"/>
          <w:sz w:val="20"/>
          <w:lang w:val="en-US" w:eastAsia="en-US" w:bidi="ar-SA"/>
        </w:rPr>
        <w:t>R. v. Malmo?Levine</w:t>
      </w:r>
      <w:r>
        <w:rPr>
          <w:rFonts w:ascii="arial" w:eastAsia="arial" w:hAnsi="arial" w:cs="arial"/>
          <w:color w:val="000000"/>
          <w:sz w:val="20"/>
          <w:lang w:val="en-US" w:eastAsia="en-US" w:bidi="ar-SA"/>
        </w:rPr>
        <w:t xml:space="preserve">, </w:t>
      </w:r>
      <w:hyperlink r:id="rId970" w:history="1">
        <w:r>
          <w:rPr>
            <w:rFonts w:ascii="arial" w:eastAsia="arial" w:hAnsi="arial" w:cs="arial"/>
            <w:i/>
            <w:color w:val="0077CC"/>
            <w:sz w:val="20"/>
            <w:u w:val="single"/>
            <w:shd w:val="clear" w:color="auto" w:fill="FFFFFF"/>
            <w:lang w:val="en-US" w:eastAsia="en-US" w:bidi="ar-SA"/>
          </w:rPr>
          <w:t>2003 SCC 74</w:t>
        </w:r>
      </w:hyperlink>
      <w:r>
        <w:rPr>
          <w:rFonts w:ascii="arial" w:eastAsia="arial" w:hAnsi="arial" w:cs="arial"/>
          <w:color w:val="000000"/>
          <w:sz w:val="20"/>
          <w:lang w:val="en-US" w:eastAsia="en-US" w:bidi="ar-SA"/>
        </w:rPr>
        <w:t xml:space="preserve">, </w:t>
      </w:r>
      <w:hyperlink r:id="rId970" w:history="1">
        <w:r>
          <w:rPr>
            <w:rFonts w:ascii="arial" w:eastAsia="arial" w:hAnsi="arial" w:cs="arial"/>
            <w:i/>
            <w:color w:val="0077CC"/>
            <w:sz w:val="20"/>
            <w:u w:val="single"/>
            <w:shd w:val="clear" w:color="auto" w:fill="FFFFFF"/>
            <w:lang w:val="en-US" w:eastAsia="en-US" w:bidi="ar-SA"/>
          </w:rPr>
          <w:t>[2003] 3 S.C.R. 571</w:t>
        </w:r>
      </w:hyperlink>
      <w:r>
        <w:rPr>
          <w:rFonts w:ascii="arial" w:eastAsia="arial" w:hAnsi="arial" w:cs="arial"/>
          <w:color w:val="000000"/>
          <w:sz w:val="20"/>
          <w:lang w:val="en-US" w:eastAsia="en-US" w:bidi="ar-SA"/>
        </w:rPr>
        <w:t xml:space="preserve"> at para. 89; </w:t>
      </w:r>
      <w:r>
        <w:rPr>
          <w:rFonts w:ascii="arial" w:eastAsia="arial" w:hAnsi="arial" w:cs="arial"/>
          <w:b/>
          <w:i/>
          <w:color w:val="000000"/>
          <w:sz w:val="20"/>
          <w:lang w:val="en-US" w:eastAsia="en-US" w:bidi="ar-SA"/>
        </w:rPr>
        <w:t>R. v. Morgentaler</w:t>
      </w:r>
      <w:r>
        <w:rPr>
          <w:rFonts w:ascii="arial" w:eastAsia="arial" w:hAnsi="arial" w:cs="arial"/>
          <w:color w:val="000000"/>
          <w:sz w:val="20"/>
          <w:lang w:val="en-US" w:eastAsia="en-US" w:bidi="ar-SA"/>
        </w:rPr>
        <w:t xml:space="preserve">, </w:t>
      </w:r>
      <w:hyperlink r:id="rId971" w:history="1">
        <w:r>
          <w:rPr>
            <w:rFonts w:ascii="arial" w:eastAsia="arial" w:hAnsi="arial" w:cs="arial"/>
            <w:i/>
            <w:color w:val="0077CC"/>
            <w:sz w:val="20"/>
            <w:u w:val="single"/>
            <w:shd w:val="clear" w:color="auto" w:fill="FFFFFF"/>
            <w:lang w:val="en-US" w:eastAsia="en-US" w:bidi="ar-SA"/>
          </w:rPr>
          <w:t>[1988] 1 S.C.R. 30</w:t>
        </w:r>
      </w:hyperlink>
      <w:r>
        <w:rPr>
          <w:rFonts w:ascii="arial" w:eastAsia="arial" w:hAnsi="arial" w:cs="arial"/>
          <w:color w:val="000000"/>
          <w:sz w:val="20"/>
          <w:lang w:val="en-US" w:eastAsia="en-US" w:bidi="ar-SA"/>
        </w:rPr>
        <w:t xml:space="preserve"> at pp. 60, 82, 92; </w:t>
      </w:r>
      <w:r>
        <w:rPr>
          <w:rFonts w:ascii="arial" w:eastAsia="arial" w:hAnsi="arial" w:cs="arial"/>
          <w:b/>
          <w:i/>
          <w:color w:val="000000"/>
          <w:sz w:val="20"/>
          <w:lang w:val="en-US" w:eastAsia="en-US" w:bidi="ar-SA"/>
        </w:rPr>
        <w:t>R. v. Parker</w:t>
      </w:r>
      <w:r>
        <w:rPr>
          <w:rFonts w:ascii="arial" w:eastAsia="arial" w:hAnsi="arial" w:cs="arial"/>
          <w:color w:val="000000"/>
          <w:sz w:val="20"/>
          <w:lang w:val="en-US" w:eastAsia="en-US" w:bidi="ar-SA"/>
        </w:rPr>
        <w:t xml:space="preserve"> </w:t>
      </w:r>
      <w:hyperlink r:id="rId972" w:history="1">
        <w:r>
          <w:rPr>
            <w:rFonts w:ascii="arial" w:eastAsia="arial" w:hAnsi="arial" w:cs="arial"/>
            <w:i/>
            <w:color w:val="0077CC"/>
            <w:sz w:val="20"/>
            <w:u w:val="single"/>
            <w:shd w:val="clear" w:color="auto" w:fill="FFFFFF"/>
            <w:lang w:val="en-US" w:eastAsia="en-US" w:bidi="ar-SA"/>
          </w:rPr>
          <w:t>(2000), 49 O.R. (3d) 481</w:t>
        </w:r>
      </w:hyperlink>
      <w:r>
        <w:rPr>
          <w:rFonts w:ascii="arial" w:eastAsia="arial" w:hAnsi="arial" w:cs="arial"/>
          <w:color w:val="000000"/>
          <w:sz w:val="20"/>
          <w:lang w:val="en-US" w:eastAsia="en-US" w:bidi="ar-SA"/>
        </w:rPr>
        <w:t xml:space="preserve">, </w:t>
      </w:r>
      <w:hyperlink r:id="rId972" w:history="1">
        <w:r>
          <w:rPr>
            <w:rFonts w:ascii="arial" w:eastAsia="arial" w:hAnsi="arial" w:cs="arial"/>
            <w:i/>
            <w:color w:val="0077CC"/>
            <w:sz w:val="20"/>
            <w:u w:val="single"/>
            <w:shd w:val="clear" w:color="auto" w:fill="FFFFFF"/>
            <w:lang w:val="en-US" w:eastAsia="en-US" w:bidi="ar-SA"/>
          </w:rPr>
          <w:t>188 D.L.R. (4th) 385</w:t>
        </w:r>
      </w:hyperlink>
      <w:r>
        <w:rPr>
          <w:rFonts w:ascii="arial" w:eastAsia="arial" w:hAnsi="arial" w:cs="arial"/>
          <w:color w:val="000000"/>
          <w:sz w:val="20"/>
          <w:lang w:val="en-US" w:eastAsia="en-US" w:bidi="ar-SA"/>
        </w:rPr>
        <w:t xml:space="preserve"> (C.A.) at paras. 145, 157. These cases all involve statutorily imposed restrictions on the availability of health care, coupled with a possibility of criminal conviction if the restriction was disobeyed. The passing comment in </w:t>
      </w:r>
      <w:r>
        <w:rPr>
          <w:rFonts w:ascii="arial" w:eastAsia="arial" w:hAnsi="arial" w:cs="arial"/>
          <w:b/>
          <w:i/>
          <w:color w:val="000000"/>
          <w:sz w:val="20"/>
          <w:lang w:val="en-US" w:eastAsia="en-US" w:bidi="ar-SA"/>
        </w:rPr>
        <w:t>Malmo?Levine</w:t>
      </w:r>
      <w:r>
        <w:rPr>
          <w:rFonts w:ascii="arial" w:eastAsia="arial" w:hAnsi="arial" w:cs="arial"/>
          <w:color w:val="000000"/>
          <w:sz w:val="20"/>
          <w:lang w:val="en-US" w:eastAsia="en-US" w:bidi="ar-SA"/>
        </w:rPr>
        <w:t xml:space="preserve"> that is relied on specifically mentions the risk of imprisonment as being the trigger to the potential breach. These cases do not stand for a general proposition that every state action that imposes a greater risk of personal injury on a citizen is a breach of s. 7.</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91</w:t>
      </w:r>
      <w:r>
        <w:rPr>
          <w:rFonts w:ascii="arial" w:eastAsia="arial" w:hAnsi="arial" w:cs="arial"/>
          <w:color w:val="000000"/>
          <w:sz w:val="20"/>
          <w:lang w:val="en-US" w:eastAsia="en-US" w:bidi="ar-SA"/>
        </w:rPr>
        <w:t xml:space="preserve">  Mr. Vesely submits that the application of these cases here is straightforward, since there is not even an allegation that the risk to health has been increased by the "Impugned Conduct." In his submission, the plaintiffs' allegation (in paras. 192 and 193) of a "reasonable basis for concern about health risk" and assertion of a choice to be free from that risk are one step further removed from allegations that were found in </w:t>
      </w:r>
      <w:r>
        <w:rPr>
          <w:rFonts w:ascii="arial" w:eastAsia="arial" w:hAnsi="arial" w:cs="arial"/>
          <w:b/>
          <w:i/>
          <w:color w:val="000000"/>
          <w:sz w:val="20"/>
          <w:lang w:val="en-US" w:eastAsia="en-US" w:bidi="ar-SA"/>
        </w:rPr>
        <w:t>Operation Dismantle</w:t>
      </w:r>
      <w:r>
        <w:rPr>
          <w:rFonts w:ascii="arial" w:eastAsia="arial" w:hAnsi="arial" w:cs="arial"/>
          <w:color w:val="000000"/>
          <w:sz w:val="20"/>
          <w:lang w:val="en-US" w:eastAsia="en-US" w:bidi="ar-SA"/>
        </w:rPr>
        <w:t xml:space="preserve"> and </w:t>
      </w:r>
      <w:r>
        <w:rPr>
          <w:rFonts w:ascii="arial" w:eastAsia="arial" w:hAnsi="arial" w:cs="arial"/>
          <w:b/>
          <w:i/>
          <w:color w:val="000000"/>
          <w:sz w:val="20"/>
          <w:lang w:val="en-US" w:eastAsia="en-US" w:bidi="ar-SA"/>
        </w:rPr>
        <w:t>Trang</w:t>
      </w:r>
      <w:r>
        <w:rPr>
          <w:rFonts w:ascii="arial" w:eastAsia="arial" w:hAnsi="arial" w:cs="arial"/>
          <w:color w:val="000000"/>
          <w:sz w:val="20"/>
          <w:lang w:val="en-US" w:eastAsia="en-US" w:bidi="ar-SA"/>
        </w:rPr>
        <w:t xml:space="preserve"> to be inadequate to ground a </w:t>
      </w:r>
      <w:r>
        <w:rPr>
          <w:rFonts w:ascii="arial" w:eastAsia="arial" w:hAnsi="arial" w:cs="arial"/>
          <w:b/>
          <w:i/>
          <w:color w:val="000000"/>
          <w:sz w:val="20"/>
          <w:lang w:val="en-US" w:eastAsia="en-US" w:bidi="ar-SA"/>
        </w:rPr>
        <w:t>Charter</w:t>
      </w:r>
      <w:r>
        <w:rPr>
          <w:rFonts w:ascii="arial" w:eastAsia="arial" w:hAnsi="arial" w:cs="arial"/>
          <w:color w:val="000000"/>
          <w:sz w:val="20"/>
          <w:lang w:val="en-US" w:eastAsia="en-US" w:bidi="ar-SA"/>
        </w:rPr>
        <w:t xml:space="preserve"> breach.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92</w:t>
      </w:r>
      <w:r>
        <w:rPr>
          <w:rFonts w:ascii="arial" w:eastAsia="arial" w:hAnsi="arial" w:cs="arial"/>
          <w:color w:val="000000"/>
          <w:sz w:val="20"/>
          <w:lang w:val="en-US" w:eastAsia="en-US" w:bidi="ar-SA"/>
        </w:rPr>
        <w:t xml:space="preserve">  Mr. Vesely argues further that Mr. Justice La Forest's judgment in </w:t>
      </w:r>
      <w:r>
        <w:rPr>
          <w:rFonts w:ascii="arial" w:eastAsia="arial" w:hAnsi="arial" w:cs="arial"/>
          <w:b/>
          <w:i/>
          <w:color w:val="000000"/>
          <w:sz w:val="20"/>
          <w:lang w:val="en-US" w:eastAsia="en-US" w:bidi="ar-SA"/>
        </w:rPr>
        <w:t>Godbout</w:t>
      </w:r>
      <w:r>
        <w:rPr>
          <w:rFonts w:ascii="arial" w:eastAsia="arial" w:hAnsi="arial" w:cs="arial"/>
          <w:color w:val="000000"/>
          <w:sz w:val="20"/>
          <w:lang w:val="en-US" w:eastAsia="en-US" w:bidi="ar-SA"/>
        </w:rPr>
        <w:t xml:space="preserve"> does not assist the plaintiffs. In Mr. Vesely's submission, Mr. Justice La Forest, in para. 66 of the judgment, was describing limits of the s. 7 right to liberty. Mr. Vesely argues that the plaintiffs have failed to plead facts that would engage what La Forest J. described as the "narrow class" of inherently personal matters that are deserving of protection under s. 7.</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93</w:t>
      </w:r>
      <w:r>
        <w:rPr>
          <w:rFonts w:ascii="arial" w:eastAsia="arial" w:hAnsi="arial" w:cs="arial"/>
          <w:color w:val="000000"/>
          <w:sz w:val="20"/>
          <w:lang w:val="en-US" w:eastAsia="en-US" w:bidi="ar-SA"/>
        </w:rPr>
        <w:t xml:space="preserve">  The result, in Mr. Vesely's submission, is that no claim for a breach of s. 7 can lie on the pleaded facts. In other words, the plaintiffs' claim, as pleaded in the Proposed NCC, is bound to fail. The application to amend should be dismissed, and the certification application should also be dismissed on the grounds that the plaintiffs have failed to meet the requirement under s. 4(1)(a) of the </w:t>
      </w:r>
      <w:r>
        <w:rPr>
          <w:rFonts w:ascii="arial" w:eastAsia="arial" w:hAnsi="arial" w:cs="arial"/>
          <w:b/>
          <w:i/>
          <w:color w:val="000000"/>
          <w:sz w:val="20"/>
          <w:lang w:val="en-US" w:eastAsia="en-US" w:bidi="ar-SA"/>
        </w:rPr>
        <w:t>CPA</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94</w:t>
      </w:r>
      <w:r>
        <w:rPr>
          <w:rFonts w:ascii="arial" w:eastAsia="arial" w:hAnsi="arial" w:cs="arial"/>
          <w:color w:val="000000"/>
          <w:sz w:val="20"/>
          <w:lang w:val="en-US" w:eastAsia="en-US" w:bidi="ar-SA"/>
        </w:rPr>
        <w:t xml:space="preserve">  Some might find the parallels drawn by the plaintiffs between their complaints about smart meters and the issues that were before the court in </w:t>
      </w:r>
      <w:r>
        <w:rPr>
          <w:rFonts w:ascii="arial" w:eastAsia="arial" w:hAnsi="arial" w:cs="arial"/>
          <w:b/>
          <w:i/>
          <w:color w:val="000000"/>
          <w:sz w:val="20"/>
          <w:lang w:val="en-US" w:eastAsia="en-US" w:bidi="ar-SA"/>
        </w:rPr>
        <w:t>Carter</w:t>
      </w:r>
      <w:r>
        <w:rPr>
          <w:rFonts w:ascii="arial" w:eastAsia="arial" w:hAnsi="arial" w:cs="arial"/>
          <w:color w:val="000000"/>
          <w:sz w:val="20"/>
          <w:lang w:val="en-US" w:eastAsia="en-US" w:bidi="ar-SA"/>
        </w:rPr>
        <w:t xml:space="preserve"> to be far-fetched, or even ridiculous or offensive. However, the certification application is not a test of the merits of the claims. The only issue under s. 4(1)(a) of the </w:t>
      </w:r>
      <w:r>
        <w:rPr>
          <w:rFonts w:ascii="arial" w:eastAsia="arial" w:hAnsi="arial" w:cs="arial"/>
          <w:b/>
          <w:i/>
          <w:color w:val="000000"/>
          <w:sz w:val="20"/>
          <w:lang w:val="en-US" w:eastAsia="en-US" w:bidi="ar-SA"/>
        </w:rPr>
        <w:t>CPA</w:t>
      </w:r>
      <w:r>
        <w:rPr>
          <w:rFonts w:ascii="arial" w:eastAsia="arial" w:hAnsi="arial" w:cs="arial"/>
          <w:color w:val="000000"/>
          <w:sz w:val="20"/>
          <w:lang w:val="en-US" w:eastAsia="en-US" w:bidi="ar-SA"/>
        </w:rPr>
        <w:t xml:space="preserve"> is whether, assuming the facts alleged are true, the Proposed NCC discloses a cause of action.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95</w:t>
      </w:r>
      <w:r>
        <w:rPr>
          <w:rFonts w:ascii="arial" w:eastAsia="arial" w:hAnsi="arial" w:cs="arial"/>
          <w:color w:val="000000"/>
          <w:sz w:val="20"/>
          <w:lang w:val="en-US" w:eastAsia="en-US" w:bidi="ar-SA"/>
        </w:rPr>
        <w:t xml:space="preserve">  I have concluded that, based in particular on facts pleaded in paras. 86-123, it is not plain and obvious that the plaintiffs' claim based on the liberty interest protected by s. 7 of the </w:t>
      </w:r>
      <w:r>
        <w:rPr>
          <w:rFonts w:ascii="arial" w:eastAsia="arial" w:hAnsi="arial" w:cs="arial"/>
          <w:b/>
          <w:i/>
          <w:color w:val="000000"/>
          <w:sz w:val="20"/>
          <w:lang w:val="en-US" w:eastAsia="en-US" w:bidi="ar-SA"/>
        </w:rPr>
        <w:t>Charter</w:t>
      </w:r>
      <w:r>
        <w:rPr>
          <w:rFonts w:ascii="arial" w:eastAsia="arial" w:hAnsi="arial" w:cs="arial"/>
          <w:color w:val="000000"/>
          <w:sz w:val="20"/>
          <w:lang w:val="en-US" w:eastAsia="en-US" w:bidi="ar-SA"/>
        </w:rPr>
        <w:t xml:space="preserve"> is bound to fail.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96</w:t>
      </w:r>
      <w:r>
        <w:rPr>
          <w:rFonts w:ascii="arial" w:eastAsia="arial" w:hAnsi="arial" w:cs="arial"/>
          <w:color w:val="000000"/>
          <w:sz w:val="20"/>
          <w:lang w:val="en-US" w:eastAsia="en-US" w:bidi="ar-SA"/>
        </w:rPr>
        <w:t xml:space="preserve">  However, I have reached a different conclusion concerning the claim based on the right to security of the person protected by s. 7. The cases (including </w:t>
      </w:r>
      <w:r>
        <w:rPr>
          <w:rFonts w:ascii="arial" w:eastAsia="arial" w:hAnsi="arial" w:cs="arial"/>
          <w:b/>
          <w:i/>
          <w:color w:val="000000"/>
          <w:sz w:val="20"/>
          <w:lang w:val="en-US" w:eastAsia="en-US" w:bidi="ar-SA"/>
        </w:rPr>
        <w:t>Carter</w:t>
      </w:r>
      <w:r>
        <w:rPr>
          <w:rFonts w:ascii="arial" w:eastAsia="arial" w:hAnsi="arial" w:cs="arial"/>
          <w:color w:val="000000"/>
          <w:sz w:val="20"/>
          <w:lang w:val="en-US" w:eastAsia="en-US" w:bidi="ar-SA"/>
        </w:rPr>
        <w:t xml:space="preserve"> and </w:t>
      </w:r>
      <w:r>
        <w:rPr>
          <w:rFonts w:ascii="arial" w:eastAsia="arial" w:hAnsi="arial" w:cs="arial"/>
          <w:b/>
          <w:i/>
          <w:color w:val="000000"/>
          <w:sz w:val="20"/>
          <w:lang w:val="en-US" w:eastAsia="en-US" w:bidi="ar-SA"/>
        </w:rPr>
        <w:t>Blencoe</w:t>
      </w:r>
      <w:r>
        <w:rPr>
          <w:rFonts w:ascii="arial" w:eastAsia="arial" w:hAnsi="arial" w:cs="arial"/>
          <w:color w:val="000000"/>
          <w:sz w:val="20"/>
          <w:lang w:val="en-US" w:eastAsia="en-US" w:bidi="ar-SA"/>
        </w:rPr>
        <w:t xml:space="preserve">) show that right is engaged by state interference with an individual's physical or psychological integrity, including state action that </w:t>
      </w:r>
      <w:r>
        <w:rPr>
          <w:rFonts w:ascii="arial" w:eastAsia="arial" w:hAnsi="arial" w:cs="arial"/>
          <w:color w:val="000000"/>
          <w:sz w:val="20"/>
          <w:u w:val="single"/>
          <w:lang w:val="en-US" w:eastAsia="en-US" w:bidi="ar-SA"/>
        </w:rPr>
        <w:t>causes</w:t>
      </w:r>
      <w:r>
        <w:rPr>
          <w:rFonts w:ascii="arial" w:eastAsia="arial" w:hAnsi="arial" w:cs="arial"/>
          <w:color w:val="000000"/>
          <w:sz w:val="20"/>
          <w:lang w:val="en-US" w:eastAsia="en-US" w:bidi="ar-SA"/>
        </w:rPr>
        <w:t xml:space="preserve"> physical or serious psychological suffering. The plaintiffs have failed to plead material facts of the nature required in order to plead such a cause of action. Indeed, no material facts at all of that sort are pleaded in relation to either the named or proposed plaintiffs.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97</w:t>
      </w:r>
      <w:r>
        <w:rPr>
          <w:rFonts w:ascii="arial" w:eastAsia="arial" w:hAnsi="arial" w:cs="arial"/>
          <w:color w:val="000000"/>
          <w:sz w:val="20"/>
          <w:lang w:val="en-US" w:eastAsia="en-US" w:bidi="ar-SA"/>
        </w:rPr>
        <w:t xml:space="preserve">  Because I have concluded that there is a cause of action pleaded in respect of the liberty interest protected by s. 7 of the </w:t>
      </w:r>
      <w:r>
        <w:rPr>
          <w:rFonts w:ascii="arial" w:eastAsia="arial" w:hAnsi="arial" w:cs="arial"/>
          <w:b/>
          <w:i/>
          <w:color w:val="000000"/>
          <w:sz w:val="20"/>
          <w:lang w:val="en-US" w:eastAsia="en-US" w:bidi="ar-SA"/>
        </w:rPr>
        <w:t>Charter</w:t>
      </w:r>
      <w:r>
        <w:rPr>
          <w:rFonts w:ascii="arial" w:eastAsia="arial" w:hAnsi="arial" w:cs="arial"/>
          <w:color w:val="000000"/>
          <w:sz w:val="20"/>
          <w:lang w:val="en-US" w:eastAsia="en-US" w:bidi="ar-SA"/>
        </w:rPr>
        <w:t>, I will go on to consider the ancillary pleading issues raised by Mr. Vesely.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98</w:t>
      </w:r>
      <w:r>
        <w:rPr>
          <w:rFonts w:ascii="arial" w:eastAsia="arial" w:hAnsi="arial" w:cs="arial"/>
          <w:color w:val="000000"/>
          <w:sz w:val="20"/>
          <w:lang w:val="en-US" w:eastAsia="en-US" w:bidi="ar-SA"/>
        </w:rPr>
        <w:t xml:space="preserve">  First, I address the plaintiffs' claim for damages, including under s. 24 of the </w:t>
      </w:r>
      <w:r>
        <w:rPr>
          <w:rFonts w:ascii="arial" w:eastAsia="arial" w:hAnsi="arial" w:cs="arial"/>
          <w:b/>
          <w:i/>
          <w:color w:val="000000"/>
          <w:sz w:val="20"/>
          <w:lang w:val="en-US" w:eastAsia="en-US" w:bidi="ar-SA"/>
        </w:rPr>
        <w:t>Charter</w:t>
      </w:r>
      <w:r>
        <w:rPr>
          <w:rFonts w:ascii="arial" w:eastAsia="arial" w:hAnsi="arial" w:cs="arial"/>
          <w:color w:val="000000"/>
          <w:sz w:val="20"/>
          <w:lang w:val="en-US" w:eastAsia="en-US" w:bidi="ar-SA"/>
        </w:rPr>
        <w:t xml:space="preserve">. I agree with Mr. Vesely that, on the authorities, absent conduct that is clearly wrong, taken in bad faith, or an abuse of power, the court will not award damages for harm suffered as a result of the enactment or application of a law that is subsequently declared to be unconstitutional. See </w:t>
      </w:r>
      <w:r>
        <w:rPr>
          <w:rFonts w:ascii="arial" w:eastAsia="arial" w:hAnsi="arial" w:cs="arial"/>
          <w:b/>
          <w:i/>
          <w:color w:val="000000"/>
          <w:sz w:val="20"/>
          <w:lang w:val="en-US" w:eastAsia="en-US" w:bidi="ar-SA"/>
        </w:rPr>
        <w:t>Mackin v. New Brunswick (Minister of Finance); Rice v. New Brunswick</w:t>
      </w:r>
      <w:r>
        <w:rPr>
          <w:rFonts w:ascii="arial" w:eastAsia="arial" w:hAnsi="arial" w:cs="arial"/>
          <w:color w:val="000000"/>
          <w:sz w:val="20"/>
          <w:lang w:val="en-US" w:eastAsia="en-US" w:bidi="ar-SA"/>
        </w:rPr>
        <w:t xml:space="preserve">, </w:t>
      </w:r>
      <w:hyperlink r:id="rId866" w:history="1">
        <w:r>
          <w:rPr>
            <w:rFonts w:ascii="arial" w:eastAsia="arial" w:hAnsi="arial" w:cs="arial"/>
            <w:i/>
            <w:color w:val="0077CC"/>
            <w:sz w:val="20"/>
            <w:u w:val="single"/>
            <w:shd w:val="clear" w:color="auto" w:fill="FFFFFF"/>
            <w:lang w:val="en-US" w:eastAsia="en-US" w:bidi="ar-SA"/>
          </w:rPr>
          <w:t>2002 SCC 13</w:t>
        </w:r>
      </w:hyperlink>
      <w:r>
        <w:rPr>
          <w:rFonts w:ascii="arial" w:eastAsia="arial" w:hAnsi="arial" w:cs="arial"/>
          <w:color w:val="000000"/>
          <w:sz w:val="20"/>
          <w:lang w:val="en-US" w:eastAsia="en-US" w:bidi="ar-SA"/>
        </w:rPr>
        <w:t>, at paras. 78-79. The plaintiffs have not alleged that any of the "Impugned Conduct" was carried out by BC Hydro in bad faith, or was an abuse of power, or was otherwise clearly wrong. There are, therefore, no facts pleaded to support the relief claimed in paras. 7 and 8 of Part 2 of the Proposed NCC. Those amendments cannot be allowed.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99</w:t>
      </w:r>
      <w:r>
        <w:rPr>
          <w:rFonts w:ascii="arial" w:eastAsia="arial" w:hAnsi="arial" w:cs="arial"/>
          <w:color w:val="000000"/>
          <w:sz w:val="20"/>
          <w:lang w:val="en-US" w:eastAsia="en-US" w:bidi="ar-SA"/>
        </w:rPr>
        <w:t>  Second, the plaintiffs originally sought to add Ashif Halani as a named plaintiff. Based on his affidavit, Mr. Halani is an officer of a company that is a non-residential customer of BC Hydro. Mr. Halani personally is not alleged to be a customer of BC Hydro. The Proposed NCC discloses no cause of action by Mr. Halani in his personal capacity. The application to add Mr. Halani as a plaintiff is dismissed and all proposed amendments relating to Mr. Halani are also refused.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100</w:t>
      </w:r>
      <w:r>
        <w:rPr>
          <w:rFonts w:ascii="arial" w:eastAsia="arial" w:hAnsi="arial" w:cs="arial"/>
          <w:color w:val="000000"/>
          <w:sz w:val="20"/>
          <w:lang w:val="en-US" w:eastAsia="en-US" w:bidi="ar-SA"/>
        </w:rPr>
        <w:t xml:space="preserve">  Finally, in my opinion, the Proposed NCC, as drafted, fails to comply with the Rules governing pleadings (discussed above). It simply cannot be described as either a </w:t>
      </w:r>
      <w:r>
        <w:rPr>
          <w:rFonts w:ascii="arial" w:eastAsia="arial" w:hAnsi="arial" w:cs="arial"/>
          <w:color w:val="000000"/>
          <w:sz w:val="20"/>
          <w:u w:val="single"/>
          <w:lang w:val="en-US" w:eastAsia="en-US" w:bidi="ar-SA"/>
        </w:rPr>
        <w:t>concise</w:t>
      </w:r>
      <w:r>
        <w:rPr>
          <w:rFonts w:ascii="arial" w:eastAsia="arial" w:hAnsi="arial" w:cs="arial"/>
          <w:color w:val="000000"/>
          <w:sz w:val="20"/>
          <w:lang w:val="en-US" w:eastAsia="en-US" w:bidi="ar-SA"/>
        </w:rPr>
        <w:t xml:space="preserve"> statement of the material facts or a </w:t>
      </w:r>
      <w:r>
        <w:rPr>
          <w:rFonts w:ascii="arial" w:eastAsia="arial" w:hAnsi="arial" w:cs="arial"/>
          <w:color w:val="000000"/>
          <w:sz w:val="20"/>
          <w:u w:val="single"/>
          <w:lang w:val="en-US" w:eastAsia="en-US" w:bidi="ar-SA"/>
        </w:rPr>
        <w:t>concise</w:t>
      </w:r>
      <w:r>
        <w:rPr>
          <w:rFonts w:ascii="arial" w:eastAsia="arial" w:hAnsi="arial" w:cs="arial"/>
          <w:color w:val="000000"/>
          <w:sz w:val="20"/>
          <w:lang w:val="en-US" w:eastAsia="en-US" w:bidi="ar-SA"/>
        </w:rPr>
        <w:t xml:space="preserve"> summary of the legal basis for the relief sought. Moreover, the Proposed NCC may tell a story and forcefully argue points of view, but, in my opinion, it fails to fulfill the function of a pleading (as described in </w:t>
      </w:r>
      <w:r>
        <w:rPr>
          <w:rFonts w:ascii="arial" w:eastAsia="arial" w:hAnsi="arial" w:cs="arial"/>
          <w:b/>
          <w:i/>
          <w:color w:val="000000"/>
          <w:sz w:val="20"/>
          <w:lang w:val="en-US" w:eastAsia="en-US" w:bidi="ar-SA"/>
        </w:rPr>
        <w:t>Virk v. Brar</w:t>
      </w:r>
      <w:r>
        <w:rPr>
          <w:rFonts w:ascii="arial" w:eastAsia="arial" w:hAnsi="arial" w:cs="arial"/>
          <w:color w:val="000000"/>
          <w:sz w:val="20"/>
          <w:lang w:val="en-US" w:eastAsia="en-US" w:bidi="ar-SA"/>
        </w:rPr>
        <w:t xml:space="preserve">). In addition, based on the submissions during the hearing of the certification application, the Proposed NCC contains claims (for example, under s. 8 of the </w:t>
      </w:r>
      <w:r>
        <w:rPr>
          <w:rFonts w:ascii="arial" w:eastAsia="arial" w:hAnsi="arial" w:cs="arial"/>
          <w:b/>
          <w:i/>
          <w:color w:val="000000"/>
          <w:sz w:val="20"/>
          <w:lang w:val="en-US" w:eastAsia="en-US" w:bidi="ar-SA"/>
        </w:rPr>
        <w:t>Charter</w:t>
      </w:r>
      <w:r>
        <w:rPr>
          <w:rFonts w:ascii="arial" w:eastAsia="arial" w:hAnsi="arial" w:cs="arial"/>
          <w:color w:val="000000"/>
          <w:sz w:val="20"/>
          <w:lang w:val="en-US" w:eastAsia="en-US" w:bidi="ar-SA"/>
        </w:rPr>
        <w:t>) that the plaintiffs are abandoning, and would have to be further amended in any event.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101</w:t>
      </w:r>
      <w:r>
        <w:rPr>
          <w:rFonts w:ascii="arial" w:eastAsia="arial" w:hAnsi="arial" w:cs="arial"/>
          <w:color w:val="000000"/>
          <w:sz w:val="20"/>
          <w:lang w:val="en-US" w:eastAsia="en-US" w:bidi="ar-SA"/>
        </w:rPr>
        <w:t>  I therefore dismiss the plaintiffs' application for leave to amend the notice of civil claim to the form of the Proposed NCC and to add plaintiffs. However, the plaintiffs (if they wish) have leave to apply to amend the notice of civil claim (to a form consistent with these Reasons) and add parties, providing they do so within 60 days of the date of these Reasons.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5. Identifiable class and class description: s. 4(1)(b)</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102</w:t>
      </w:r>
      <w:r>
        <w:rPr>
          <w:rFonts w:ascii="arial" w:eastAsia="arial" w:hAnsi="arial" w:cs="arial"/>
          <w:color w:val="000000"/>
          <w:sz w:val="20"/>
          <w:lang w:val="en-US" w:eastAsia="en-US" w:bidi="ar-SA"/>
        </w:rPr>
        <w:t>  The next requirement that must be met for certification is that there is an identifiable class of two or more persons.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103</w:t>
      </w:r>
      <w:r>
        <w:rPr>
          <w:rFonts w:ascii="arial" w:eastAsia="arial" w:hAnsi="arial" w:cs="arial"/>
          <w:color w:val="000000"/>
          <w:sz w:val="20"/>
          <w:lang w:val="en-US" w:eastAsia="en-US" w:bidi="ar-SA"/>
        </w:rPr>
        <w:t xml:space="preserve">  Class definition is critical because it identifies the individuals entitled to notice, entitled to relief (if relief is awarded), and bound by the judgment. The definition should state objective criteria by which members of the class can be identified. While the criteria for class membership should bear a rational relationship to the common issues, the criteria should not depend on the outcome of the litigation. See </w:t>
      </w:r>
      <w:r>
        <w:rPr>
          <w:rFonts w:ascii="arial" w:eastAsia="arial" w:hAnsi="arial" w:cs="arial"/>
          <w:b/>
          <w:i/>
          <w:color w:val="000000"/>
          <w:sz w:val="20"/>
          <w:lang w:val="en-US" w:eastAsia="en-US" w:bidi="ar-SA"/>
        </w:rPr>
        <w:t>Dutton</w:t>
      </w:r>
      <w:r>
        <w:rPr>
          <w:rFonts w:ascii="arial" w:eastAsia="arial" w:hAnsi="arial" w:cs="arial"/>
          <w:color w:val="000000"/>
          <w:sz w:val="20"/>
          <w:lang w:val="en-US" w:eastAsia="en-US" w:bidi="ar-SA"/>
        </w:rPr>
        <w:t>, at para. 38.</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104</w:t>
      </w:r>
      <w:r>
        <w:rPr>
          <w:rFonts w:ascii="arial" w:eastAsia="arial" w:hAnsi="arial" w:cs="arial"/>
          <w:color w:val="000000"/>
          <w:sz w:val="20"/>
          <w:lang w:val="en-US" w:eastAsia="en-US" w:bidi="ar-SA"/>
        </w:rPr>
        <w:t xml:space="preserve">  In </w:t>
      </w:r>
      <w:r>
        <w:rPr>
          <w:rFonts w:ascii="arial" w:eastAsia="arial" w:hAnsi="arial" w:cs="arial"/>
          <w:b/>
          <w:i/>
          <w:color w:val="000000"/>
          <w:sz w:val="20"/>
          <w:lang w:val="en-US" w:eastAsia="en-US" w:bidi="ar-SA"/>
        </w:rPr>
        <w:t>Watson Certification</w:t>
      </w:r>
      <w:r>
        <w:rPr>
          <w:rFonts w:ascii="arial" w:eastAsia="arial" w:hAnsi="arial" w:cs="arial"/>
          <w:color w:val="000000"/>
          <w:sz w:val="20"/>
          <w:lang w:val="en-US" w:eastAsia="en-US" w:bidi="ar-SA"/>
        </w:rPr>
        <w:t>, Bauman C.J.S.C. (as he then was) summarized the requirements under s. 4(1)(b) as follows, at paras. 63-64:</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[63] . . . [T]he plaintiff must provide some basis in fact for the existence of an identifiable class of two or more persons. The class must be clearly defined at the outset of the litigation as doing so identifies the individuals entitled to notice under the CPA, entitled to relief if the case succeeds, and bound by judgment unless they opt-out [citations omitted].</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[64] To meet this requirement, the plaintiff must define the class with reference to objective criteria. Similarly, while the definition should be rationally related to the alleged common issues, the membership of the class must not hinge on the outcome of the litigation. Further, the class must not be defined too broadly or too narrowly in relation to the common issues. Ultimately, it is not necessary for the plaintiff to identify every class member, but it must be possible to determine whether or not a specific individual is a member of the class [citations omitted].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105</w:t>
      </w:r>
      <w:r>
        <w:rPr>
          <w:rFonts w:ascii="arial" w:eastAsia="arial" w:hAnsi="arial" w:cs="arial"/>
          <w:color w:val="000000"/>
          <w:sz w:val="20"/>
          <w:lang w:val="en-US" w:eastAsia="en-US" w:bidi="ar-SA"/>
        </w:rPr>
        <w:t xml:space="preserve">  In </w:t>
      </w:r>
      <w:r>
        <w:rPr>
          <w:rFonts w:ascii="arial" w:eastAsia="arial" w:hAnsi="arial" w:cs="arial"/>
          <w:b/>
          <w:i/>
          <w:color w:val="000000"/>
          <w:sz w:val="20"/>
          <w:lang w:val="en-US" w:eastAsia="en-US" w:bidi="ar-SA"/>
        </w:rPr>
        <w:t>Hollick</w:t>
      </w:r>
      <w:r>
        <w:rPr>
          <w:rFonts w:ascii="arial" w:eastAsia="arial" w:hAnsi="arial" w:cs="arial"/>
          <w:color w:val="000000"/>
          <w:sz w:val="20"/>
          <w:lang w:val="en-US" w:eastAsia="en-US" w:bidi="ar-SA"/>
        </w:rPr>
        <w:t>, Chief Justice McLachlin commented on the task of defining the scope of the class appropriately, at paras. 20-21:</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20 . . .[I]mplicit in the "identifiable class" requirement is the requirement that there be some rational relationship between the class and common issues. . . . It falls to the putative representative to show that the class is defined sufficiently narrowly.</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21 The requirement is not an onerous one. The representative need not show that everyone in the class shares the same interest in the resolution of the asserted common issue. There must be some showing, however, that the class is not unnecessarily broad - that is, that the class could not be defined more narrowly without arbitrarily excluding some people who share the same interest in the resolution of the common issue. Where the class could be defined more narrowly, the court should either disallow certification or allow certification on condition that the definition of the class be amended: [citations omitted].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106</w:t>
      </w:r>
      <w:r>
        <w:rPr>
          <w:rFonts w:ascii="arial" w:eastAsia="arial" w:hAnsi="arial" w:cs="arial"/>
          <w:color w:val="000000"/>
          <w:sz w:val="20"/>
          <w:lang w:val="en-US" w:eastAsia="en-US" w:bidi="ar-SA"/>
        </w:rPr>
        <w:t>  The proposed class descriptions are as follows: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u w:val="single"/>
          <w:lang w:val="en-US" w:eastAsia="en-US" w:bidi="ar-SA"/>
        </w:rPr>
        <w:t>Class A</w:t>
      </w:r>
      <w:r>
        <w:rPr>
          <w:rFonts w:ascii="arial" w:eastAsia="arial" w:hAnsi="arial" w:cs="arial"/>
          <w:color w:val="000000"/>
          <w:sz w:val="20"/>
          <w:lang w:val="en-US" w:eastAsia="en-US" w:bidi="ar-SA"/>
        </w:rPr>
        <w:t>: any individual residential customer of BC Hydro who has not been offered an opportunity to opt out of having a smart meter installed at the residential premises at which BC Hydro supplies electricity to that customer;</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u w:val="single"/>
          <w:lang w:val="en-US" w:eastAsia="en-US" w:bidi="ar-SA"/>
        </w:rPr>
        <w:t>Class B</w:t>
      </w:r>
      <w:r>
        <w:rPr>
          <w:rFonts w:ascii="arial" w:eastAsia="arial" w:hAnsi="arial" w:cs="arial"/>
          <w:color w:val="000000"/>
          <w:sz w:val="20"/>
          <w:lang w:val="en-US" w:eastAsia="en-US" w:bidi="ar-SA"/>
        </w:rPr>
        <w:t>: any individual customer of BC Hydro to whom BC Hydro supplies electricity at a non-residential premises; and</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u w:val="single"/>
          <w:lang w:val="en-US" w:eastAsia="en-US" w:bidi="ar-SA"/>
        </w:rPr>
        <w:t>Class C</w:t>
      </w:r>
      <w:r>
        <w:rPr>
          <w:rFonts w:ascii="arial" w:eastAsia="arial" w:hAnsi="arial" w:cs="arial"/>
          <w:color w:val="000000"/>
          <w:sz w:val="20"/>
          <w:lang w:val="en-US" w:eastAsia="en-US" w:bidi="ar-SA"/>
        </w:rPr>
        <w:t>: any individual customer of BC Hydro who has been offered an opportunity to pay BC Hydro a fee for that customer's ability to either retain their analogue "Legacy Meter" or receive a "Radio-off Meter" (instead of having a smart meter installed at the premises at which BC Hydro supplies electricity to that customer).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107</w:t>
      </w:r>
      <w:r>
        <w:rPr>
          <w:rFonts w:ascii="arial" w:eastAsia="arial" w:hAnsi="arial" w:cs="arial"/>
          <w:color w:val="000000"/>
          <w:sz w:val="20"/>
          <w:lang w:val="en-US" w:eastAsia="en-US" w:bidi="ar-SA"/>
        </w:rPr>
        <w:t xml:space="preserve">  Mr. Aaron explains that the proposed classes are essentially the groups created by </w:t>
      </w:r>
      <w:r>
        <w:rPr>
          <w:rFonts w:ascii="arial" w:eastAsia="arial" w:hAnsi="arial" w:cs="arial"/>
          <w:b/>
          <w:i/>
          <w:color w:val="000000"/>
          <w:sz w:val="20"/>
          <w:lang w:val="en-US" w:eastAsia="en-US" w:bidi="ar-SA"/>
        </w:rPr>
        <w:t>Direction No. 4</w:t>
      </w:r>
      <w:r>
        <w:rPr>
          <w:rFonts w:ascii="arial" w:eastAsia="arial" w:hAnsi="arial" w:cs="arial"/>
          <w:color w:val="000000"/>
          <w:sz w:val="20"/>
          <w:lang w:val="en-US" w:eastAsia="en-US" w:bidi="ar-SA"/>
        </w:rPr>
        <w:t>. He says that the criteria in the proposed class descriptions distinguish between individuals who are customers of BC Hydro and have been denied the opportunity to choose to be free (what Mr. Aaron terms the "Free Choice") from the operation of a smart meter either at their Dwelling or at non-residential premises (Classes A and B), and individuals who have been offered the opportunity to choose but only in exchange for payment of a fee (Class C).</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108</w:t>
      </w:r>
      <w:r>
        <w:rPr>
          <w:rFonts w:ascii="arial" w:eastAsia="arial" w:hAnsi="arial" w:cs="arial"/>
          <w:color w:val="000000"/>
          <w:sz w:val="20"/>
          <w:lang w:val="en-US" w:eastAsia="en-US" w:bidi="ar-SA"/>
        </w:rPr>
        <w:t xml:space="preserve">  Mr. Aaron explains that, on behalf of the respective classes, the claims assert that the denial of Free Choice (or requirement to pay) constitutes a </w:t>
      </w:r>
      <w:r>
        <w:rPr>
          <w:rFonts w:ascii="arial" w:eastAsia="arial" w:hAnsi="arial" w:cs="arial"/>
          <w:b/>
          <w:i/>
          <w:color w:val="000000"/>
          <w:sz w:val="20"/>
          <w:lang w:val="en-US" w:eastAsia="en-US" w:bidi="ar-SA"/>
        </w:rPr>
        <w:t>Charter</w:t>
      </w:r>
      <w:r>
        <w:rPr>
          <w:rFonts w:ascii="arial" w:eastAsia="arial" w:hAnsi="arial" w:cs="arial"/>
          <w:color w:val="000000"/>
          <w:sz w:val="20"/>
          <w:lang w:val="en-US" w:eastAsia="en-US" w:bidi="ar-SA"/>
        </w:rPr>
        <w:t xml:space="preserve"> violation. The relief sought on behalf of each class entails either the provision of that very Free Choice which was denied, or removing the requirement to pay for it. Therefore, in his submission, there is a rational connection as between the criteria for class membership, the claims advanced on behalf of the class, the issues arising out of those claims (i.e. the question of whether either the denial of Free Choice or the requirement to pay is unconstitutional) and the relief sought on behalf of the class.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109</w:t>
      </w:r>
      <w:r>
        <w:rPr>
          <w:rFonts w:ascii="arial" w:eastAsia="arial" w:hAnsi="arial" w:cs="arial"/>
          <w:color w:val="000000"/>
          <w:sz w:val="20"/>
          <w:lang w:val="en-US" w:eastAsia="en-US" w:bidi="ar-SA"/>
        </w:rPr>
        <w:t xml:space="preserve">  In Mr. Aaron's submission the proposed class definitions are not unnecessarily broad in the sense that they include individuals who do not object to smart meters and have no claims. The reason, in Mr. Aaron's submission, is that, whether an individual wants a smart meter or not, the individual is still subject to the mandatory imposition of that meter (or the requirement to pay Opt-Out Fees). He argues that the common question is whether that mandatory imposition (or requirement to pay) is constitutional - in other words, whether each individual has a right under s. 7 of the </w:t>
      </w:r>
      <w:r>
        <w:rPr>
          <w:rFonts w:ascii="arial" w:eastAsia="arial" w:hAnsi="arial" w:cs="arial"/>
          <w:b/>
          <w:i/>
          <w:color w:val="000000"/>
          <w:sz w:val="20"/>
          <w:lang w:val="en-US" w:eastAsia="en-US" w:bidi="ar-SA"/>
        </w:rPr>
        <w:t>Charter</w:t>
      </w:r>
      <w:r>
        <w:rPr>
          <w:rFonts w:ascii="arial" w:eastAsia="arial" w:hAnsi="arial" w:cs="arial"/>
          <w:color w:val="000000"/>
          <w:sz w:val="20"/>
          <w:lang w:val="en-US" w:eastAsia="en-US" w:bidi="ar-SA"/>
        </w:rPr>
        <w:t xml:space="preserve"> to choose to be free of a smart meter - and that question does not turn on whether or not the individual has no objection to a smart meter. The question is common to all of BC Hydro's individual customers, whatever any individual's position might be on smart meters.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110</w:t>
      </w:r>
      <w:r>
        <w:rPr>
          <w:rFonts w:ascii="arial" w:eastAsia="arial" w:hAnsi="arial" w:cs="arial"/>
          <w:color w:val="000000"/>
          <w:sz w:val="20"/>
          <w:lang w:val="en-US" w:eastAsia="en-US" w:bidi="ar-SA"/>
        </w:rPr>
        <w:t xml:space="preserve">  In Mr. Aaron's submission, members of each class can be identified by objective criteria, because the identifying elements of each class correspond to the categories under the Meter Choices Program (i.e., </w:t>
      </w:r>
      <w:r>
        <w:rPr>
          <w:rFonts w:ascii="arial" w:eastAsia="arial" w:hAnsi="arial" w:cs="arial"/>
          <w:b/>
          <w:i/>
          <w:color w:val="000000"/>
          <w:sz w:val="20"/>
          <w:lang w:val="en-US" w:eastAsia="en-US" w:bidi="ar-SA"/>
        </w:rPr>
        <w:t>Direction No. 4</w:t>
      </w:r>
      <w:r>
        <w:rPr>
          <w:rFonts w:ascii="arial" w:eastAsia="arial" w:hAnsi="arial" w:cs="arial"/>
          <w:color w:val="000000"/>
          <w:sz w:val="20"/>
          <w:lang w:val="en-US" w:eastAsia="en-US" w:bidi="ar-SA"/>
        </w:rPr>
        <w:t>), and the plaintiffs have shown "some basis in fact" for the existence of an identifiable class of two or more persons.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111</w:t>
      </w:r>
      <w:r>
        <w:rPr>
          <w:rFonts w:ascii="arial" w:eastAsia="arial" w:hAnsi="arial" w:cs="arial"/>
          <w:color w:val="000000"/>
          <w:sz w:val="20"/>
          <w:lang w:val="en-US" w:eastAsia="en-US" w:bidi="ar-SA"/>
        </w:rPr>
        <w:t xml:space="preserve">  On behalf of BC Hydro, Mr. Vesely submits that the proposed classes are vastly overbroad. He points out that, on the evidence filed, only the smallest fraction of BC Hydro's customers ever objected to the installation of a smart meter or have </w:t>
      </w:r>
      <w:r>
        <w:rPr>
          <w:rFonts w:ascii="arial" w:eastAsia="arial" w:hAnsi="arial" w:cs="arial"/>
          <w:color w:val="000000"/>
          <w:sz w:val="20"/>
          <w:u w:val="single"/>
          <w:lang w:val="en-US" w:eastAsia="en-US" w:bidi="ar-SA"/>
        </w:rPr>
        <w:t>any</w:t>
      </w:r>
      <w:r>
        <w:rPr>
          <w:rFonts w:ascii="arial" w:eastAsia="arial" w:hAnsi="arial" w:cs="arial"/>
          <w:color w:val="000000"/>
          <w:sz w:val="20"/>
          <w:lang w:val="en-US" w:eastAsia="en-US" w:bidi="ar-SA"/>
        </w:rPr>
        <w:t xml:space="preserve"> interest in the resolution of the proposed common issues. Mr. Vesely argues that Mr. Aaron's submission that all individual customers have an interest in knowing whether they have a constitutional right to choose a smart meter ignores the reality that, on the evidence, the vast majority of the putative class are not seeking a "choice" and would have no interest in the resolution of the common issues. They are content to keep their smart meter; they are not paying an Opt-Out Fee; they face no prospect of a service disconnection; and they have no interest in the underlying debate concerning the alleged health risks associated with RF emissions.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112</w:t>
      </w:r>
      <w:r>
        <w:rPr>
          <w:rFonts w:ascii="arial" w:eastAsia="arial" w:hAnsi="arial" w:cs="arial"/>
          <w:color w:val="000000"/>
          <w:sz w:val="20"/>
          <w:lang w:val="en-US" w:eastAsia="en-US" w:bidi="ar-SA"/>
        </w:rPr>
        <w:t>  Mr. Vesely submits that the small minority within the proposed class who have voiced concern are themselves a disparate group who have asserted differing (and often inconsistent) complaints with respect to smart meters that arise from their unique concerns and circumstances. He says that it is important to recall that the proposed common issues all relate to the alleged health risks associated with smart meters. The evidence shows that many of those who have objected to having a smart meter have no concern whatsoever with the alleged health risks associated with smart meters. Thus, even this small minority within the proposed class would be overbroad.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113</w:t>
      </w:r>
      <w:r>
        <w:rPr>
          <w:rFonts w:ascii="arial" w:eastAsia="arial" w:hAnsi="arial" w:cs="arial"/>
          <w:color w:val="000000"/>
          <w:sz w:val="20"/>
          <w:lang w:val="en-US" w:eastAsia="en-US" w:bidi="ar-SA"/>
        </w:rPr>
        <w:t>  In addition, in Mr. Vesely's submission, there are irreconcilable conflicts among putative class members. He argues that, on the evidence submitted, three distinct conflicts arise.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114</w:t>
      </w:r>
      <w:r>
        <w:rPr>
          <w:rFonts w:ascii="arial" w:eastAsia="arial" w:hAnsi="arial" w:cs="arial"/>
          <w:color w:val="000000"/>
          <w:sz w:val="20"/>
          <w:lang w:val="en-US" w:eastAsia="en-US" w:bidi="ar-SA"/>
        </w:rPr>
        <w:t xml:space="preserve">  First, there are many individuals who would fall within the proposed class who support the smart meter initiative and oppose in principle what they describe as the "groundless hysteria" surrounding RF emissions and smart meters, and the relief that is being sought in this action. In Mr. Vesely's submission, this problem cannot be solved simply by giving such individuals a choice to keep their own smart meter or telling them (if the action is certified) they can opt out. Fundamentally, within the class as described, there is a group of individuals (those involved with the CSTS, for example) whose very strong desire is that the key proposed common issues (about health concerns and free choice) be answered "yes," and there is another group of individuals whose very strong desire is that those common issues be answered "no." Such a conflict is unacceptable and means the plaintiffs have failed to describe an acceptable class. On this point, Mr. Vesely cites </w:t>
      </w:r>
      <w:r>
        <w:rPr>
          <w:rFonts w:ascii="arial" w:eastAsia="arial" w:hAnsi="arial" w:cs="arial"/>
          <w:b/>
          <w:i/>
          <w:color w:val="000000"/>
          <w:sz w:val="20"/>
          <w:lang w:val="en-US" w:eastAsia="en-US" w:bidi="ar-SA"/>
        </w:rPr>
        <w:t>Asp v. Boughton Law Corporation</w:t>
      </w:r>
      <w:r>
        <w:rPr>
          <w:rFonts w:ascii="arial" w:eastAsia="arial" w:hAnsi="arial" w:cs="arial"/>
          <w:color w:val="000000"/>
          <w:sz w:val="20"/>
          <w:lang w:val="en-US" w:eastAsia="en-US" w:bidi="ar-SA"/>
        </w:rPr>
        <w:t xml:space="preserve">, </w:t>
      </w:r>
      <w:hyperlink r:id="rId973" w:history="1">
        <w:r>
          <w:rPr>
            <w:rFonts w:ascii="arial" w:eastAsia="arial" w:hAnsi="arial" w:cs="arial"/>
            <w:i/>
            <w:color w:val="0077CC"/>
            <w:sz w:val="20"/>
            <w:u w:val="single"/>
            <w:shd w:val="clear" w:color="auto" w:fill="FFFFFF"/>
            <w:lang w:val="en-US" w:eastAsia="en-US" w:bidi="ar-SA"/>
          </w:rPr>
          <w:t>2014 BCSC 1124</w:t>
        </w:r>
      </w:hyperlink>
      <w:r>
        <w:rPr>
          <w:rFonts w:ascii="arial" w:eastAsia="arial" w:hAnsi="arial" w:cs="arial"/>
          <w:color w:val="000000"/>
          <w:sz w:val="20"/>
          <w:lang w:val="en-US" w:eastAsia="en-US" w:bidi="ar-SA"/>
        </w:rPr>
        <w:t>, at paras. 49 and 51.</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115</w:t>
      </w:r>
      <w:r>
        <w:rPr>
          <w:rFonts w:ascii="arial" w:eastAsia="arial" w:hAnsi="arial" w:cs="arial"/>
          <w:color w:val="000000"/>
          <w:sz w:val="20"/>
          <w:lang w:val="en-US" w:eastAsia="en-US" w:bidi="ar-SA"/>
        </w:rPr>
        <w:t>  In Mr. Vesely's submission, the second conflict arises from the fact that, on the evidence submitted, objections to smart meters have been based on different grounds of complaint, many of which are inconsistent with the plaintiffs' claims. These other grounds of complaint include the amount of personal information collected by smart meters, the alleged risk of fire, the potential for time-of-use billing, loss of union jobs for manual meter readers, and the belief that the whole smart meter initiative is a waste of money.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116</w:t>
      </w:r>
      <w:r>
        <w:rPr>
          <w:rFonts w:ascii="arial" w:eastAsia="arial" w:hAnsi="arial" w:cs="arial"/>
          <w:color w:val="000000"/>
          <w:sz w:val="20"/>
          <w:lang w:val="en-US" w:eastAsia="en-US" w:bidi="ar-SA"/>
        </w:rPr>
        <w:t>  The final conflict, in Mr. Vesely's submission, arises from the fact that, if the plaintiffs obtained the relief sought in this action, the incremental cost of the benefits received by some members of the class would be borne by other members of the class. BC Hydro would incur incremental costs as a result of increasing the number of legacy meters and radio-off meters on the BC Hydro system. As a public utility with rates set on a cost-of-service basis, if BC Hydro was not able to recover such incremental costs from those customers who choose the alternative meter option, this would result in higher rates for BC Hydro's remaining customers. In Mr. Vesely's submission, this conflict strikes at the heart of the plaintiffs' claims. If the plaintiffs are successful in any aspect of their claims, other customers of BC Hydro will face higher rates because of the resulting incremental costs. Mr. Vesely argues that this fact puts the members of putative classes in an irreconcilable conflict of interest.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117</w:t>
      </w:r>
      <w:r>
        <w:rPr>
          <w:rFonts w:ascii="arial" w:eastAsia="arial" w:hAnsi="arial" w:cs="arial"/>
          <w:color w:val="000000"/>
          <w:sz w:val="20"/>
          <w:lang w:val="en-US" w:eastAsia="en-US" w:bidi="ar-SA"/>
        </w:rPr>
        <w:t xml:space="preserve">  I conclude that the proposed class descriptions identify two or more persons, and state objective criteria that do not depend on the outcome of the litigation. However, in my opinion, the proposed class definitions, as drafted, are unacceptable given the fluidity of BC Hydro's customer base. For example, they would include as class members individuals who are not currently BC Hydro customers (or even residents of B.C.), but who, at some point in the future, become customers. Thus, as drafted, the proposed class descriptions do not clearly identify either the individuals entitled to notice under the </w:t>
      </w:r>
      <w:r>
        <w:rPr>
          <w:rFonts w:ascii="arial" w:eastAsia="arial" w:hAnsi="arial" w:cs="arial"/>
          <w:b/>
          <w:i/>
          <w:color w:val="000000"/>
          <w:sz w:val="20"/>
          <w:lang w:val="en-US" w:eastAsia="en-US" w:bidi="ar-SA"/>
        </w:rPr>
        <w:t>CPA</w:t>
      </w:r>
      <w:r>
        <w:rPr>
          <w:rFonts w:ascii="arial" w:eastAsia="arial" w:hAnsi="arial" w:cs="arial"/>
          <w:color w:val="000000"/>
          <w:sz w:val="20"/>
          <w:lang w:val="en-US" w:eastAsia="en-US" w:bidi="ar-SA"/>
        </w:rPr>
        <w:t>, or entitled to relief if the action succeeds, or bound by any judgment (unless they opt out). However, this is a problem that, if the other requirements for certification were met, could, perhaps, be addressed by redrafting (for example, by fixing a time period).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118</w:t>
      </w:r>
      <w:r>
        <w:rPr>
          <w:rFonts w:ascii="arial" w:eastAsia="arial" w:hAnsi="arial" w:cs="arial"/>
          <w:color w:val="000000"/>
          <w:sz w:val="20"/>
          <w:lang w:val="en-US" w:eastAsia="en-US" w:bidi="ar-SA"/>
        </w:rPr>
        <w:t xml:space="preserve">  In my view, the potential for conflicts among proposed class members, such as those described by Mr. Vesely, is more appropriately considered in the context of whether the claims of the class members raise common issues - the requirement under s. 4(1)(c) of the </w:t>
      </w:r>
      <w:r>
        <w:rPr>
          <w:rFonts w:ascii="arial" w:eastAsia="arial" w:hAnsi="arial" w:cs="arial"/>
          <w:b/>
          <w:i/>
          <w:color w:val="000000"/>
          <w:sz w:val="20"/>
          <w:lang w:val="en-US" w:eastAsia="en-US" w:bidi="ar-SA"/>
        </w:rPr>
        <w:t>CPA</w:t>
      </w:r>
      <w:r>
        <w:rPr>
          <w:rFonts w:ascii="arial" w:eastAsia="arial" w:hAnsi="arial" w:cs="arial"/>
          <w:color w:val="000000"/>
          <w:sz w:val="20"/>
          <w:lang w:val="en-US" w:eastAsia="en-US" w:bidi="ar-SA"/>
        </w:rPr>
        <w:t xml:space="preserve"> - rather that in the context of the class description. See, for example, the discussion in </w:t>
      </w:r>
      <w:r>
        <w:rPr>
          <w:rFonts w:ascii="arial" w:eastAsia="arial" w:hAnsi="arial" w:cs="arial"/>
          <w:b/>
          <w:i/>
          <w:color w:val="000000"/>
          <w:sz w:val="20"/>
          <w:lang w:val="en-US" w:eastAsia="en-US" w:bidi="ar-SA"/>
        </w:rPr>
        <w:t>Watson Certification</w:t>
      </w:r>
      <w:r>
        <w:rPr>
          <w:rFonts w:ascii="arial" w:eastAsia="arial" w:hAnsi="arial" w:cs="arial"/>
          <w:color w:val="000000"/>
          <w:sz w:val="20"/>
          <w:lang w:val="en-US" w:eastAsia="en-US" w:bidi="ar-SA"/>
        </w:rPr>
        <w:t xml:space="preserve">, at paras. 65-67, citing both </w:t>
      </w:r>
      <w:r>
        <w:rPr>
          <w:rFonts w:ascii="arial" w:eastAsia="arial" w:hAnsi="arial" w:cs="arial"/>
          <w:b/>
          <w:i/>
          <w:color w:val="000000"/>
          <w:sz w:val="20"/>
          <w:lang w:val="en-US" w:eastAsia="en-US" w:bidi="ar-SA"/>
        </w:rPr>
        <w:t>Dutton</w:t>
      </w:r>
      <w:r>
        <w:rPr>
          <w:rFonts w:ascii="arial" w:eastAsia="arial" w:hAnsi="arial" w:cs="arial"/>
          <w:color w:val="000000"/>
          <w:sz w:val="20"/>
          <w:lang w:val="en-US" w:eastAsia="en-US" w:bidi="ar-SA"/>
        </w:rPr>
        <w:t xml:space="preserve"> and </w:t>
      </w:r>
      <w:r>
        <w:rPr>
          <w:rFonts w:ascii="arial" w:eastAsia="arial" w:hAnsi="arial" w:cs="arial"/>
          <w:b/>
          <w:i/>
          <w:color w:val="000000"/>
          <w:sz w:val="20"/>
          <w:lang w:val="en-US" w:eastAsia="en-US" w:bidi="ar-SA"/>
        </w:rPr>
        <w:t>Vivendi Canada Inc. v. Dell'Aniello</w:t>
      </w:r>
      <w:r>
        <w:rPr>
          <w:rFonts w:ascii="arial" w:eastAsia="arial" w:hAnsi="arial" w:cs="arial"/>
          <w:color w:val="000000"/>
          <w:sz w:val="20"/>
          <w:lang w:val="en-US" w:eastAsia="en-US" w:bidi="ar-SA"/>
        </w:rPr>
        <w:t xml:space="preserve">, </w:t>
      </w:r>
      <w:hyperlink r:id="rId974" w:history="1">
        <w:r>
          <w:rPr>
            <w:rFonts w:ascii="arial" w:eastAsia="arial" w:hAnsi="arial" w:cs="arial"/>
            <w:i/>
            <w:color w:val="0077CC"/>
            <w:sz w:val="20"/>
            <w:u w:val="single"/>
            <w:shd w:val="clear" w:color="auto" w:fill="FFFFFF"/>
            <w:lang w:val="en-US" w:eastAsia="en-US" w:bidi="ar-SA"/>
          </w:rPr>
          <w:t>2014 SCC 1</w:t>
        </w:r>
      </w:hyperlink>
      <w:r>
        <w:rPr>
          <w:rFonts w:ascii="arial" w:eastAsia="arial" w:hAnsi="arial" w:cs="arial"/>
          <w:color w:val="000000"/>
          <w:sz w:val="20"/>
          <w:lang w:val="en-US" w:eastAsia="en-US" w:bidi="ar-SA"/>
        </w:rPr>
        <w:t xml:space="preserve">, at para. 45 ("success for one member must not result in failure for another"). In </w:t>
      </w:r>
      <w:r>
        <w:rPr>
          <w:rFonts w:ascii="arial" w:eastAsia="arial" w:hAnsi="arial" w:cs="arial"/>
          <w:b/>
          <w:i/>
          <w:color w:val="000000"/>
          <w:sz w:val="20"/>
          <w:lang w:val="en-US" w:eastAsia="en-US" w:bidi="ar-SA"/>
        </w:rPr>
        <w:t>Watson Certification</w:t>
      </w:r>
      <w:r>
        <w:rPr>
          <w:rFonts w:ascii="arial" w:eastAsia="arial" w:hAnsi="arial" w:cs="arial"/>
          <w:color w:val="000000"/>
          <w:sz w:val="20"/>
          <w:lang w:val="en-US" w:eastAsia="en-US" w:bidi="ar-SA"/>
        </w:rPr>
        <w:t xml:space="preserve">, even though the defendants argued that there would be "winners" and "losers" among the class members, making the case unsuitable for certification, that argument was advanced in relation to </w:t>
      </w:r>
      <w:r>
        <w:rPr>
          <w:rFonts w:ascii="arial" w:eastAsia="arial" w:hAnsi="arial" w:cs="arial"/>
          <w:b/>
          <w:i/>
          <w:color w:val="000000"/>
          <w:sz w:val="20"/>
          <w:lang w:val="en-US" w:eastAsia="en-US" w:bidi="ar-SA"/>
        </w:rPr>
        <w:t>CPA</w:t>
      </w:r>
      <w:r>
        <w:rPr>
          <w:rFonts w:ascii="arial" w:eastAsia="arial" w:hAnsi="arial" w:cs="arial"/>
          <w:color w:val="000000"/>
          <w:sz w:val="20"/>
          <w:lang w:val="en-US" w:eastAsia="en-US" w:bidi="ar-SA"/>
        </w:rPr>
        <w:t xml:space="preserve"> s. 4(1)(c). The defendants in </w:t>
      </w:r>
      <w:r>
        <w:rPr>
          <w:rFonts w:ascii="arial" w:eastAsia="arial" w:hAnsi="arial" w:cs="arial"/>
          <w:b/>
          <w:i/>
          <w:color w:val="000000"/>
          <w:sz w:val="20"/>
          <w:lang w:val="en-US" w:eastAsia="en-US" w:bidi="ar-SA"/>
        </w:rPr>
        <w:t>Watson Certification</w:t>
      </w:r>
      <w:r>
        <w:rPr>
          <w:rFonts w:ascii="arial" w:eastAsia="arial" w:hAnsi="arial" w:cs="arial"/>
          <w:color w:val="000000"/>
          <w:sz w:val="20"/>
          <w:lang w:val="en-US" w:eastAsia="en-US" w:bidi="ar-SA"/>
        </w:rPr>
        <w:t xml:space="preserve"> did not challenge the proposed class descriptions: see para. 219.</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119</w:t>
      </w:r>
      <w:r>
        <w:rPr>
          <w:rFonts w:ascii="arial" w:eastAsia="arial" w:hAnsi="arial" w:cs="arial"/>
          <w:color w:val="000000"/>
          <w:sz w:val="20"/>
          <w:lang w:val="en-US" w:eastAsia="en-US" w:bidi="ar-SA"/>
        </w:rPr>
        <w:t>  Accordingly, I conclude that, provided the proposed class descriptions were redrafted to address the problems I have described above, the plaintiffs could meet the requirements of s. 4(1)(b).</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6. Common issues: s. 4(1)(c)</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120</w:t>
      </w:r>
      <w:r>
        <w:rPr>
          <w:rFonts w:ascii="arial" w:eastAsia="arial" w:hAnsi="arial" w:cs="arial"/>
          <w:color w:val="000000"/>
          <w:sz w:val="20"/>
          <w:lang w:val="en-US" w:eastAsia="en-US" w:bidi="ar-SA"/>
        </w:rPr>
        <w:t xml:space="preserve">  Section 4(1)(c) of the </w:t>
      </w:r>
      <w:r>
        <w:rPr>
          <w:rFonts w:ascii="arial" w:eastAsia="arial" w:hAnsi="arial" w:cs="arial"/>
          <w:b/>
          <w:i/>
          <w:color w:val="000000"/>
          <w:sz w:val="20"/>
          <w:lang w:val="en-US" w:eastAsia="en-US" w:bidi="ar-SA"/>
        </w:rPr>
        <w:t>CPA</w:t>
      </w:r>
      <w:r>
        <w:rPr>
          <w:rFonts w:ascii="arial" w:eastAsia="arial" w:hAnsi="arial" w:cs="arial"/>
          <w:color w:val="000000"/>
          <w:sz w:val="20"/>
          <w:lang w:val="en-US" w:eastAsia="en-US" w:bidi="ar-SA"/>
        </w:rPr>
        <w:t xml:space="preserve"> requires the plaintiff to provide some basis in fact for concluding that at least some of the issues raised by the claims are either "common but not necessarily identical issues of fact" or "common but not necessarily identical issues of law that arise from common but not necessarily identical issues of fact."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121</w:t>
      </w:r>
      <w:r>
        <w:rPr>
          <w:rFonts w:ascii="arial" w:eastAsia="arial" w:hAnsi="arial" w:cs="arial"/>
          <w:color w:val="000000"/>
          <w:sz w:val="20"/>
          <w:lang w:val="en-US" w:eastAsia="en-US" w:bidi="ar-SA"/>
        </w:rPr>
        <w:t xml:space="preserve">  In </w:t>
      </w:r>
      <w:r>
        <w:rPr>
          <w:rFonts w:ascii="arial" w:eastAsia="arial" w:hAnsi="arial" w:cs="arial"/>
          <w:b/>
          <w:i/>
          <w:color w:val="000000"/>
          <w:sz w:val="20"/>
          <w:lang w:val="en-US" w:eastAsia="en-US" w:bidi="ar-SA"/>
        </w:rPr>
        <w:t>Dutton</w:t>
      </w:r>
      <w:r>
        <w:rPr>
          <w:rFonts w:ascii="arial" w:eastAsia="arial" w:hAnsi="arial" w:cs="arial"/>
          <w:color w:val="000000"/>
          <w:sz w:val="20"/>
          <w:lang w:val="en-US" w:eastAsia="en-US" w:bidi="ar-SA"/>
        </w:rPr>
        <w:t xml:space="preserve">, Chief Justice McLachlin explained (at para. 39) that the underlying question when analyzing commonality is "whether allowing the suit to proceed as a [class proceeding] will avoid duplication of fact-finding or legal analysis." In </w:t>
      </w:r>
      <w:r>
        <w:rPr>
          <w:rFonts w:ascii="arial" w:eastAsia="arial" w:hAnsi="arial" w:cs="arial"/>
          <w:b/>
          <w:i/>
          <w:color w:val="000000"/>
          <w:sz w:val="20"/>
          <w:lang w:val="en-US" w:eastAsia="en-US" w:bidi="ar-SA"/>
        </w:rPr>
        <w:t>Pro-Sys</w:t>
      </w:r>
      <w:r>
        <w:rPr>
          <w:rFonts w:ascii="arial" w:eastAsia="arial" w:hAnsi="arial" w:cs="arial"/>
          <w:color w:val="000000"/>
          <w:sz w:val="20"/>
          <w:lang w:val="en-US" w:eastAsia="en-US" w:bidi="ar-SA"/>
        </w:rPr>
        <w:t xml:space="preserve">, Mr. Justice Rothstein conveniently summarized the other holdings of </w:t>
      </w:r>
      <w:r>
        <w:rPr>
          <w:rFonts w:ascii="arial" w:eastAsia="arial" w:hAnsi="arial" w:cs="arial"/>
          <w:b/>
          <w:i/>
          <w:color w:val="000000"/>
          <w:sz w:val="20"/>
          <w:lang w:val="en-US" w:eastAsia="en-US" w:bidi="ar-SA"/>
        </w:rPr>
        <w:t>Dutton</w:t>
      </w:r>
      <w:r>
        <w:rPr>
          <w:rFonts w:ascii="arial" w:eastAsia="arial" w:hAnsi="arial" w:cs="arial"/>
          <w:color w:val="000000"/>
          <w:sz w:val="20"/>
          <w:lang w:val="en-US" w:eastAsia="en-US" w:bidi="ar-SA"/>
        </w:rPr>
        <w:t xml:space="preserve"> regarding commonality as follows (see </w:t>
      </w:r>
      <w:r>
        <w:rPr>
          <w:rFonts w:ascii="arial" w:eastAsia="arial" w:hAnsi="arial" w:cs="arial"/>
          <w:b/>
          <w:i/>
          <w:color w:val="000000"/>
          <w:sz w:val="20"/>
          <w:lang w:val="en-US" w:eastAsia="en-US" w:bidi="ar-SA"/>
        </w:rPr>
        <w:t>Pro-Sys</w:t>
      </w:r>
      <w:r>
        <w:rPr>
          <w:rFonts w:ascii="arial" w:eastAsia="arial" w:hAnsi="arial" w:cs="arial"/>
          <w:color w:val="000000"/>
          <w:sz w:val="20"/>
          <w:lang w:val="en-US" w:eastAsia="en-US" w:bidi="ar-SA"/>
        </w:rPr>
        <w:t xml:space="preserve">, at para. 108, citing </w:t>
      </w:r>
      <w:r>
        <w:rPr>
          <w:rFonts w:ascii="arial" w:eastAsia="arial" w:hAnsi="arial" w:cs="arial"/>
          <w:b/>
          <w:i/>
          <w:color w:val="000000"/>
          <w:sz w:val="20"/>
          <w:lang w:val="en-US" w:eastAsia="en-US" w:bidi="ar-SA"/>
        </w:rPr>
        <w:t>Dutton</w:t>
      </w:r>
      <w:r>
        <w:rPr>
          <w:rFonts w:ascii="arial" w:eastAsia="arial" w:hAnsi="arial" w:cs="arial"/>
          <w:color w:val="000000"/>
          <w:sz w:val="20"/>
          <w:lang w:val="en-US" w:eastAsia="en-US" w:bidi="ar-SA"/>
        </w:rPr>
        <w:t>, at paras. 39-40):</w:t>
      </w:r>
      <w:r>
        <w:rPr>
          <w:rFonts w:ascii="arial" w:eastAsia="arial" w:hAnsi="arial" w:cs="arial"/>
          <w:sz w:val="20"/>
          <w:lang w:val="en-US" w:eastAsia="en-US" w:bidi="ar-SA"/>
        </w:rPr>
        <w:cr/>
      </w:r>
    </w:p>
    <w:p>
      <w:pPr>
        <w:numPr>
          <w:numId w:val="12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commonality question should be approached purposively.</w:t>
      </w:r>
    </w:p>
    <w:p>
      <w:pPr>
        <w:numPr>
          <w:numId w:val="12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An issue will be "common" only where its resolution is necessary to the resolution of each class member's claim.</w:t>
      </w:r>
    </w:p>
    <w:p>
      <w:pPr>
        <w:numPr>
          <w:numId w:val="12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It is not essential that the class members be identically situated vis-à-vis the opposing party.</w:t>
      </w:r>
    </w:p>
    <w:p>
      <w:pPr>
        <w:numPr>
          <w:numId w:val="12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It [is] not necessary that common issues predominate over non-common issues. However, the class members' claims must share a substantial common ingredient to justify a class action. The court will examine the significance of the common issues in relation to individual issues.</w:t>
      </w:r>
    </w:p>
    <w:p>
      <w:pPr>
        <w:numPr>
          <w:numId w:val="12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Success for one class member must mean success for all. All members of the class must benefit from the successful prosecution of the action, although not necessarily to the same extent.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122</w:t>
      </w:r>
      <w:r>
        <w:rPr>
          <w:rFonts w:ascii="arial" w:eastAsia="arial" w:hAnsi="arial" w:cs="arial"/>
          <w:color w:val="000000"/>
          <w:sz w:val="20"/>
          <w:lang w:val="en-US" w:eastAsia="en-US" w:bidi="ar-SA"/>
        </w:rPr>
        <w:t xml:space="preserve">  With respect to the statement that "success for one class member must mean success for all," Chief Justice Bauman noted in </w:t>
      </w:r>
      <w:r>
        <w:rPr>
          <w:rFonts w:ascii="arial" w:eastAsia="arial" w:hAnsi="arial" w:cs="arial"/>
          <w:b/>
          <w:i/>
          <w:color w:val="000000"/>
          <w:sz w:val="20"/>
          <w:lang w:val="en-US" w:eastAsia="en-US" w:bidi="ar-SA"/>
        </w:rPr>
        <w:t>Watson Certification</w:t>
      </w:r>
      <w:r>
        <w:rPr>
          <w:rFonts w:ascii="arial" w:eastAsia="arial" w:hAnsi="arial" w:cs="arial"/>
          <w:color w:val="000000"/>
          <w:sz w:val="20"/>
          <w:lang w:val="en-US" w:eastAsia="en-US" w:bidi="ar-SA"/>
        </w:rPr>
        <w:t>, at para. 67:</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[67] The Court recently clarified the final point and held that "success for one member of the class does not necessarily have to lead to success for all the members. However, success for one member must not result in failure for another" (</w:t>
      </w:r>
      <w:r>
        <w:rPr>
          <w:rFonts w:ascii="arial" w:eastAsia="arial" w:hAnsi="arial" w:cs="arial"/>
          <w:i/>
          <w:color w:val="000000"/>
          <w:sz w:val="20"/>
          <w:lang w:val="en-US" w:eastAsia="en-US" w:bidi="ar-SA"/>
        </w:rPr>
        <w:t>Vivendi Canada Inc. v. Dell'Aniello</w:t>
      </w:r>
      <w:r>
        <w:rPr>
          <w:rFonts w:ascii="arial" w:eastAsia="arial" w:hAnsi="arial" w:cs="arial"/>
          <w:color w:val="000000"/>
          <w:sz w:val="20"/>
          <w:lang w:val="en-US" w:eastAsia="en-US" w:bidi="ar-SA"/>
        </w:rPr>
        <w:t xml:space="preserve">, </w:t>
      </w:r>
      <w:hyperlink r:id="rId974" w:history="1">
        <w:r>
          <w:rPr>
            <w:rFonts w:ascii="arial" w:eastAsia="arial" w:hAnsi="arial" w:cs="arial"/>
            <w:i/>
            <w:color w:val="0077CC"/>
            <w:sz w:val="20"/>
            <w:u w:val="single"/>
            <w:shd w:val="clear" w:color="auto" w:fill="FFFFFF"/>
            <w:lang w:val="en-US" w:eastAsia="en-US" w:bidi="ar-SA"/>
          </w:rPr>
          <w:t>2014 SCC 1</w:t>
        </w:r>
      </w:hyperlink>
      <w:r>
        <w:rPr>
          <w:rFonts w:ascii="arial" w:eastAsia="arial" w:hAnsi="arial" w:cs="arial"/>
          <w:color w:val="000000"/>
          <w:sz w:val="20"/>
          <w:lang w:val="en-US" w:eastAsia="en-US" w:bidi="ar-SA"/>
        </w:rPr>
        <w:t xml:space="preserve"> at para. 45). Further, questions may be common even if the answers to those questions vary from class member to class member (</w:t>
      </w:r>
      <w:r>
        <w:rPr>
          <w:rFonts w:ascii="arial" w:eastAsia="arial" w:hAnsi="arial" w:cs="arial"/>
          <w:i/>
          <w:color w:val="000000"/>
          <w:sz w:val="20"/>
          <w:lang w:val="en-US" w:eastAsia="en-US" w:bidi="ar-SA"/>
        </w:rPr>
        <w:t>Vivendi</w:t>
      </w:r>
      <w:r>
        <w:rPr>
          <w:rFonts w:ascii="arial" w:eastAsia="arial" w:hAnsi="arial" w:cs="arial"/>
          <w:color w:val="000000"/>
          <w:sz w:val="20"/>
          <w:lang w:val="en-US" w:eastAsia="en-US" w:bidi="ar-SA"/>
        </w:rPr>
        <w:t xml:space="preserve"> at paras. 45-46). . . .</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123</w:t>
      </w:r>
      <w:r>
        <w:rPr>
          <w:rFonts w:ascii="arial" w:eastAsia="arial" w:hAnsi="arial" w:cs="arial"/>
          <w:color w:val="000000"/>
          <w:sz w:val="20"/>
          <w:lang w:val="en-US" w:eastAsia="en-US" w:bidi="ar-SA"/>
        </w:rPr>
        <w:t xml:space="preserve">  See also the discussion in </w:t>
      </w:r>
      <w:r>
        <w:rPr>
          <w:rFonts w:ascii="arial" w:eastAsia="arial" w:hAnsi="arial" w:cs="arial"/>
          <w:b/>
          <w:i/>
          <w:color w:val="000000"/>
          <w:sz w:val="20"/>
          <w:lang w:val="en-US" w:eastAsia="en-US" w:bidi="ar-SA"/>
        </w:rPr>
        <w:t>Watson Appeal</w:t>
      </w:r>
      <w:r>
        <w:rPr>
          <w:rFonts w:ascii="arial" w:eastAsia="arial" w:hAnsi="arial" w:cs="arial"/>
          <w:color w:val="000000"/>
          <w:sz w:val="20"/>
          <w:lang w:val="en-US" w:eastAsia="en-US" w:bidi="ar-SA"/>
        </w:rPr>
        <w:t>, at paras. 145 and following. Madam Justice Saunders observed, at para. 152:</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 . [C]ommonality requires that the members of the class all have the same qualitative stake in the answer to the question, although the degree of importance to each member need not be the same. In other words, they cannot pull in opposite directions on the issue.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124</w:t>
      </w:r>
      <w:r>
        <w:rPr>
          <w:rFonts w:ascii="arial" w:eastAsia="arial" w:hAnsi="arial" w:cs="arial"/>
          <w:color w:val="000000"/>
          <w:sz w:val="20"/>
          <w:lang w:val="en-US" w:eastAsia="en-US" w:bidi="ar-SA"/>
        </w:rPr>
        <w:t xml:space="preserve">  In </w:t>
      </w:r>
      <w:r>
        <w:rPr>
          <w:rFonts w:ascii="arial" w:eastAsia="arial" w:hAnsi="arial" w:cs="arial"/>
          <w:b/>
          <w:i/>
          <w:color w:val="000000"/>
          <w:sz w:val="20"/>
          <w:lang w:val="en-US" w:eastAsia="en-US" w:bidi="ar-SA"/>
        </w:rPr>
        <w:t>Rumley v. British Columbia</w:t>
      </w:r>
      <w:r>
        <w:rPr>
          <w:rFonts w:ascii="arial" w:eastAsia="arial" w:hAnsi="arial" w:cs="arial"/>
          <w:color w:val="000000"/>
          <w:sz w:val="20"/>
          <w:lang w:val="en-US" w:eastAsia="en-US" w:bidi="ar-SA"/>
        </w:rPr>
        <w:t xml:space="preserve">, </w:t>
      </w:r>
      <w:hyperlink r:id="rId975" w:history="1">
        <w:r>
          <w:rPr>
            <w:rFonts w:ascii="arial" w:eastAsia="arial" w:hAnsi="arial" w:cs="arial"/>
            <w:i/>
            <w:color w:val="0077CC"/>
            <w:sz w:val="20"/>
            <w:u w:val="single"/>
            <w:shd w:val="clear" w:color="auto" w:fill="FFFFFF"/>
            <w:lang w:val="en-US" w:eastAsia="en-US" w:bidi="ar-SA"/>
          </w:rPr>
          <w:t>2001 SCC 69</w:t>
        </w:r>
      </w:hyperlink>
      <w:r>
        <w:rPr>
          <w:rFonts w:ascii="arial" w:eastAsia="arial" w:hAnsi="arial" w:cs="arial"/>
          <w:color w:val="000000"/>
          <w:sz w:val="20"/>
          <w:lang w:val="en-US" w:eastAsia="en-US" w:bidi="ar-SA"/>
        </w:rPr>
        <w:t>, at para. 29, Chief Justice McLachlin acknowledged the potential danger of framing a common issue too broadly:</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[29] There is clearly something to the appellant's argument that a court should avoid framing commonality between class members in overly broad terms. . . . It would not serve the ends of either fairness or efficiency to certify an action on the basis of issues that are common only when stated in the most general terms. Inevitably such an action would ultimately break down into individual proceedings. That the suit had initially been certified as a class action could only make the proceeding less fair and less efficient.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125</w:t>
      </w:r>
      <w:r>
        <w:rPr>
          <w:rFonts w:ascii="arial" w:eastAsia="arial" w:hAnsi="arial" w:cs="arial"/>
          <w:color w:val="000000"/>
          <w:sz w:val="20"/>
          <w:lang w:val="en-US" w:eastAsia="en-US" w:bidi="ar-SA"/>
        </w:rPr>
        <w:t xml:space="preserve">  Common issues need not predominate over individual issues or be determinative of each claimant's claim. For common issues to be certifiable, they need only be issues of fact or law that move the litigation forward. See </w:t>
      </w:r>
      <w:r>
        <w:rPr>
          <w:rFonts w:ascii="arial" w:eastAsia="arial" w:hAnsi="arial" w:cs="arial"/>
          <w:b/>
          <w:i/>
          <w:color w:val="000000"/>
          <w:sz w:val="20"/>
          <w:lang w:val="en-US" w:eastAsia="en-US" w:bidi="ar-SA"/>
        </w:rPr>
        <w:t>Fairhurst v. Anglo American PLC</w:t>
      </w:r>
      <w:r>
        <w:rPr>
          <w:rFonts w:ascii="arial" w:eastAsia="arial" w:hAnsi="arial" w:cs="arial"/>
          <w:color w:val="000000"/>
          <w:sz w:val="20"/>
          <w:lang w:val="en-US" w:eastAsia="en-US" w:bidi="ar-SA"/>
        </w:rPr>
        <w:t xml:space="preserve">, </w:t>
      </w:r>
      <w:hyperlink r:id="rId976" w:history="1">
        <w:r>
          <w:rPr>
            <w:rFonts w:ascii="arial" w:eastAsia="arial" w:hAnsi="arial" w:cs="arial"/>
            <w:i/>
            <w:color w:val="0077CC"/>
            <w:sz w:val="20"/>
            <w:u w:val="single"/>
            <w:shd w:val="clear" w:color="auto" w:fill="FFFFFF"/>
            <w:lang w:val="en-US" w:eastAsia="en-US" w:bidi="ar-SA"/>
          </w:rPr>
          <w:t>2014 BCSC 2270</w:t>
        </w:r>
      </w:hyperlink>
      <w:r>
        <w:rPr>
          <w:rFonts w:ascii="arial" w:eastAsia="arial" w:hAnsi="arial" w:cs="arial"/>
          <w:color w:val="000000"/>
          <w:sz w:val="20"/>
          <w:lang w:val="en-US" w:eastAsia="en-US" w:bidi="ar-SA"/>
        </w:rPr>
        <w:t>, at para. 48.</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126</w:t>
      </w:r>
      <w:r>
        <w:rPr>
          <w:rFonts w:ascii="arial" w:eastAsia="arial" w:hAnsi="arial" w:cs="arial"/>
          <w:color w:val="000000"/>
          <w:sz w:val="20"/>
          <w:lang w:val="en-US" w:eastAsia="en-US" w:bidi="ar-SA"/>
        </w:rPr>
        <w:t>  The proposed common issues (as modified at the hearing) are as follows: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A. Issues of fact common to all classes</w:t>
      </w:r>
    </w:p>
    <w:p>
      <w:pPr>
        <w:numPr>
          <w:numId w:val="12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Do the Emissions [defined in para. 87 of the Proposed NCC as "microwave radiation at a frequency range of 902 Megahertz (MHz) to 928 MHz"] cause biological effects in individuals who are exposed to them?</w:t>
      </w:r>
    </w:p>
    <w:p>
      <w:pPr>
        <w:numPr>
          <w:numId w:val="12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Is there a real issue of potential harm to the human body arising from exposure to the Emissions?</w:t>
      </w:r>
    </w:p>
    <w:p>
      <w:pPr>
        <w:numPr>
          <w:numId w:val="12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Does the safety of the Emissions remain a matter of reasonable concern?</w:t>
      </w:r>
    </w:p>
    <w:p>
      <w:pPr>
        <w:numPr>
          <w:numId w:val="12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Is the choice to be free from the operation of an RF-Emitting Meter at one's Dwelling a fundamental personal choice?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4.5 Does there exists a reasonable basis for concern about health risk so as to give rise to a right of autonomy and free choice as to whether an RF-Emitting Meter is operational from one's own Dwelling?</w:t>
      </w:r>
    </w:p>
    <w:p>
      <w:pPr>
        <w:spacing w:before="120"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B. Issues of law common to Class A: Ineligible residential customers represented by Davis/O'Connor</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5(a). Is s. 7 of the Charter unjustifiably infringed by BC Hydro's operation of an RF-Emitting Device at the home of a Customer in the absence of having provided that Customer with the choice to be free from the operation of an RF-Emitting Meter at his/her home?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5(b). Is s. 7 of the Charter unjustifiably infringed by the law that authorizes BC Hydro's conduct in that regard?</w:t>
      </w:r>
    </w:p>
    <w:p>
      <w:pPr>
        <w:spacing w:before="120"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C. Issues of law common to Class B: Ineligible general service customers represented by Klein</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6(a). Is s. 7 of the </w:t>
      </w:r>
      <w:r>
        <w:rPr>
          <w:rFonts w:ascii="arial" w:eastAsia="arial" w:hAnsi="arial" w:cs="arial"/>
          <w:i/>
          <w:color w:val="000000"/>
          <w:sz w:val="20"/>
          <w:lang w:val="en-US" w:eastAsia="en-US" w:bidi="ar-SA"/>
        </w:rPr>
        <w:t>Charter</w:t>
      </w:r>
      <w:r>
        <w:rPr>
          <w:rFonts w:ascii="arial" w:eastAsia="arial" w:hAnsi="arial" w:cs="arial"/>
          <w:color w:val="000000"/>
          <w:sz w:val="20"/>
          <w:lang w:val="en-US" w:eastAsia="en-US" w:bidi="ar-SA"/>
        </w:rPr>
        <w:t xml:space="preserve"> unjustifiably infringed by BC Hydro's operation of an RF-Emitting Device at the premises of a "general service" Customer in the absence of having provided that Customer with the choice to be free from the operation of an RF-Emitting Meter at his/her home?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6(b). Is s. 7 of the </w:t>
      </w:r>
      <w:r>
        <w:rPr>
          <w:rFonts w:ascii="arial" w:eastAsia="arial" w:hAnsi="arial" w:cs="arial"/>
          <w:i/>
          <w:color w:val="000000"/>
          <w:sz w:val="20"/>
          <w:lang w:val="en-US" w:eastAsia="en-US" w:bidi="ar-SA"/>
        </w:rPr>
        <w:t>Charter</w:t>
      </w:r>
      <w:r>
        <w:rPr>
          <w:rFonts w:ascii="arial" w:eastAsia="arial" w:hAnsi="arial" w:cs="arial"/>
          <w:color w:val="000000"/>
          <w:sz w:val="20"/>
          <w:lang w:val="en-US" w:eastAsia="en-US" w:bidi="ar-SA"/>
        </w:rPr>
        <w:t xml:space="preserve"> unjustifiably infringed by the law that authorizes BC Hydro's conduct in that regard?</w:t>
      </w:r>
    </w:p>
    <w:p>
      <w:pPr>
        <w:spacing w:before="120"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D. Issues of law common to Class C: Eligible customers represented by Schnurr/Noble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7(a). Is s. 7 of the </w:t>
      </w:r>
      <w:r>
        <w:rPr>
          <w:rFonts w:ascii="arial" w:eastAsia="arial" w:hAnsi="arial" w:cs="arial"/>
          <w:i/>
          <w:color w:val="000000"/>
          <w:sz w:val="20"/>
          <w:lang w:val="en-US" w:eastAsia="en-US" w:bidi="ar-SA"/>
        </w:rPr>
        <w:t>Charter</w:t>
      </w:r>
      <w:r>
        <w:rPr>
          <w:rFonts w:ascii="arial" w:eastAsia="arial" w:hAnsi="arial" w:cs="arial"/>
          <w:color w:val="000000"/>
          <w:sz w:val="20"/>
          <w:lang w:val="en-US" w:eastAsia="en-US" w:bidi="ar-SA"/>
        </w:rPr>
        <w:t xml:space="preserve"> unjustifiably infringed by BC Hydro exacting payment from a Customer of an Opt-Out Fee?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7(b). Is s. 7 of the </w:t>
      </w:r>
      <w:r>
        <w:rPr>
          <w:rFonts w:ascii="arial" w:eastAsia="arial" w:hAnsi="arial" w:cs="arial"/>
          <w:i/>
          <w:color w:val="000000"/>
          <w:sz w:val="20"/>
          <w:lang w:val="en-US" w:eastAsia="en-US" w:bidi="ar-SA"/>
        </w:rPr>
        <w:t>Charter</w:t>
      </w:r>
      <w:r>
        <w:rPr>
          <w:rFonts w:ascii="arial" w:eastAsia="arial" w:hAnsi="arial" w:cs="arial"/>
          <w:color w:val="000000"/>
          <w:sz w:val="20"/>
          <w:lang w:val="en-US" w:eastAsia="en-US" w:bidi="ar-SA"/>
        </w:rPr>
        <w:t xml:space="preserve"> unjustifiably infringed by the law that authorizes BC Hydro's conduct in that regard?</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7(c). Should the Court order damages in the amount of any Opt-out Fee collected by BC Hydro?</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8(a). Where a Customer has agreed (or been deemed to agree) to accept an RF-Emitting Meter or pay an Opt-Out Fee under the Meter Choices Program, is that agreement valid?</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8(b). Is s. 7 of the </w:t>
      </w:r>
      <w:r>
        <w:rPr>
          <w:rFonts w:ascii="arial" w:eastAsia="arial" w:hAnsi="arial" w:cs="arial"/>
          <w:i/>
          <w:color w:val="000000"/>
          <w:sz w:val="20"/>
          <w:lang w:val="en-US" w:eastAsia="en-US" w:bidi="ar-SA"/>
        </w:rPr>
        <w:t>Charter</w:t>
      </w:r>
      <w:r>
        <w:rPr>
          <w:rFonts w:ascii="arial" w:eastAsia="arial" w:hAnsi="arial" w:cs="arial"/>
          <w:color w:val="000000"/>
          <w:sz w:val="20"/>
          <w:lang w:val="en-US" w:eastAsia="en-US" w:bidi="ar-SA"/>
        </w:rPr>
        <w:t xml:space="preserve"> unjustifiably infringed by the law that holds a Customer to any such agreement?</w:t>
      </w:r>
    </w:p>
    <w:p>
      <w:pPr>
        <w:spacing w:before="120"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E. Issues of law common to two or more classes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9(a). Is s. 7 of the </w:t>
      </w:r>
      <w:r>
        <w:rPr>
          <w:rFonts w:ascii="arial" w:eastAsia="arial" w:hAnsi="arial" w:cs="arial"/>
          <w:i/>
          <w:color w:val="000000"/>
          <w:sz w:val="20"/>
          <w:lang w:val="en-US" w:eastAsia="en-US" w:bidi="ar-SA"/>
        </w:rPr>
        <w:t>Charter</w:t>
      </w:r>
      <w:r>
        <w:rPr>
          <w:rFonts w:ascii="arial" w:eastAsia="arial" w:hAnsi="arial" w:cs="arial"/>
          <w:color w:val="000000"/>
          <w:sz w:val="20"/>
          <w:lang w:val="en-US" w:eastAsia="en-US" w:bidi="ar-SA"/>
        </w:rPr>
        <w:t xml:space="preserve"> unjustifiably infringed by BC Hydro threatening or effecting a Service Refusal?</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9(b). Is s. 7 of the </w:t>
      </w:r>
      <w:r>
        <w:rPr>
          <w:rFonts w:ascii="arial" w:eastAsia="arial" w:hAnsi="arial" w:cs="arial"/>
          <w:i/>
          <w:color w:val="000000"/>
          <w:sz w:val="20"/>
          <w:lang w:val="en-US" w:eastAsia="en-US" w:bidi="ar-SA"/>
        </w:rPr>
        <w:t>Charter</w:t>
      </w:r>
      <w:r>
        <w:rPr>
          <w:rFonts w:ascii="arial" w:eastAsia="arial" w:hAnsi="arial" w:cs="arial"/>
          <w:color w:val="000000"/>
          <w:sz w:val="20"/>
          <w:lang w:val="en-US" w:eastAsia="en-US" w:bidi="ar-SA"/>
        </w:rPr>
        <w:t xml:space="preserve"> unjustifiably infringed by the law that authorizes BC Hydro's conduct in that regard?</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10(a). Is s. 7 the </w:t>
      </w:r>
      <w:r>
        <w:rPr>
          <w:rFonts w:ascii="arial" w:eastAsia="arial" w:hAnsi="arial" w:cs="arial"/>
          <w:i/>
          <w:color w:val="000000"/>
          <w:sz w:val="20"/>
          <w:lang w:val="en-US" w:eastAsia="en-US" w:bidi="ar-SA"/>
        </w:rPr>
        <w:t>Charter</w:t>
      </w:r>
      <w:r>
        <w:rPr>
          <w:rFonts w:ascii="arial" w:eastAsia="arial" w:hAnsi="arial" w:cs="arial"/>
          <w:color w:val="000000"/>
          <w:sz w:val="20"/>
          <w:lang w:val="en-US" w:eastAsia="en-US" w:bidi="ar-SA"/>
        </w:rPr>
        <w:t xml:space="preserve"> unjustifiably infringed by BC Hydro exacting payment from a Customer of a Failed Installation Fee?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10(b). Is s. 7 of the </w:t>
      </w:r>
      <w:r>
        <w:rPr>
          <w:rFonts w:ascii="arial" w:eastAsia="arial" w:hAnsi="arial" w:cs="arial"/>
          <w:i/>
          <w:color w:val="000000"/>
          <w:sz w:val="20"/>
          <w:lang w:val="en-US" w:eastAsia="en-US" w:bidi="ar-SA"/>
        </w:rPr>
        <w:t>Charter</w:t>
      </w:r>
      <w:r>
        <w:rPr>
          <w:rFonts w:ascii="arial" w:eastAsia="arial" w:hAnsi="arial" w:cs="arial"/>
          <w:color w:val="000000"/>
          <w:sz w:val="20"/>
          <w:lang w:val="en-US" w:eastAsia="en-US" w:bidi="ar-SA"/>
        </w:rPr>
        <w:t xml:space="preserve"> unjustifiably infringed by the law that authorizes BC Hydro's conduct in that regard?</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10(c). Should the Court order damages in the amount of any Failed Installation Fee collected by BC Hydro?</w:t>
      </w:r>
    </w:p>
    <w:p>
      <w:pPr>
        <w:numPr>
          <w:numId w:val="12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Should any declaration of a </w:t>
      </w:r>
      <w:r>
        <w:rPr>
          <w:rFonts w:ascii="arial" w:eastAsia="arial" w:hAnsi="arial" w:cs="arial"/>
          <w:i/>
          <w:color w:val="000000"/>
          <w:sz w:val="20"/>
          <w:lang w:val="en-US" w:eastAsia="en-US" w:bidi="ar-SA"/>
        </w:rPr>
        <w:t>Charter</w:t>
      </w:r>
      <w:r>
        <w:rPr>
          <w:rFonts w:ascii="arial" w:eastAsia="arial" w:hAnsi="arial" w:cs="arial"/>
          <w:color w:val="000000"/>
          <w:sz w:val="20"/>
          <w:lang w:val="en-US" w:eastAsia="en-US" w:bidi="ar-SA"/>
        </w:rPr>
        <w:t xml:space="preserve"> infringement be given retroactive effect?</w:t>
      </w:r>
    </w:p>
    <w:p>
      <w:pPr>
        <w:numPr>
          <w:numId w:val="13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Should the Court issue, pursuant to section 24(1) of the </w:t>
      </w:r>
      <w:r>
        <w:rPr>
          <w:rFonts w:ascii="arial" w:eastAsia="arial" w:hAnsi="arial" w:cs="arial"/>
          <w:i/>
          <w:color w:val="000000"/>
          <w:sz w:val="20"/>
          <w:lang w:val="en-US" w:eastAsia="en-US" w:bidi="ar-SA"/>
        </w:rPr>
        <w:t>Charter</w:t>
      </w:r>
      <w:r>
        <w:rPr>
          <w:rFonts w:ascii="arial" w:eastAsia="arial" w:hAnsi="arial" w:cs="arial"/>
          <w:color w:val="000000"/>
          <w:sz w:val="20"/>
          <w:lang w:val="en-US" w:eastAsia="en-US" w:bidi="ar-SA"/>
        </w:rPr>
        <w:t xml:space="preserve">, an order for damages in the aggregate for breach of </w:t>
      </w:r>
      <w:r>
        <w:rPr>
          <w:rFonts w:ascii="arial" w:eastAsia="arial" w:hAnsi="arial" w:cs="arial"/>
          <w:i/>
          <w:color w:val="000000"/>
          <w:sz w:val="20"/>
          <w:lang w:val="en-US" w:eastAsia="en-US" w:bidi="ar-SA"/>
        </w:rPr>
        <w:t>Charter</w:t>
      </w:r>
      <w:r>
        <w:rPr>
          <w:rFonts w:ascii="arial" w:eastAsia="arial" w:hAnsi="arial" w:cs="arial"/>
          <w:color w:val="000000"/>
          <w:sz w:val="20"/>
          <w:lang w:val="en-US" w:eastAsia="en-US" w:bidi="ar-SA"/>
        </w:rPr>
        <w:t xml:space="preserve"> rights?</w:t>
      </w:r>
    </w:p>
    <w:p>
      <w:pPr>
        <w:numPr>
          <w:numId w:val="13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Should the Court order special costs against BC Hydro, pursuant to section 37(2)(c) of the </w:t>
      </w:r>
      <w:r>
        <w:rPr>
          <w:rFonts w:ascii="arial" w:eastAsia="arial" w:hAnsi="arial" w:cs="arial"/>
          <w:i/>
          <w:color w:val="000000"/>
          <w:sz w:val="20"/>
          <w:lang w:val="en-US" w:eastAsia="en-US" w:bidi="ar-SA"/>
        </w:rPr>
        <w:t>Class Proceedings Act</w:t>
      </w:r>
      <w:r>
        <w:rPr>
          <w:rFonts w:ascii="arial" w:eastAsia="arial" w:hAnsi="arial" w:cs="arial"/>
          <w:color w:val="000000"/>
          <w:sz w:val="20"/>
          <w:lang w:val="en-US" w:eastAsia="en-US" w:bidi="ar-SA"/>
        </w:rPr>
        <w:t>, [RSBC 1996]?</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127</w:t>
      </w:r>
      <w:r>
        <w:rPr>
          <w:rFonts w:ascii="arial" w:eastAsia="arial" w:hAnsi="arial" w:cs="arial"/>
          <w:color w:val="000000"/>
          <w:sz w:val="20"/>
          <w:lang w:val="en-US" w:eastAsia="en-US" w:bidi="ar-SA"/>
        </w:rPr>
        <w:t>  In the plaintiffs' written submissions, Mr. Aaron described proposed issue 4.5 (which has its origins in para. 193 of the Proposed NCC) as a "broader issue" in respect of which proposed issues 1-4 could be seen as sub-issues. Mr. Aaron described proposed issue 4.5 as the "central issue," which, in his submission, is common to every class member's claim, regardless of circumstances.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128</w:t>
      </w:r>
      <w:r>
        <w:rPr>
          <w:rFonts w:ascii="arial" w:eastAsia="arial" w:hAnsi="arial" w:cs="arial"/>
          <w:color w:val="000000"/>
          <w:sz w:val="20"/>
          <w:lang w:val="en-US" w:eastAsia="en-US" w:bidi="ar-SA"/>
        </w:rPr>
        <w:t>  I will focus on proposed common issues 1 to 4.5. These are the common issues of fact on which the remaining "common issues of law" depend.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129</w:t>
      </w:r>
      <w:r>
        <w:rPr>
          <w:rFonts w:ascii="arial" w:eastAsia="arial" w:hAnsi="arial" w:cs="arial"/>
          <w:color w:val="000000"/>
          <w:sz w:val="20"/>
          <w:lang w:val="en-US" w:eastAsia="en-US" w:bidi="ar-SA"/>
        </w:rPr>
        <w:t xml:space="preserve">  In my opinion, the drafting of some of these issues is problematic. For example, what does "exposed" mean in proposed common issue 1? Is an individual in a condo tower where the meter centre is on a different floor "exposed" for purposes of this issue? Proposed common issue 1 is related to the allegations in para. 91 of the Proposed NCC, which refer to a Dwelling, although the focus of the plaintiffs' s. 7 claim is personal choice in one's </w:t>
      </w:r>
      <w:r>
        <w:rPr>
          <w:rFonts w:ascii="arial" w:eastAsia="arial" w:hAnsi="arial" w:cs="arial"/>
          <w:color w:val="000000"/>
          <w:sz w:val="20"/>
          <w:u w:val="single"/>
          <w:lang w:val="en-US" w:eastAsia="en-US" w:bidi="ar-SA"/>
        </w:rPr>
        <w:t>home</w:t>
      </w:r>
      <w:r>
        <w:rPr>
          <w:rFonts w:ascii="arial" w:eastAsia="arial" w:hAnsi="arial" w:cs="arial"/>
          <w:color w:val="000000"/>
          <w:sz w:val="20"/>
          <w:lang w:val="en-US" w:eastAsia="en-US" w:bidi="ar-SA"/>
        </w:rPr>
        <w:t xml:space="preserve">. However, the proposed common issue (as drafted) has no limits. Proposed common issue 2 asks about a "real issue," but it is unclear what "real" is intended to mean. Is the intention to distinguish "real" from "theoretical"? Or do the plaintiffs mean "real" in the sense of significant or substantial? Proposed common issue 3 asks whether safety of Emissions "remain" a matter of "reasonable concern." Such drafting assumes that the issue of safety has </w:t>
      </w:r>
      <w:r>
        <w:rPr>
          <w:rFonts w:ascii="arial" w:eastAsia="arial" w:hAnsi="arial" w:cs="arial"/>
          <w:color w:val="000000"/>
          <w:sz w:val="20"/>
          <w:u w:val="single"/>
          <w:lang w:val="en-US" w:eastAsia="en-US" w:bidi="ar-SA"/>
        </w:rPr>
        <w:t>already</w:t>
      </w:r>
      <w:r>
        <w:rPr>
          <w:rFonts w:ascii="arial" w:eastAsia="arial" w:hAnsi="arial" w:cs="arial"/>
          <w:color w:val="000000"/>
          <w:sz w:val="20"/>
          <w:lang w:val="en-US" w:eastAsia="en-US" w:bidi="ar-SA"/>
        </w:rPr>
        <w:t xml:space="preserve"> been proved to be a matter of "reasonable concern." However, not only is this issue not proposed as a common issue, it is not even alleged as a fact in the Proposed Amended NCC. "Reasonable" is also problematic. On what basis is "reasonable" going to be assessed? Will a subjective standard be applied, or an objective standard, or some combination?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130</w:t>
      </w:r>
      <w:r>
        <w:rPr>
          <w:rFonts w:ascii="arial" w:eastAsia="arial" w:hAnsi="arial" w:cs="arial"/>
          <w:color w:val="000000"/>
          <w:sz w:val="20"/>
          <w:lang w:val="en-US" w:eastAsia="en-US" w:bidi="ar-SA"/>
        </w:rPr>
        <w:t xml:space="preserve">  I also note that there is no proposed common issue about whether the </w:t>
      </w:r>
      <w:r>
        <w:rPr>
          <w:rFonts w:ascii="arial" w:eastAsia="arial" w:hAnsi="arial" w:cs="arial"/>
          <w:b/>
          <w:i/>
          <w:color w:val="000000"/>
          <w:sz w:val="20"/>
          <w:lang w:val="en-US" w:eastAsia="en-US" w:bidi="ar-SA"/>
        </w:rPr>
        <w:t>Charter</w:t>
      </w:r>
      <w:r>
        <w:rPr>
          <w:rFonts w:ascii="arial" w:eastAsia="arial" w:hAnsi="arial" w:cs="arial"/>
          <w:color w:val="000000"/>
          <w:sz w:val="20"/>
          <w:lang w:val="en-US" w:eastAsia="en-US" w:bidi="ar-SA"/>
        </w:rPr>
        <w:t xml:space="preserve"> applies to BC Hydro. The plaintiffs cannot assume that this has been admitted (which it has not been) or determined in their favour. If the </w:t>
      </w:r>
      <w:r>
        <w:rPr>
          <w:rFonts w:ascii="arial" w:eastAsia="arial" w:hAnsi="arial" w:cs="arial"/>
          <w:b/>
          <w:i/>
          <w:color w:val="000000"/>
          <w:sz w:val="20"/>
          <w:lang w:val="en-US" w:eastAsia="en-US" w:bidi="ar-SA"/>
        </w:rPr>
        <w:t>Charter</w:t>
      </w:r>
      <w:r>
        <w:rPr>
          <w:rFonts w:ascii="arial" w:eastAsia="arial" w:hAnsi="arial" w:cs="arial"/>
          <w:color w:val="000000"/>
          <w:sz w:val="20"/>
          <w:lang w:val="en-US" w:eastAsia="en-US" w:bidi="ar-SA"/>
        </w:rPr>
        <w:t xml:space="preserve"> does not apply to BC Hydro, the plaintiffs have no case, regardless of anything else.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131</w:t>
      </w:r>
      <w:r>
        <w:rPr>
          <w:rFonts w:ascii="arial" w:eastAsia="arial" w:hAnsi="arial" w:cs="arial"/>
          <w:color w:val="000000"/>
          <w:sz w:val="20"/>
          <w:lang w:val="en-US" w:eastAsia="en-US" w:bidi="ar-SA"/>
        </w:rPr>
        <w:t>  Perhaps the drafting problems I have mentioned could be addressed in a satisfactory way, although the common issues had already been revised and nothing further was proposed at the hearing.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132</w:t>
      </w:r>
      <w:r>
        <w:rPr>
          <w:rFonts w:ascii="arial" w:eastAsia="arial" w:hAnsi="arial" w:cs="arial"/>
          <w:color w:val="000000"/>
          <w:sz w:val="20"/>
          <w:lang w:val="en-US" w:eastAsia="en-US" w:bidi="ar-SA"/>
        </w:rPr>
        <w:t>  However, there is a much more fundamental problem for the plaintiffs. In my opinion, they have failed to meet their evidentiary burden with respect to their proposed common issues, particularly their common issues of fact. There is no admissible evidence that these issues could be resolved on a class-wide basis.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133</w:t>
      </w:r>
      <w:r>
        <w:rPr>
          <w:rFonts w:ascii="arial" w:eastAsia="arial" w:hAnsi="arial" w:cs="arial"/>
          <w:color w:val="000000"/>
          <w:sz w:val="20"/>
          <w:lang w:val="en-US" w:eastAsia="en-US" w:bidi="ar-SA"/>
        </w:rPr>
        <w:t xml:space="preserve">  In two recent cases, </w:t>
      </w:r>
      <w:r>
        <w:rPr>
          <w:rFonts w:ascii="arial" w:eastAsia="arial" w:hAnsi="arial" w:cs="arial"/>
          <w:b/>
          <w:i/>
          <w:color w:val="000000"/>
          <w:sz w:val="20"/>
          <w:lang w:val="en-US" w:eastAsia="en-US" w:bidi="ar-SA"/>
        </w:rPr>
        <w:t>Charlton v. Abbott Laboratories, Ltd.</w:t>
      </w:r>
      <w:r>
        <w:rPr>
          <w:rFonts w:ascii="arial" w:eastAsia="arial" w:hAnsi="arial" w:cs="arial"/>
          <w:color w:val="000000"/>
          <w:sz w:val="20"/>
          <w:lang w:val="en-US" w:eastAsia="en-US" w:bidi="ar-SA"/>
        </w:rPr>
        <w:t xml:space="preserve">, </w:t>
      </w:r>
      <w:hyperlink r:id="rId977" w:history="1">
        <w:r>
          <w:rPr>
            <w:rFonts w:ascii="arial" w:eastAsia="arial" w:hAnsi="arial" w:cs="arial"/>
            <w:i/>
            <w:color w:val="0077CC"/>
            <w:sz w:val="20"/>
            <w:u w:val="single"/>
            <w:shd w:val="clear" w:color="auto" w:fill="FFFFFF"/>
            <w:lang w:val="en-US" w:eastAsia="en-US" w:bidi="ar-SA"/>
          </w:rPr>
          <w:t>2015 BCCA 26</w:t>
        </w:r>
      </w:hyperlink>
      <w:r>
        <w:rPr>
          <w:rFonts w:ascii="arial" w:eastAsia="arial" w:hAnsi="arial" w:cs="arial"/>
          <w:color w:val="000000"/>
          <w:sz w:val="20"/>
          <w:lang w:val="en-US" w:eastAsia="en-US" w:bidi="ar-SA"/>
        </w:rPr>
        <w:t xml:space="preserve"> and </w:t>
      </w:r>
      <w:r>
        <w:rPr>
          <w:rFonts w:ascii="arial" w:eastAsia="arial" w:hAnsi="arial" w:cs="arial"/>
          <w:b/>
          <w:i/>
          <w:color w:val="000000"/>
          <w:sz w:val="20"/>
          <w:lang w:val="en-US" w:eastAsia="en-US" w:bidi="ar-SA"/>
        </w:rPr>
        <w:t>Miller v. Merck Frosst Canada Ltd.</w:t>
      </w:r>
      <w:r>
        <w:rPr>
          <w:rFonts w:ascii="arial" w:eastAsia="arial" w:hAnsi="arial" w:cs="arial"/>
          <w:color w:val="000000"/>
          <w:sz w:val="20"/>
          <w:lang w:val="en-US" w:eastAsia="en-US" w:bidi="ar-SA"/>
        </w:rPr>
        <w:t xml:space="preserve">, </w:t>
      </w:r>
      <w:hyperlink r:id="rId978" w:history="1">
        <w:r>
          <w:rPr>
            <w:rFonts w:ascii="arial" w:eastAsia="arial" w:hAnsi="arial" w:cs="arial"/>
            <w:i/>
            <w:color w:val="0077CC"/>
            <w:sz w:val="20"/>
            <w:u w:val="single"/>
            <w:shd w:val="clear" w:color="auto" w:fill="FFFFFF"/>
            <w:lang w:val="en-US" w:eastAsia="en-US" w:bidi="ar-SA"/>
          </w:rPr>
          <w:t>2015 BCCA 353</w:t>
        </w:r>
      </w:hyperlink>
      <w:r>
        <w:rPr>
          <w:rFonts w:ascii="arial" w:eastAsia="arial" w:hAnsi="arial" w:cs="arial"/>
          <w:color w:val="000000"/>
          <w:sz w:val="20"/>
          <w:lang w:val="en-US" w:eastAsia="en-US" w:bidi="ar-SA"/>
        </w:rPr>
        <w:t xml:space="preserve">, the Court of Appeal has provided helpful guidance on the question of what showing "some basis in fact" means in relation to proposed common issues, especially proposed common issues about general causation. (Problems with proof of </w:t>
      </w:r>
      <w:r>
        <w:rPr>
          <w:rFonts w:ascii="arial" w:eastAsia="arial" w:hAnsi="arial" w:cs="arial"/>
          <w:color w:val="000000"/>
          <w:sz w:val="20"/>
          <w:u w:val="single"/>
          <w:lang w:val="en-US" w:eastAsia="en-US" w:bidi="ar-SA"/>
        </w:rPr>
        <w:t>specific</w:t>
      </w:r>
      <w:r>
        <w:rPr>
          <w:rFonts w:ascii="arial" w:eastAsia="arial" w:hAnsi="arial" w:cs="arial"/>
          <w:color w:val="000000"/>
          <w:sz w:val="20"/>
          <w:lang w:val="en-US" w:eastAsia="en-US" w:bidi="ar-SA"/>
        </w:rPr>
        <w:t xml:space="preserve"> causation are often raised at the preferable procedure stage of the analysis, as part of the argument that proving general causation will accomplish little or nothing.) As drafted, proposed common issues 1 and 2 clearly raise general causation issues.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134</w:t>
      </w:r>
      <w:r>
        <w:rPr>
          <w:rFonts w:ascii="arial" w:eastAsia="arial" w:hAnsi="arial" w:cs="arial"/>
          <w:color w:val="000000"/>
          <w:sz w:val="20"/>
          <w:lang w:val="en-US" w:eastAsia="en-US" w:bidi="ar-SA"/>
        </w:rPr>
        <w:t xml:space="preserve">  In </w:t>
      </w:r>
      <w:r>
        <w:rPr>
          <w:rFonts w:ascii="arial" w:eastAsia="arial" w:hAnsi="arial" w:cs="arial"/>
          <w:b/>
          <w:i/>
          <w:color w:val="000000"/>
          <w:sz w:val="20"/>
          <w:lang w:val="en-US" w:eastAsia="en-US" w:bidi="ar-SA"/>
        </w:rPr>
        <w:t>Charlton</w:t>
      </w:r>
      <w:r>
        <w:rPr>
          <w:rFonts w:ascii="arial" w:eastAsia="arial" w:hAnsi="arial" w:cs="arial"/>
          <w:color w:val="000000"/>
          <w:sz w:val="20"/>
          <w:lang w:val="en-US" w:eastAsia="en-US" w:bidi="ar-SA"/>
        </w:rPr>
        <w:t>, Willcock J.A. wrote [</w:t>
      </w:r>
      <w:r>
        <w:rPr>
          <w:rFonts w:ascii="arial" w:eastAsia="arial" w:hAnsi="arial" w:cs="arial"/>
          <w:color w:val="000000"/>
          <w:sz w:val="20"/>
          <w:u w:val="single"/>
          <w:lang w:val="en-US" w:eastAsia="en-US" w:bidi="ar-SA"/>
        </w:rPr>
        <w:t>underlining</w:t>
      </w:r>
      <w:r>
        <w:rPr>
          <w:rFonts w:ascii="arial" w:eastAsia="arial" w:hAnsi="arial" w:cs="arial"/>
          <w:color w:val="000000"/>
          <w:sz w:val="20"/>
          <w:lang w:val="en-US" w:eastAsia="en-US" w:bidi="ar-SA"/>
        </w:rPr>
        <w:t xml:space="preserve"> added]: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[84] </w:t>
      </w:r>
      <w:r>
        <w:rPr>
          <w:rFonts w:ascii="arial" w:eastAsia="arial" w:hAnsi="arial" w:cs="arial"/>
          <w:color w:val="000000"/>
          <w:sz w:val="20"/>
          <w:u w:val="single"/>
          <w:lang w:val="en-US" w:eastAsia="en-US" w:bidi="ar-SA"/>
        </w:rPr>
        <w:t>Where the applicants seek to address questions of causation on a class-wide basis and where causation is said to give rise to the commonality of interests, there must be some evidence of a methodology that will enable them to prove causation on a class-wide basis. The evidence at the certification hearing must support the conclusion that certification of the common issue will advance the claim as pleaded. Where the proposed common issue is causation, there must be some evidence that issue may be resolved on a class-wide basis.</w:t>
      </w:r>
      <w:r>
        <w:rPr>
          <w:rFonts w:ascii="arial" w:eastAsia="arial" w:hAnsi="arial" w:cs="arial"/>
          <w:color w:val="000000"/>
          <w:sz w:val="20"/>
          <w:lang w:val="en-US" w:eastAsia="en-US" w:bidi="ar-SA"/>
        </w:rPr>
        <w:t xml:space="preserve"> Seeking evidence of a methodology of addressing causation for the class serves the objective of class proceedings and the Act must be applied with a purposive approach.</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 .</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[93] Where there is some evidence by which general causation may be proven, that is sufficient; the evidence ought not to be weighed at certification. . . .</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 .</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[97] . . . In the case before us, the question is whether it can be said there was some evidence of a method of establishing general causation before the certification judge.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 .</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[111] The question that ought to have been asked at the certification hearing in relation to both types of claims, is not whether the resolution of the general causation question will advance the class claims, but rather, whether there is a reasonable prospect of doing so.</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[112] The evidence before the certification judge was that the question whether sibutramine causes or contributes to heart attacks, strokes, and arrhythmia on a class-wide basis is incapable of resolution. There was no evidence of a methodology for establishing that the class as a whole, as opposed to those who were wrongly prescribed sibutramine despite a history of disease, was affected or put at risk by its use of sibutramine. The appellants say the trial judge did not properly exercise his gatekeeping function; he is said to have erred by failing to consider whether the class had adduced some evidence of a method of proving the claim. I agree with that submission.</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[113] This cannot be said to be a case like </w:t>
      </w:r>
      <w:r>
        <w:rPr>
          <w:rFonts w:ascii="arial" w:eastAsia="arial" w:hAnsi="arial" w:cs="arial"/>
          <w:i/>
          <w:color w:val="000000"/>
          <w:sz w:val="20"/>
          <w:lang w:val="en-US" w:eastAsia="en-US" w:bidi="ar-SA"/>
        </w:rPr>
        <w:t>Stanway</w:t>
      </w:r>
      <w:r>
        <w:rPr>
          <w:rFonts w:ascii="arial" w:eastAsia="arial" w:hAnsi="arial" w:cs="arial"/>
          <w:color w:val="000000"/>
          <w:sz w:val="20"/>
          <w:lang w:val="en-US" w:eastAsia="en-US" w:bidi="ar-SA"/>
        </w:rPr>
        <w:t xml:space="preserve">, </w:t>
      </w:r>
      <w:r>
        <w:rPr>
          <w:rFonts w:ascii="arial" w:eastAsia="arial" w:hAnsi="arial" w:cs="arial"/>
          <w:color w:val="000000"/>
          <w:sz w:val="20"/>
          <w:u w:val="single"/>
          <w:lang w:val="en-US" w:eastAsia="en-US" w:bidi="ar-SA"/>
        </w:rPr>
        <w:t>where the increased risk of a certain result to the class as a whole can be quantified</w:t>
      </w:r>
      <w:r>
        <w:rPr>
          <w:rFonts w:ascii="arial" w:eastAsia="arial" w:hAnsi="arial" w:cs="arial"/>
          <w:color w:val="000000"/>
          <w:sz w:val="20"/>
          <w:lang w:val="en-US" w:eastAsia="en-US" w:bidi="ar-SA"/>
        </w:rPr>
        <w:t xml:space="preserve">. . . . this is not a case where the experts disagree on the extent of the risk, but rather, a case </w:t>
      </w:r>
      <w:r>
        <w:rPr>
          <w:rFonts w:ascii="arial" w:eastAsia="arial" w:hAnsi="arial" w:cs="arial"/>
          <w:color w:val="000000"/>
          <w:sz w:val="20"/>
          <w:u w:val="single"/>
          <w:lang w:val="en-US" w:eastAsia="en-US" w:bidi="ar-SA"/>
        </w:rPr>
        <w:t>where the experts are uncertain whether there is a risk to the class as a whole and cannot describe a methodology for addressing that question</w:t>
      </w:r>
      <w:r>
        <w:rPr>
          <w:rFonts w:ascii="arial" w:eastAsia="arial" w:hAnsi="arial" w:cs="arial"/>
          <w:color w:val="000000"/>
          <w:sz w:val="20"/>
          <w:lang w:val="en-US" w:eastAsia="en-US" w:bidi="ar-SA"/>
        </w:rPr>
        <w:t>. . . .</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135</w:t>
      </w:r>
      <w:r>
        <w:rPr>
          <w:rFonts w:ascii="arial" w:eastAsia="arial" w:hAnsi="arial" w:cs="arial"/>
          <w:color w:val="000000"/>
          <w:sz w:val="20"/>
          <w:lang w:val="en-US" w:eastAsia="en-US" w:bidi="ar-SA"/>
        </w:rPr>
        <w:t xml:space="preserve">  In </w:t>
      </w:r>
      <w:r>
        <w:rPr>
          <w:rFonts w:ascii="arial" w:eastAsia="arial" w:hAnsi="arial" w:cs="arial"/>
          <w:b/>
          <w:i/>
          <w:color w:val="000000"/>
          <w:sz w:val="20"/>
          <w:lang w:val="en-US" w:eastAsia="en-US" w:bidi="ar-SA"/>
        </w:rPr>
        <w:t>Miller</w:t>
      </w:r>
      <w:r>
        <w:rPr>
          <w:rFonts w:ascii="arial" w:eastAsia="arial" w:hAnsi="arial" w:cs="arial"/>
          <w:color w:val="000000"/>
          <w:sz w:val="20"/>
          <w:lang w:val="en-US" w:eastAsia="en-US" w:bidi="ar-SA"/>
        </w:rPr>
        <w:t>, Savage J.A. wrote [</w:t>
      </w:r>
      <w:r>
        <w:rPr>
          <w:rFonts w:ascii="arial" w:eastAsia="arial" w:hAnsi="arial" w:cs="arial"/>
          <w:color w:val="000000"/>
          <w:sz w:val="20"/>
          <w:u w:val="single"/>
          <w:lang w:val="en-US" w:eastAsia="en-US" w:bidi="ar-SA"/>
        </w:rPr>
        <w:t>underlining</w:t>
      </w:r>
      <w:r>
        <w:rPr>
          <w:rFonts w:ascii="arial" w:eastAsia="arial" w:hAnsi="arial" w:cs="arial"/>
          <w:color w:val="000000"/>
          <w:sz w:val="20"/>
          <w:lang w:val="en-US" w:eastAsia="en-US" w:bidi="ar-SA"/>
        </w:rPr>
        <w:t xml:space="preserve"> added]: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[27] Before </w:t>
      </w:r>
      <w:r>
        <w:rPr>
          <w:rFonts w:ascii="arial" w:eastAsia="arial" w:hAnsi="arial" w:cs="arial"/>
          <w:i/>
          <w:color w:val="000000"/>
          <w:sz w:val="20"/>
          <w:lang w:val="en-US" w:eastAsia="en-US" w:bidi="ar-SA"/>
        </w:rPr>
        <w:t>Microsoft</w:t>
      </w:r>
      <w:r>
        <w:rPr>
          <w:rFonts w:ascii="arial" w:eastAsia="arial" w:hAnsi="arial" w:cs="arial"/>
          <w:color w:val="000000"/>
          <w:sz w:val="20"/>
          <w:lang w:val="en-US" w:eastAsia="en-US" w:bidi="ar-SA"/>
        </w:rPr>
        <w:t xml:space="preserve"> [i.e., </w:t>
      </w:r>
      <w:r>
        <w:rPr>
          <w:rFonts w:ascii="arial" w:eastAsia="arial" w:hAnsi="arial" w:cs="arial"/>
          <w:b/>
          <w:i/>
          <w:color w:val="000000"/>
          <w:sz w:val="20"/>
          <w:lang w:val="en-US" w:eastAsia="en-US" w:bidi="ar-SA"/>
        </w:rPr>
        <w:t>Pro-Sys</w:t>
      </w:r>
      <w:r>
        <w:rPr>
          <w:rFonts w:ascii="arial" w:eastAsia="arial" w:hAnsi="arial" w:cs="arial"/>
          <w:color w:val="000000"/>
          <w:sz w:val="20"/>
          <w:lang w:val="en-US" w:eastAsia="en-US" w:bidi="ar-SA"/>
        </w:rPr>
        <w:t xml:space="preserve">], there was uncertainty over whether plaintiffs needed to establish a methodology for proving a common issue, or simply to meet the "some basis in fact" threshold. That question was answered in </w:t>
      </w:r>
      <w:r>
        <w:rPr>
          <w:rFonts w:ascii="arial" w:eastAsia="arial" w:hAnsi="arial" w:cs="arial"/>
          <w:i/>
          <w:color w:val="000000"/>
          <w:sz w:val="20"/>
          <w:lang w:val="en-US" w:eastAsia="en-US" w:bidi="ar-SA"/>
        </w:rPr>
        <w:t>Microsoft</w:t>
      </w:r>
      <w:r>
        <w:rPr>
          <w:rFonts w:ascii="arial" w:eastAsia="arial" w:hAnsi="arial" w:cs="arial"/>
          <w:color w:val="000000"/>
          <w:sz w:val="20"/>
          <w:lang w:val="en-US" w:eastAsia="en-US" w:bidi="ar-SA"/>
        </w:rPr>
        <w:t xml:space="preserve">: </w:t>
      </w:r>
      <w:r>
        <w:rPr>
          <w:rFonts w:ascii="arial" w:eastAsia="arial" w:hAnsi="arial" w:cs="arial"/>
          <w:color w:val="000000"/>
          <w:sz w:val="20"/>
          <w:u w:val="single"/>
          <w:lang w:val="en-US" w:eastAsia="en-US" w:bidi="ar-SA"/>
        </w:rPr>
        <w:t>for a claim to be certified, there must be a "methodology" through which the common issue may plausibly be proven at trial.</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 .</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[33] In my opinion, however, "methodology" in this context is not, and should not be, confused with a prescribed scientific or economic methodology. Instead, </w:t>
      </w:r>
      <w:r>
        <w:rPr>
          <w:rFonts w:ascii="arial" w:eastAsia="arial" w:hAnsi="arial" w:cs="arial"/>
          <w:color w:val="000000"/>
          <w:sz w:val="20"/>
          <w:u w:val="single"/>
          <w:lang w:val="en-US" w:eastAsia="en-US" w:bidi="ar-SA"/>
        </w:rPr>
        <w:t>it refers to whether there is any plausible way in which the plaintiff can legally establish the general causation issue embedded in his or her claim.</w:t>
      </w:r>
      <w:r>
        <w:rPr>
          <w:rFonts w:ascii="arial" w:eastAsia="arial" w:hAnsi="arial" w:cs="arial"/>
          <w:color w:val="000000"/>
          <w:sz w:val="20"/>
          <w:lang w:val="en-US" w:eastAsia="en-US" w:bidi="ar-SA"/>
        </w:rPr>
        <w:t xml:space="preserve"> . . .</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[34] The methodology requirement must also be considered in light of the policy objectives of class actions: the object is to promote fair and efficient resolution of the common issues. If there is no way that the common issues could realistically be established in a class action proceeding, then these goals would not be achieved and a class action should not be certified. It is that concept which underpins the methodology requirement described in </w:t>
      </w:r>
      <w:r>
        <w:rPr>
          <w:rFonts w:ascii="arial" w:eastAsia="arial" w:hAnsi="arial" w:cs="arial"/>
          <w:i/>
          <w:color w:val="000000"/>
          <w:sz w:val="20"/>
          <w:lang w:val="en-US" w:eastAsia="en-US" w:bidi="ar-SA"/>
        </w:rPr>
        <w:t>Microsoft</w:t>
      </w:r>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 .</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[38] . . . [T]o overcome the certification hurdle, </w:t>
      </w:r>
      <w:r>
        <w:rPr>
          <w:rFonts w:ascii="arial" w:eastAsia="arial" w:hAnsi="arial" w:cs="arial"/>
          <w:color w:val="000000"/>
          <w:sz w:val="20"/>
          <w:u w:val="single"/>
          <w:lang w:val="en-US" w:eastAsia="en-US" w:bidi="ar-SA"/>
        </w:rPr>
        <w:t>plaintiffs are required to show how their common issue could be established at a common issues trial</w:t>
      </w:r>
      <w:r>
        <w:rPr>
          <w:rFonts w:ascii="arial" w:eastAsia="arial" w:hAnsi="arial" w:cs="arial"/>
          <w:color w:val="000000"/>
          <w:sz w:val="20"/>
          <w:lang w:val="en-US" w:eastAsia="en-US" w:bidi="ar-SA"/>
        </w:rPr>
        <w:t>, remembering that the threshold, at this stage, is not an onerous one.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 .</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[45] This case differs from </w:t>
      </w:r>
      <w:r>
        <w:rPr>
          <w:rFonts w:ascii="arial" w:eastAsia="arial" w:hAnsi="arial" w:cs="arial"/>
          <w:i/>
          <w:color w:val="000000"/>
          <w:sz w:val="20"/>
          <w:lang w:val="en-US" w:eastAsia="en-US" w:bidi="ar-SA"/>
        </w:rPr>
        <w:t>Charlton</w:t>
      </w:r>
      <w:r>
        <w:rPr>
          <w:rFonts w:ascii="arial" w:eastAsia="arial" w:hAnsi="arial" w:cs="arial"/>
          <w:color w:val="000000"/>
          <w:sz w:val="20"/>
          <w:lang w:val="en-US" w:eastAsia="en-US" w:bidi="ar-SA"/>
        </w:rPr>
        <w:t xml:space="preserve">. The mechanism of finasteride and its potential for causing sexual dysfunction is established and admitted [in this case]. It is simply the persistent effects that are contested. Everyone in the class experienced some sort of sexual dysfunction, rather than having simply ingested the same medication with no common effect, which was the case in </w:t>
      </w:r>
      <w:r>
        <w:rPr>
          <w:rFonts w:ascii="arial" w:eastAsia="arial" w:hAnsi="arial" w:cs="arial"/>
          <w:i/>
          <w:color w:val="000000"/>
          <w:sz w:val="20"/>
          <w:lang w:val="en-US" w:eastAsia="en-US" w:bidi="ar-SA"/>
        </w:rPr>
        <w:t>Charlton</w:t>
      </w:r>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[46] The Supreme Court did not say in </w:t>
      </w:r>
      <w:r>
        <w:rPr>
          <w:rFonts w:ascii="arial" w:eastAsia="arial" w:hAnsi="arial" w:cs="arial"/>
          <w:i/>
          <w:color w:val="000000"/>
          <w:sz w:val="20"/>
          <w:lang w:val="en-US" w:eastAsia="en-US" w:bidi="ar-SA"/>
        </w:rPr>
        <w:t>Microsoft</w:t>
      </w:r>
      <w:r>
        <w:rPr>
          <w:rFonts w:ascii="arial" w:eastAsia="arial" w:hAnsi="arial" w:cs="arial"/>
          <w:color w:val="000000"/>
          <w:sz w:val="20"/>
          <w:lang w:val="en-US" w:eastAsia="en-US" w:bidi="ar-SA"/>
        </w:rPr>
        <w:t xml:space="preserve"> that what is required is evidence of a specific type of "methodology". </w:t>
      </w:r>
      <w:r>
        <w:rPr>
          <w:rFonts w:ascii="arial" w:eastAsia="arial" w:hAnsi="arial" w:cs="arial"/>
          <w:color w:val="000000"/>
          <w:sz w:val="20"/>
          <w:u w:val="single"/>
          <w:lang w:val="en-US" w:eastAsia="en-US" w:bidi="ar-SA"/>
        </w:rPr>
        <w:t>Instead, it required a way to test the alleged common issue at trial. That is what is needed to fulfill the "methodology" requirement.</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Stanway</w:t>
      </w:r>
      <w:r>
        <w:rPr>
          <w:rFonts w:ascii="arial" w:eastAsia="arial" w:hAnsi="arial" w:cs="arial"/>
          <w:color w:val="000000"/>
          <w:sz w:val="20"/>
          <w:lang w:val="en-US" w:eastAsia="en-US" w:bidi="ar-SA"/>
        </w:rPr>
        <w:t xml:space="preserve"> it was satisfied by the existence of a robust study which established general causation. </w:t>
      </w:r>
      <w:r>
        <w:rPr>
          <w:rFonts w:ascii="arial" w:eastAsia="arial" w:hAnsi="arial" w:cs="arial"/>
          <w:color w:val="000000"/>
          <w:sz w:val="20"/>
          <w:u w:val="single"/>
          <w:lang w:val="en-US" w:eastAsia="en-US" w:bidi="ar-SA"/>
        </w:rPr>
        <w:t>There was a realistic way to prove the common issue at trial. That is what matters</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136</w:t>
      </w:r>
      <w:r>
        <w:rPr>
          <w:rFonts w:ascii="arial" w:eastAsia="arial" w:hAnsi="arial" w:cs="arial"/>
          <w:color w:val="000000"/>
          <w:sz w:val="20"/>
          <w:lang w:val="en-US" w:eastAsia="en-US" w:bidi="ar-SA"/>
        </w:rPr>
        <w:t xml:space="preserve">  Mr. Aaron submits that the material listed in Schedule B to the plaintiffs' written submissions is evidence that discloses some basis in fact of a methodology, "by way of expert evidence and scientific reports," to determine the reasonableness of (1) the health concern and (2) the choice to be free of the operation of a smart meter at one's home. Accordingly, in Mr. Aaron's submission, the plaintiffs have met their evidentiary burden in respect of s. 4(1)(c) of the </w:t>
      </w:r>
      <w:r>
        <w:rPr>
          <w:rFonts w:ascii="arial" w:eastAsia="arial" w:hAnsi="arial" w:cs="arial"/>
          <w:b/>
          <w:i/>
          <w:color w:val="000000"/>
          <w:sz w:val="20"/>
          <w:lang w:val="en-US" w:eastAsia="en-US" w:bidi="ar-SA"/>
        </w:rPr>
        <w:t>CPA</w:t>
      </w:r>
      <w:r>
        <w:rPr>
          <w:rFonts w:ascii="arial" w:eastAsia="arial" w:hAnsi="arial" w:cs="arial"/>
          <w:color w:val="000000"/>
          <w:sz w:val="20"/>
          <w:lang w:val="en-US" w:eastAsia="en-US" w:bidi="ar-SA"/>
        </w:rPr>
        <w:t xml:space="preserve">. He argues (based on Mr. Justice Savage's comment in </w:t>
      </w:r>
      <w:r>
        <w:rPr>
          <w:rFonts w:ascii="arial" w:eastAsia="arial" w:hAnsi="arial" w:cs="arial"/>
          <w:b/>
          <w:i/>
          <w:color w:val="000000"/>
          <w:sz w:val="20"/>
          <w:lang w:val="en-US" w:eastAsia="en-US" w:bidi="ar-SA"/>
        </w:rPr>
        <w:t>Miller</w:t>
      </w:r>
      <w:r>
        <w:rPr>
          <w:rFonts w:ascii="arial" w:eastAsia="arial" w:hAnsi="arial" w:cs="arial"/>
          <w:color w:val="000000"/>
          <w:sz w:val="20"/>
          <w:lang w:val="en-US" w:eastAsia="en-US" w:bidi="ar-SA"/>
        </w:rPr>
        <w:t>, at para. 49) that the plaintiffs are not required at this stage to meet a "gold standard" in terms of proof.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137</w:t>
      </w:r>
      <w:r>
        <w:rPr>
          <w:rFonts w:ascii="arial" w:eastAsia="arial" w:hAnsi="arial" w:cs="arial"/>
          <w:color w:val="000000"/>
          <w:sz w:val="20"/>
          <w:lang w:val="en-US" w:eastAsia="en-US" w:bidi="ar-SA"/>
        </w:rPr>
        <w:t>  Schedule B lists:</w:t>
      </w:r>
      <w:r>
        <w:rPr>
          <w:rFonts w:ascii="arial" w:eastAsia="arial" w:hAnsi="arial" w:cs="arial"/>
          <w:sz w:val="20"/>
          <w:lang w:val="en-US" w:eastAsia="en-US" w:bidi="ar-SA"/>
        </w:rPr>
        <w:cr/>
      </w:r>
    </w:p>
    <w:p>
      <w:pPr>
        <w:numPr>
          <w:numId w:val="132"/>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Exhibits "A" to "C" attached to Affidavit No. 3 of Delia Aaron (Mr. Aaron's legal assistant), which include an instruction letter from Mr. Aaron to Dr. Martin Blank and a report from Dr. Blank;</w:t>
      </w:r>
    </w:p>
    <w:p>
      <w:pPr>
        <w:numPr>
          <w:numId w:val="132"/>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Exhibits "M" to "S" attached to Ms. St. Clair's Affidavit No. 1, which include the reports authored by Dr. Blank and Dr. Maret (referred to above) as well as the written submissions prepared by Mr. Aaron in relation to the FortisBC application to the BCUC;</w:t>
      </w:r>
    </w:p>
    <w:p>
      <w:pPr>
        <w:numPr>
          <w:numId w:val="132"/>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paras. 7-9 from Ms. Davis' Affidavit No. 1 (referred to above);</w:t>
      </w:r>
    </w:p>
    <w:p>
      <w:pPr>
        <w:numPr>
          <w:numId w:val="132"/>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Exhibits "J" to "Z" attached to Ms. Noble's Affidavit No. 1, Exhibit "E" to her Affidavit No. 2 and Exhibits "A" and "B" to her Affidavit No. 3. These materials include various articles published in the media, press releases, opinion pieces from non-witnesses and other similar publications. Ms. Nobel explains that she collected many of these items in the course of her work with the Coalition.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138</w:t>
      </w:r>
      <w:r>
        <w:rPr>
          <w:rFonts w:ascii="arial" w:eastAsia="arial" w:hAnsi="arial" w:cs="arial"/>
          <w:color w:val="000000"/>
          <w:sz w:val="20"/>
          <w:lang w:val="en-US" w:eastAsia="en-US" w:bidi="ar-SA"/>
        </w:rPr>
        <w:t>  Mr. Aaron says that he does not rely on any of this material to prove the truth or reliability of anything asserted. Rather, in Mr. Aaron's submission, it is admissible to show the existence of material that raises alarms about the (potential) health effects of radiofrequency emissions and smart meters. In Mr. Aaron's submission, for purposes of the certification application, it is enough for the plaintiffs to show that material such as Dr. Blank's report (and the other material referenced), discussing health concerns in relation to radiofrequency emissions, exists, and the existence of such material demonstrates some basis in fact of a methodology both to prove whether there is a reasonable basis for concern about health risks, and to prove proposed common issues 1-4.5 on a class-wide basis. Therefore, in Mr. Aaron's submission, the plaintiffs have satisfied their evidentiary burden in relation to s. 4(1)(c) with respect to the key common issues.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139</w:t>
      </w:r>
      <w:r>
        <w:rPr>
          <w:rFonts w:ascii="arial" w:eastAsia="arial" w:hAnsi="arial" w:cs="arial"/>
          <w:color w:val="000000"/>
          <w:sz w:val="20"/>
          <w:lang w:val="en-US" w:eastAsia="en-US" w:bidi="ar-SA"/>
        </w:rPr>
        <w:t xml:space="preserve">  On behalf of BC Hydro, Mr. Vesely objects to the admissibility of this material, on the grounds that it constitutes unsworn evidence from individuals who are not witnesses. Merely attaching a report or a document as an exhibit to an affidavit from another, non-expert witness does not make the report or document admissible as opinion evidence. In support of his position, Mr. Vesely cites </w:t>
      </w:r>
      <w:r>
        <w:rPr>
          <w:rFonts w:ascii="arial" w:eastAsia="arial" w:hAnsi="arial" w:cs="arial"/>
          <w:b/>
          <w:i/>
          <w:color w:val="000000"/>
          <w:sz w:val="20"/>
          <w:lang w:val="en-US" w:eastAsia="en-US" w:bidi="ar-SA"/>
        </w:rPr>
        <w:t>Ernewein</w:t>
      </w:r>
      <w:r>
        <w:rPr>
          <w:rFonts w:ascii="arial" w:eastAsia="arial" w:hAnsi="arial" w:cs="arial"/>
          <w:color w:val="000000"/>
          <w:sz w:val="20"/>
          <w:lang w:val="en-US" w:eastAsia="en-US" w:bidi="ar-SA"/>
        </w:rPr>
        <w:t xml:space="preserve"> and </w:t>
      </w:r>
      <w:r>
        <w:rPr>
          <w:rFonts w:ascii="arial" w:eastAsia="arial" w:hAnsi="arial" w:cs="arial"/>
          <w:b/>
          <w:i/>
          <w:color w:val="000000"/>
          <w:sz w:val="20"/>
          <w:lang w:val="en-US" w:eastAsia="en-US" w:bidi="ar-SA"/>
        </w:rPr>
        <w:t>Pro-Sys Consultants Ltd. v. Microsoft Corporation</w:t>
      </w:r>
      <w:r>
        <w:rPr>
          <w:rFonts w:ascii="arial" w:eastAsia="arial" w:hAnsi="arial" w:cs="arial"/>
          <w:color w:val="000000"/>
          <w:sz w:val="20"/>
          <w:lang w:val="en-US" w:eastAsia="en-US" w:bidi="ar-SA"/>
        </w:rPr>
        <w:t xml:space="preserve">, </w:t>
      </w:r>
      <w:hyperlink r:id="rId979" w:history="1">
        <w:r>
          <w:rPr>
            <w:rFonts w:ascii="arial" w:eastAsia="arial" w:hAnsi="arial" w:cs="arial"/>
            <w:i/>
            <w:color w:val="0077CC"/>
            <w:sz w:val="20"/>
            <w:u w:val="single"/>
            <w:shd w:val="clear" w:color="auto" w:fill="FFFFFF"/>
            <w:lang w:val="en-US" w:eastAsia="en-US" w:bidi="ar-SA"/>
          </w:rPr>
          <w:t>2008 BCSC 1263</w:t>
        </w:r>
      </w:hyperlink>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140</w:t>
      </w:r>
      <w:r>
        <w:rPr>
          <w:rFonts w:ascii="arial" w:eastAsia="arial" w:hAnsi="arial" w:cs="arial"/>
          <w:color w:val="000000"/>
          <w:sz w:val="20"/>
          <w:lang w:val="en-US" w:eastAsia="en-US" w:bidi="ar-SA"/>
        </w:rPr>
        <w:t xml:space="preserve">  Mr. Vesely objects further to the reports of Dr. Blank because they lack impartiality and therefore fail to meet the basic requirement for threshold admissibility. Moreover, although, in relation to his report dated September 9, 2014, Dr. Blank was given instructions by Mr. Aaron concerning an expert's duty to the court and the certification required from the expert under Rule 11-2 of the </w:t>
      </w:r>
      <w:r>
        <w:rPr>
          <w:rFonts w:ascii="arial" w:eastAsia="arial" w:hAnsi="arial" w:cs="arial"/>
          <w:b/>
          <w:i/>
          <w:color w:val="000000"/>
          <w:sz w:val="20"/>
          <w:lang w:val="en-US" w:eastAsia="en-US" w:bidi="ar-SA"/>
        </w:rPr>
        <w:t>Supreme Court Civil Rules</w:t>
      </w:r>
      <w:r>
        <w:rPr>
          <w:rFonts w:ascii="arial" w:eastAsia="arial" w:hAnsi="arial" w:cs="arial"/>
          <w:color w:val="000000"/>
          <w:sz w:val="20"/>
          <w:lang w:val="en-US" w:eastAsia="en-US" w:bidi="ar-SA"/>
        </w:rPr>
        <w:t xml:space="preserve">, he gave no such certification. No explanation - apart from the submission that the report was not being relied on as an expert report or as opinion evidence, but just for its existence - was given for Dr. Blank's failure in this regard. The absence of the certification required under Rule 11-2 can be fatal to the admissibility of an expert's report: see </w:t>
      </w:r>
      <w:r>
        <w:rPr>
          <w:rFonts w:ascii="arial" w:eastAsia="arial" w:hAnsi="arial" w:cs="arial"/>
          <w:b/>
          <w:i/>
          <w:color w:val="000000"/>
          <w:sz w:val="20"/>
          <w:lang w:val="en-US" w:eastAsia="en-US" w:bidi="ar-SA"/>
        </w:rPr>
        <w:t>Pichugin v. Stoian</w:t>
      </w:r>
      <w:r>
        <w:rPr>
          <w:rFonts w:ascii="arial" w:eastAsia="arial" w:hAnsi="arial" w:cs="arial"/>
          <w:color w:val="000000"/>
          <w:sz w:val="20"/>
          <w:lang w:val="en-US" w:eastAsia="en-US" w:bidi="ar-SA"/>
        </w:rPr>
        <w:t xml:space="preserve">, </w:t>
      </w:r>
      <w:hyperlink r:id="rId980" w:history="1">
        <w:r>
          <w:rPr>
            <w:rFonts w:ascii="arial" w:eastAsia="arial" w:hAnsi="arial" w:cs="arial"/>
            <w:i/>
            <w:color w:val="0077CC"/>
            <w:sz w:val="20"/>
            <w:u w:val="single"/>
            <w:shd w:val="clear" w:color="auto" w:fill="FFFFFF"/>
            <w:lang w:val="en-US" w:eastAsia="en-US" w:bidi="ar-SA"/>
          </w:rPr>
          <w:t>2014 BCSC 2061</w:t>
        </w:r>
      </w:hyperlink>
      <w:r>
        <w:rPr>
          <w:rFonts w:ascii="arial" w:eastAsia="arial" w:hAnsi="arial" w:cs="arial"/>
          <w:color w:val="000000"/>
          <w:sz w:val="20"/>
          <w:lang w:val="en-US" w:eastAsia="en-US" w:bidi="ar-SA"/>
        </w:rPr>
        <w:t>, at para. 18.</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141</w:t>
      </w:r>
      <w:r>
        <w:rPr>
          <w:rFonts w:ascii="arial" w:eastAsia="arial" w:hAnsi="arial" w:cs="arial"/>
          <w:color w:val="000000"/>
          <w:sz w:val="20"/>
          <w:lang w:val="en-US" w:eastAsia="en-US" w:bidi="ar-SA"/>
        </w:rPr>
        <w:t>  In Mr. Vesely's submission, the only admissible evidence concerning a way of testing proposed common issues No. 1 to 4.5 - or, in other words, a methodology - comes from Dr. Benjamin Cotts, BC Hydro's expert.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142</w:t>
      </w:r>
      <w:r>
        <w:rPr>
          <w:rFonts w:ascii="arial" w:eastAsia="arial" w:hAnsi="arial" w:cs="arial"/>
          <w:color w:val="000000"/>
          <w:sz w:val="20"/>
          <w:lang w:val="en-US" w:eastAsia="en-US" w:bidi="ar-SA"/>
        </w:rPr>
        <w:t>  Dr. Cotts prepared two reports (a main report attached to his Affidavit No. 1 and a supplementary report attached to his Affidavit No. 2). The purpose of Dr. Cotts' evidence is to discuss the characteristics of radiofrequency ("RF") transmission from smart meters, and to place the RF exposure of humans from smart meters into the context of other RF sources encountered in modern society through the process of an RF exposure assessment. As described by Dr. Cotts, an RF exposure assessment is an evaluation of the potential RF field exposure to humans and includes all sources, both natural and anthropogenic. Anthropogenic RF sources include cell phones, cordless phones, baby monitors, AM and FM radio, smart meters, microwave ovens, television, cell towers and weather radar. Lightning, the Earth itself and other humans are all examples of natural RF sources. According to Dr. Cotts, in the assessment, it is important to include all RF sources, because any potential effects of RF fields on humans will be based on the total exposure from all sources, not the incremental exposure to a single source. Dr. Cotts explains that evaluating the incremental RF exposure to a single source would be "akin to evaluating a person's cholesterol level based only on an increase in cholesterol from eating avocadoes instead of considering the person's entire diet (e.g., avocadoes along with bacon, french fries, and other foods)."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143</w:t>
      </w:r>
      <w:r>
        <w:rPr>
          <w:rFonts w:ascii="arial" w:eastAsia="arial" w:hAnsi="arial" w:cs="arial"/>
          <w:color w:val="000000"/>
          <w:sz w:val="20"/>
          <w:lang w:val="en-US" w:eastAsia="en-US" w:bidi="ar-SA"/>
        </w:rPr>
        <w:t>  Dr. Cotts discussed factors that can affect an individual's RF exposure. He explained that exposure will be higher near to a source than farther away, and in an urban setting (with various sources all around) the levels of RF will generally be higher than in a rural setting (with relatively fewer sources). Another environmental factor that can affect RF exposure is whether a barrier (such as a building wall) exists between an RF source and the individual. Thickness and nature of the materials (e.g., concrete, drywall, plywood etc.) are also factors. Levels of RF are higher during daytime hours than at nighttime, and field levels are generally lower inside a home. Dr. Cotts illustrated some of the difficulties in attempting to carry out an exposure assessment on a class-wide basis by analyzing three case studies: a rural farmhouse, a suburban duplex and an urban high-rise. He analyzed the degree to which RF exposure levels from a smart meter could vary based on changing only three variables: the wall material between the smart meter and the individual; the distance between the smart meter and the individual; and the duty cycle under which the smart meter is operating. According to Dr. Cotts, the level of variation was enormous. For example, in the case of the suburban duplex, Dr. Cotts concluded that the contribution of the smart meter to the total RF exposure varies by a factor of nearly 350 million.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144</w:t>
      </w:r>
      <w:r>
        <w:rPr>
          <w:rFonts w:ascii="arial" w:eastAsia="arial" w:hAnsi="arial" w:cs="arial"/>
          <w:color w:val="000000"/>
          <w:sz w:val="20"/>
          <w:lang w:val="en-US" w:eastAsia="en-US" w:bidi="ar-SA"/>
        </w:rPr>
        <w:t>  Dr. Cotts concluded that attempts to generalize the exposure of a class of people to smart meters results in either: (i) an exorbitant number (millions upon millions) of exposure scenarios, all of which must be assessed; or (ii) an unacceptably large variation in RF exposure levels (many orders of magnitude) even for a very narrowly defined subset of operational and environmental factors. In Dr. Cotts' opinion, in the absence of information such as wall construction of a structure, distance from the smart meter and duty cycle of the smart meter, the contribution of a smart meter to an RF exposure cannot accurately be made. On the other hand, in Dr. Cotts' opinion, with information about an individual smart meter installation, including about variables such as wall construction of a structure, distance from the smart meter, and duty cycle of the smart meter, modeling a person's RF exposure is a straight-forward engineering calculation, with accuracy just slightly less than would be obtained by measurement.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145</w:t>
      </w:r>
      <w:r>
        <w:rPr>
          <w:rFonts w:ascii="arial" w:eastAsia="arial" w:hAnsi="arial" w:cs="arial"/>
          <w:color w:val="000000"/>
          <w:sz w:val="20"/>
          <w:lang w:val="en-US" w:eastAsia="en-US" w:bidi="ar-SA"/>
        </w:rPr>
        <w:t>  Dr. Cotts' evidence is unchallenged. Based on it, I conclude that there is no way to test the key proposed common issues - Issues 1 to 4.5 - at a trial. I agree with Mr. Vesely that the material on which the plaintiffs rely is inadmissible to show there is a methodology through which proposed common issues 1 to 4.5 may plausibly be proven on a class-wide basis.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146</w:t>
      </w:r>
      <w:r>
        <w:rPr>
          <w:rFonts w:ascii="arial" w:eastAsia="arial" w:hAnsi="arial" w:cs="arial"/>
          <w:color w:val="000000"/>
          <w:sz w:val="20"/>
          <w:lang w:val="en-US" w:eastAsia="en-US" w:bidi="ar-SA"/>
        </w:rPr>
        <w:t xml:space="preserve">  The plaintiffs cannot rely on the material - such as Dr. Blank's opinions and the other documents - attached as exhibits to affidavits sworn by others as admissible evidence of the reliability of the facts and views stated. That, in my opinion, is what the plaintiffs are seeking to do, despite Mr. Aaron's protestations to the contrary. In my opinion, the material tendered by the plaintiffs is no different in quality from the material placed before the court by the plaintiff in </w:t>
      </w:r>
      <w:r>
        <w:rPr>
          <w:rFonts w:ascii="arial" w:eastAsia="arial" w:hAnsi="arial" w:cs="arial"/>
          <w:b/>
          <w:i/>
          <w:color w:val="000000"/>
          <w:sz w:val="20"/>
          <w:lang w:val="en-US" w:eastAsia="en-US" w:bidi="ar-SA"/>
        </w:rPr>
        <w:t>Ernewein</w:t>
      </w:r>
      <w:r>
        <w:rPr>
          <w:rFonts w:ascii="arial" w:eastAsia="arial" w:hAnsi="arial" w:cs="arial"/>
          <w:color w:val="000000"/>
          <w:sz w:val="20"/>
          <w:lang w:val="en-US" w:eastAsia="en-US" w:bidi="ar-SA"/>
        </w:rPr>
        <w:t xml:space="preserve">. It is not admissible evidence to show what the plaintiffs must show for purposes of certification. This is not a matter of requiring the plaintiffs here to meet an evidentiary "gold standard" on the certification application. Rather, as the authorities make clear, the plaintiffs have the obligation to establish by </w:t>
      </w:r>
      <w:r>
        <w:rPr>
          <w:rFonts w:ascii="arial" w:eastAsia="arial" w:hAnsi="arial" w:cs="arial"/>
          <w:color w:val="000000"/>
          <w:sz w:val="20"/>
          <w:u w:val="single"/>
          <w:lang w:val="en-US" w:eastAsia="en-US" w:bidi="ar-SA"/>
        </w:rPr>
        <w:t>admissible</w:t>
      </w:r>
      <w:r>
        <w:rPr>
          <w:rFonts w:ascii="arial" w:eastAsia="arial" w:hAnsi="arial" w:cs="arial"/>
          <w:color w:val="000000"/>
          <w:sz w:val="20"/>
          <w:lang w:val="en-US" w:eastAsia="en-US" w:bidi="ar-SA"/>
        </w:rPr>
        <w:t xml:space="preserve"> evidence that there is a methodology through which the common issue or issues can plausibly be proven at trial. They have failed to do so.</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147</w:t>
      </w:r>
      <w:r>
        <w:rPr>
          <w:rFonts w:ascii="arial" w:eastAsia="arial" w:hAnsi="arial" w:cs="arial"/>
          <w:color w:val="000000"/>
          <w:sz w:val="20"/>
          <w:lang w:val="en-US" w:eastAsia="en-US" w:bidi="ar-SA"/>
        </w:rPr>
        <w:t xml:space="preserve">  In contrast to </w:t>
      </w:r>
      <w:r>
        <w:rPr>
          <w:rFonts w:ascii="arial" w:eastAsia="arial" w:hAnsi="arial" w:cs="arial"/>
          <w:b/>
          <w:i/>
          <w:color w:val="000000"/>
          <w:sz w:val="20"/>
          <w:lang w:val="en-US" w:eastAsia="en-US" w:bidi="ar-SA"/>
        </w:rPr>
        <w:t>Miller</w:t>
      </w:r>
      <w:r>
        <w:rPr>
          <w:rFonts w:ascii="arial" w:eastAsia="arial" w:hAnsi="arial" w:cs="arial"/>
          <w:color w:val="000000"/>
          <w:sz w:val="20"/>
          <w:lang w:val="en-US" w:eastAsia="en-US" w:bidi="ar-SA"/>
        </w:rPr>
        <w:t xml:space="preserve"> (where the mechanism of the drug and the potential for causing sexual dysfunction were admitted), the plaintiffs have not tendered any admissible evidence to show that there is a way to test the key proposed common issues at trial, or a way that the plaintiffs can establish general causation. Rather, there is nothing to contradict Dr. Cotts' evidence. Based on that evidence, proposed common issues 1-3 cannot be determined on a class-wide basis, and they cannot be certified. Since proposed common issues 4 and 4.5 depend on the outcome of proposed common issues 1-3, common issues 4 and 4.5 cannot be certified either.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148</w:t>
      </w:r>
      <w:r>
        <w:rPr>
          <w:rFonts w:ascii="arial" w:eastAsia="arial" w:hAnsi="arial" w:cs="arial"/>
          <w:color w:val="000000"/>
          <w:sz w:val="20"/>
          <w:lang w:val="en-US" w:eastAsia="en-US" w:bidi="ar-SA"/>
        </w:rPr>
        <w:t xml:space="preserve">  Proposed common issues 5 to 12 are described as "issues of law." They depend on the outcome of the proposed common "issues of fact" described in issues 1 to 4.5. They cannot "move the litigation forward" on their own, and so cannot be certified. Moreover, as no reasonable claim for damages under s. 24 of the </w:t>
      </w:r>
      <w:r>
        <w:rPr>
          <w:rFonts w:ascii="arial" w:eastAsia="arial" w:hAnsi="arial" w:cs="arial"/>
          <w:b/>
          <w:i/>
          <w:color w:val="000000"/>
          <w:sz w:val="20"/>
          <w:lang w:val="en-US" w:eastAsia="en-US" w:bidi="ar-SA"/>
        </w:rPr>
        <w:t>Charter</w:t>
      </w:r>
      <w:r>
        <w:rPr>
          <w:rFonts w:ascii="arial" w:eastAsia="arial" w:hAnsi="arial" w:cs="arial"/>
          <w:color w:val="000000"/>
          <w:sz w:val="20"/>
          <w:lang w:val="en-US" w:eastAsia="en-US" w:bidi="ar-SA"/>
        </w:rPr>
        <w:t xml:space="preserve"> has been pleaded, proposed common issue 12 could not be certified in any event.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149</w:t>
      </w:r>
      <w:r>
        <w:rPr>
          <w:rFonts w:ascii="arial" w:eastAsia="arial" w:hAnsi="arial" w:cs="arial"/>
          <w:color w:val="000000"/>
          <w:sz w:val="20"/>
          <w:lang w:val="en-US" w:eastAsia="en-US" w:bidi="ar-SA"/>
        </w:rPr>
        <w:t>  Finally, proposed common issue 13 cannot be certified, even if other issues were acceptable for certification. It assumes a particular outcome in the action, namely, that the plaintiffs will be successful on the merits. However, that result is hardly guaranteed. The plaintiffs' action may be dismissed.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150</w:t>
      </w:r>
      <w:r>
        <w:rPr>
          <w:rFonts w:ascii="arial" w:eastAsia="arial" w:hAnsi="arial" w:cs="arial"/>
          <w:color w:val="000000"/>
          <w:sz w:val="20"/>
          <w:lang w:val="en-US" w:eastAsia="en-US" w:bidi="ar-SA"/>
        </w:rPr>
        <w:t>  Finally, the conflicts within the classes, which Mr. Vesely described in relation to whether there was an identifiable class, are relevant to the proposed common issues. The plaintiffs and those who have supported the CSTS and the Coalition believe passionately in their position. However, for others, that position simply represents the triumph of groundless hysteria over good science, and holds the prospect that BC Hydro's remaining customers will have to pay higher rates. Success for one group would result in failure for the other.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7. Preferable procedure: s. 4(1)(d)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151</w:t>
      </w:r>
      <w:r>
        <w:rPr>
          <w:rFonts w:ascii="arial" w:eastAsia="arial" w:hAnsi="arial" w:cs="arial"/>
          <w:color w:val="000000"/>
          <w:sz w:val="20"/>
          <w:lang w:val="en-US" w:eastAsia="en-US" w:bidi="ar-SA"/>
        </w:rPr>
        <w:t>  Since I have concluded there are no common issues that can be certified, it follows that the certification application must be dismissed. Therefore, it is unnecessary for me to address whether a class proceeding would be the "preferable procedure" for the fair and efficient resolution of common issues. However, I will make a few brief comments.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152</w:t>
      </w:r>
      <w:r>
        <w:rPr>
          <w:rFonts w:ascii="arial" w:eastAsia="arial" w:hAnsi="arial" w:cs="arial"/>
          <w:color w:val="000000"/>
          <w:sz w:val="20"/>
          <w:lang w:val="en-US" w:eastAsia="en-US" w:bidi="ar-SA"/>
        </w:rPr>
        <w:t>  First, in my opinion, Dr. Cotts' unchallenged evidence shows that questions of fact that could only be determined on an individual basis completely overwhelm any questions that might be common, making a class proceeding unworkable.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153</w:t>
      </w:r>
      <w:r>
        <w:rPr>
          <w:rFonts w:ascii="arial" w:eastAsia="arial" w:hAnsi="arial" w:cs="arial"/>
          <w:color w:val="000000"/>
          <w:sz w:val="20"/>
          <w:lang w:val="en-US" w:eastAsia="en-US" w:bidi="ar-SA"/>
        </w:rPr>
        <w:t xml:space="preserve">  Second, the nature of the claim is important. </w:t>
      </w:r>
      <w:r>
        <w:rPr>
          <w:rFonts w:ascii="arial" w:eastAsia="arial" w:hAnsi="arial" w:cs="arial"/>
          <w:b/>
          <w:i/>
          <w:color w:val="000000"/>
          <w:sz w:val="20"/>
          <w:lang w:val="en-US" w:eastAsia="en-US" w:bidi="ar-SA"/>
        </w:rPr>
        <w:t>Nanaimo Immigrant Settlement Society v. British Columbia</w:t>
      </w:r>
      <w:r>
        <w:rPr>
          <w:rFonts w:ascii="arial" w:eastAsia="arial" w:hAnsi="arial" w:cs="arial"/>
          <w:color w:val="000000"/>
          <w:sz w:val="20"/>
          <w:lang w:val="en-US" w:eastAsia="en-US" w:bidi="ar-SA"/>
        </w:rPr>
        <w:t xml:space="preserve">, </w:t>
      </w:r>
      <w:hyperlink r:id="rId981" w:history="1">
        <w:r>
          <w:rPr>
            <w:rFonts w:ascii="arial" w:eastAsia="arial" w:hAnsi="arial" w:cs="arial"/>
            <w:i/>
            <w:color w:val="0077CC"/>
            <w:sz w:val="20"/>
            <w:u w:val="single"/>
            <w:shd w:val="clear" w:color="auto" w:fill="FFFFFF"/>
            <w:lang w:val="en-US" w:eastAsia="en-US" w:bidi="ar-SA"/>
          </w:rPr>
          <w:t>2001 BCCA 75</w:t>
        </w:r>
      </w:hyperlink>
      <w:r>
        <w:rPr>
          <w:rFonts w:ascii="arial" w:eastAsia="arial" w:hAnsi="arial" w:cs="arial"/>
          <w:color w:val="000000"/>
          <w:sz w:val="20"/>
          <w:lang w:val="en-US" w:eastAsia="en-US" w:bidi="ar-SA"/>
        </w:rPr>
        <w:t xml:space="preserve">, is an example where a claim under the </w:t>
      </w:r>
      <w:r>
        <w:rPr>
          <w:rFonts w:ascii="arial" w:eastAsia="arial" w:hAnsi="arial" w:cs="arial"/>
          <w:b/>
          <w:i/>
          <w:color w:val="000000"/>
          <w:sz w:val="20"/>
          <w:lang w:val="en-US" w:eastAsia="en-US" w:bidi="ar-SA"/>
        </w:rPr>
        <w:t>Charter</w:t>
      </w:r>
      <w:r>
        <w:rPr>
          <w:rFonts w:ascii="arial" w:eastAsia="arial" w:hAnsi="arial" w:cs="arial"/>
          <w:color w:val="000000"/>
          <w:sz w:val="20"/>
          <w:lang w:val="en-US" w:eastAsia="en-US" w:bidi="ar-SA"/>
        </w:rPr>
        <w:t xml:space="preserve"> was certified as a class proceeding. The plaintiffs rely on it to support their argument that they satisfy the preferable procedure requirement under s. 4(1) of the </w:t>
      </w:r>
      <w:r>
        <w:rPr>
          <w:rFonts w:ascii="arial" w:eastAsia="arial" w:hAnsi="arial" w:cs="arial"/>
          <w:b/>
          <w:i/>
          <w:color w:val="000000"/>
          <w:sz w:val="20"/>
          <w:lang w:val="en-US" w:eastAsia="en-US" w:bidi="ar-SA"/>
        </w:rPr>
        <w:t>CPA</w:t>
      </w:r>
      <w:r>
        <w:rPr>
          <w:rFonts w:ascii="arial" w:eastAsia="arial" w:hAnsi="arial" w:cs="arial"/>
          <w:color w:val="000000"/>
          <w:sz w:val="20"/>
          <w:lang w:val="en-US" w:eastAsia="en-US" w:bidi="ar-SA"/>
        </w:rPr>
        <w:t xml:space="preserve">, and certification should not be refused simply because they claim a remedy under s. 7 of the </w:t>
      </w:r>
      <w:r>
        <w:rPr>
          <w:rFonts w:ascii="arial" w:eastAsia="arial" w:hAnsi="arial" w:cs="arial"/>
          <w:b/>
          <w:i/>
          <w:color w:val="000000"/>
          <w:sz w:val="20"/>
          <w:lang w:val="en-US" w:eastAsia="en-US" w:bidi="ar-SA"/>
        </w:rPr>
        <w:t>Charter</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154</w:t>
      </w:r>
      <w:r>
        <w:rPr>
          <w:rFonts w:ascii="arial" w:eastAsia="arial" w:hAnsi="arial" w:cs="arial"/>
          <w:color w:val="000000"/>
          <w:sz w:val="20"/>
          <w:lang w:val="en-US" w:eastAsia="en-US" w:bidi="ar-SA"/>
        </w:rPr>
        <w:t xml:space="preserve">  However, I agree with Mr. Vesely's submissions that the heart of the relief sought by the plaintiffs is a declaration that the "Impugned Provisions" and the "Impugned Conduct" unjustifiably infringe s. 7 of the </w:t>
      </w:r>
      <w:r>
        <w:rPr>
          <w:rFonts w:ascii="arial" w:eastAsia="arial" w:hAnsi="arial" w:cs="arial"/>
          <w:b/>
          <w:i/>
          <w:color w:val="000000"/>
          <w:sz w:val="20"/>
          <w:lang w:val="en-US" w:eastAsia="en-US" w:bidi="ar-SA"/>
        </w:rPr>
        <w:t>Charter</w:t>
      </w:r>
      <w:r>
        <w:rPr>
          <w:rFonts w:ascii="arial" w:eastAsia="arial" w:hAnsi="arial" w:cs="arial"/>
          <w:color w:val="000000"/>
          <w:sz w:val="20"/>
          <w:lang w:val="en-US" w:eastAsia="en-US" w:bidi="ar-SA"/>
        </w:rPr>
        <w:t xml:space="preserve"> and injunctive relief consequent on that declaration. Thus, this case is distinguishable from </w:t>
      </w:r>
      <w:r>
        <w:rPr>
          <w:rFonts w:ascii="arial" w:eastAsia="arial" w:hAnsi="arial" w:cs="arial"/>
          <w:b/>
          <w:i/>
          <w:color w:val="000000"/>
          <w:sz w:val="20"/>
          <w:lang w:val="en-US" w:eastAsia="en-US" w:bidi="ar-SA"/>
        </w:rPr>
        <w:t>Nanaimo Immigrant Settlement Society</w:t>
      </w:r>
      <w:r>
        <w:rPr>
          <w:rFonts w:ascii="arial" w:eastAsia="arial" w:hAnsi="arial" w:cs="arial"/>
          <w:color w:val="000000"/>
          <w:sz w:val="20"/>
          <w:lang w:val="en-US" w:eastAsia="en-US" w:bidi="ar-SA"/>
        </w:rPr>
        <w:t xml:space="preserve">, where the main objective was to secure a monetary judgment. Typically, </w:t>
      </w:r>
      <w:r>
        <w:rPr>
          <w:rFonts w:ascii="arial" w:eastAsia="arial" w:hAnsi="arial" w:cs="arial"/>
          <w:b/>
          <w:i/>
          <w:color w:val="000000"/>
          <w:sz w:val="20"/>
          <w:lang w:val="en-US" w:eastAsia="en-US" w:bidi="ar-SA"/>
        </w:rPr>
        <w:t>Charter</w:t>
      </w:r>
      <w:r>
        <w:rPr>
          <w:rFonts w:ascii="arial" w:eastAsia="arial" w:hAnsi="arial" w:cs="arial"/>
          <w:color w:val="000000"/>
          <w:sz w:val="20"/>
          <w:lang w:val="en-US" w:eastAsia="en-US" w:bidi="ar-SA"/>
        </w:rPr>
        <w:t xml:space="preserve"> rights are litigated in the context of individual actions (rather than class proceedings). </w:t>
      </w:r>
      <w:r>
        <w:rPr>
          <w:rFonts w:ascii="arial" w:eastAsia="arial" w:hAnsi="arial" w:cs="arial"/>
          <w:b/>
          <w:i/>
          <w:color w:val="000000"/>
          <w:sz w:val="20"/>
          <w:lang w:val="en-US" w:eastAsia="en-US" w:bidi="ar-SA"/>
        </w:rPr>
        <w:t>Carter</w:t>
      </w:r>
      <w:r>
        <w:rPr>
          <w:rFonts w:ascii="arial" w:eastAsia="arial" w:hAnsi="arial" w:cs="arial"/>
          <w:color w:val="000000"/>
          <w:sz w:val="20"/>
          <w:lang w:val="en-US" w:eastAsia="en-US" w:bidi="ar-SA"/>
        </w:rPr>
        <w:t xml:space="preserve"> provides an example. Dr. Cotts' evidence would appear to support the conclusion that an RF exposure assessment can readily be made for an individual, so that, while a class proceeding is unworkable, an individual action may not be. In those circumstances, I consider invoking the procedural machinery associated with a certified class action to be unnecessary, and potentially incompatible with both judicial economy and access to justice. The administration of a class proceeding would, in my view, create much greater difficulties than those likely to be experienced if relief were sought in an individual action.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155</w:t>
      </w:r>
      <w:r>
        <w:rPr>
          <w:rFonts w:ascii="arial" w:eastAsia="arial" w:hAnsi="arial" w:cs="arial"/>
          <w:color w:val="000000"/>
          <w:sz w:val="20"/>
          <w:lang w:val="en-US" w:eastAsia="en-US" w:bidi="ar-SA"/>
        </w:rPr>
        <w:t>  Moreover, based on the record, the plaintiffs have the financial support of the CSTS and the Coalition, both of whom appear to be very strongly committed - ideologically and otherwise - to the plaintiffs' cause. As a result, the economic barriers that might otherwise exist to access to justice are not significant factors here. Given the history of the fight against smart meters, including the proceedings before the BCUC and the BCHRT, I am not persuaded that refusing certification would mean the end of the plaintiffs' fight.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156</w:t>
      </w:r>
      <w:r>
        <w:rPr>
          <w:rFonts w:ascii="arial" w:eastAsia="arial" w:hAnsi="arial" w:cs="arial"/>
          <w:color w:val="000000"/>
          <w:sz w:val="20"/>
          <w:lang w:val="en-US" w:eastAsia="en-US" w:bidi="ar-SA"/>
        </w:rPr>
        <w:t>  Third, behaviour modification is often a significant factor in the preferability analysis. However, its role here is unclear. On the plaintiffs' own pleadings, BC Hydro was simply complying with the law, and Her Majesty the Queen in Right of the Province is not a party to the action.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8. Representative plaintiffs and litigation plan: s. 4(1)(e)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157</w:t>
      </w:r>
      <w:r>
        <w:rPr>
          <w:rFonts w:ascii="arial" w:eastAsia="arial" w:hAnsi="arial" w:cs="arial"/>
          <w:color w:val="000000"/>
          <w:sz w:val="20"/>
          <w:lang w:val="en-US" w:eastAsia="en-US" w:bidi="ar-SA"/>
        </w:rPr>
        <w:t>  Mr. Vesely argues that the plaintiffs have failed to show that they would fairly and adequately represent the interests of the class. Mr. Vesely was careful to say that BC Hydro's submissions in that respect are not directed against the proposed representative plaintiffs personally, but rather against the role played by the CSTS and the Coalition in this litigation. In his submissions, Mr. Vesely was sharply critical of the conduct of both organizations in relation to this case, and described them as having made "inappropriate, irresponsible and inaccurate public statements throughout the conduct of this litigation in an attempt to draw further support for their cause, all while not answerable to the court as a representative plaintiff would be." Mr. Vesely repeats his submissions concerning the serious conflicts between the interests of the plaintiffs and other members of the proposed class, and also attacks the adequacy of the plaintiffs' litigation plan.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158</w:t>
      </w:r>
      <w:r>
        <w:rPr>
          <w:rFonts w:ascii="arial" w:eastAsia="arial" w:hAnsi="arial" w:cs="arial"/>
          <w:color w:val="000000"/>
          <w:sz w:val="20"/>
          <w:lang w:val="en-US" w:eastAsia="en-US" w:bidi="ar-SA"/>
        </w:rPr>
        <w:t>  However, since, in my opinion, the action has failed to meet other requirements under s. 4(1) and therefore cannot be certified, I do not consider it necessary to address these arguments.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9. Summary and disposition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159</w:t>
      </w:r>
      <w:r>
        <w:rPr>
          <w:rFonts w:ascii="arial" w:eastAsia="arial" w:hAnsi="arial" w:cs="arial"/>
          <w:color w:val="000000"/>
          <w:sz w:val="20"/>
          <w:lang w:val="en-US" w:eastAsia="en-US" w:bidi="ar-SA"/>
        </w:rPr>
        <w:t xml:space="preserve">  In summary, the certification application is dismissed. Although I have concluded that the Proposed NCC pleads a cause of action based on the liberty interest protected by s. 7 of the </w:t>
      </w:r>
      <w:r>
        <w:rPr>
          <w:rFonts w:ascii="arial" w:eastAsia="arial" w:hAnsi="arial" w:cs="arial"/>
          <w:b/>
          <w:i/>
          <w:color w:val="000000"/>
          <w:sz w:val="20"/>
          <w:lang w:val="en-US" w:eastAsia="en-US" w:bidi="ar-SA"/>
        </w:rPr>
        <w:t>Charter</w:t>
      </w:r>
      <w:r>
        <w:rPr>
          <w:rFonts w:ascii="arial" w:eastAsia="arial" w:hAnsi="arial" w:cs="arial"/>
          <w:color w:val="000000"/>
          <w:sz w:val="20"/>
          <w:lang w:val="en-US" w:eastAsia="en-US" w:bidi="ar-SA"/>
        </w:rPr>
        <w:t xml:space="preserve">, and that the proposed class description could probably be redrafted in an acceptable way, I have concluded that the plaintiffs have failed to meet the requirement under </w:t>
      </w:r>
      <w:r>
        <w:rPr>
          <w:rFonts w:ascii="arial" w:eastAsia="arial" w:hAnsi="arial" w:cs="arial"/>
          <w:b/>
          <w:i/>
          <w:color w:val="000000"/>
          <w:sz w:val="20"/>
          <w:lang w:val="en-US" w:eastAsia="en-US" w:bidi="ar-SA"/>
        </w:rPr>
        <w:t>CPA</w:t>
      </w:r>
      <w:r>
        <w:rPr>
          <w:rFonts w:ascii="arial" w:eastAsia="arial" w:hAnsi="arial" w:cs="arial"/>
          <w:color w:val="000000"/>
          <w:sz w:val="20"/>
          <w:lang w:val="en-US" w:eastAsia="en-US" w:bidi="ar-SA"/>
        </w:rPr>
        <w:t xml:space="preserve"> s. 4(1)(c) regarding certifiable common issues. This is fatal to the certification application.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160</w:t>
      </w:r>
      <w:r>
        <w:rPr>
          <w:rFonts w:ascii="arial" w:eastAsia="arial" w:hAnsi="arial" w:cs="arial"/>
          <w:color w:val="000000"/>
          <w:sz w:val="20"/>
          <w:lang w:val="en-US" w:eastAsia="en-US" w:bidi="ar-SA"/>
        </w:rPr>
        <w:t>  The plaintiffs' application to amend the notice of civil claim and to add parties as plaintiffs is also dismissed. However, the plaintiffs (if they wish) have leave to apply to amend the notice of civil claim (to a form consistent with these Reasons) and add parties, providing they do so within 60 days of the date of these Reasons.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E.J. ADAIR J.</w:t>
      </w:r>
      <w:r>
        <w:rPr>
          <w:rFonts w:ascii="arial" w:eastAsia="arial" w:hAnsi="arial" w:cs="arial"/>
          <w:sz w:val="20"/>
          <w:lang w:val="en-US" w:eastAsia="en-US" w:bidi="ar-SA"/>
        </w:rPr>
        <w:cr/>
      </w:r>
    </w:p>
    <w:p>
      <w:pPr>
        <w:rPr>
          <w:rFonts w:ascii="arial" w:eastAsia="arial" w:hAnsi="arial" w:cs="arial"/>
          <w:sz w:val="20"/>
          <w:lang w:val="en-US" w:eastAsia="en-US" w:bidi="ar-SA"/>
        </w:rPr>
      </w:pPr>
    </w:p>
    <w:p>
      <w:pPr>
        <w:ind w:left="200"/>
        <w:rPr>
          <w:rFonts w:ascii="arial" w:eastAsia="arial" w:hAnsi="arial" w:cs="arial"/>
          <w:sz w:val="20"/>
          <w:lang w:val="en-US" w:eastAsia="en-US" w:bidi="ar-SA"/>
        </w:rPr>
        <w:sectPr>
          <w:type w:val="continuous"/>
          <w:pgMar w:top="840" w:right="1000" w:bottom="840" w:left="1000" w:header="400" w:footer="400"/>
          <w:pgNumType w:fmt="decimal"/>
          <w:cols w:space="720"/>
        </w:sectPr>
      </w:pPr>
      <w:r>
        <w:rPr>
          <w:rFonts w:ascii="arial" w:eastAsia="arial" w:hAnsi="arial" w:cs="arial"/>
          <w:sz w:val="20"/>
          <w:lang w:val="en-US" w:eastAsia="en-US" w:bidi="ar-SA"/>
        </w:rPr>
        <w:br/>
      </w:r>
      <w:r>
        <w:pict>
          <v:line id="_x0000_s1244" style="position:absolute;z-index:251892736" from="0,10pt" to="512pt,10pt" strokecolor="black" strokeweight="1pt">
            <v:stroke linestyle="single"/>
          </v:line>
        </w:pict>
      </w:r>
      <w:r>
        <w:rPr>
          <w:b/>
          <w:color w:val="767676"/>
          <w:sz w:val="16"/>
          <w:lang w:val="en-US" w:eastAsia="en-US" w:bidi="ar-SA"/>
        </w:rPr>
        <w:t>End of Document</w:t>
      </w:r>
    </w:p>
    <w:p>
      <w:pPr>
        <w:rPr>
          <w:rFonts w:ascii="arial" w:eastAsia="arial" w:hAnsi="arial" w:cs="arial"/>
          <w:sz w:val="20"/>
          <w:lang w:val="en-US" w:eastAsia="en-US" w:bidi="ar-SA"/>
        </w:rPr>
        <w:sectPr>
          <w:headerReference w:type="even" r:id="rId982"/>
          <w:headerReference w:type="default" r:id="rId983"/>
          <w:footerReference w:type="even" r:id="rId984"/>
          <w:footerReference w:type="default" r:id="rId985"/>
          <w:headerReference w:type="first" r:id="rId986"/>
          <w:footerReference w:type="first" r:id="rId987"/>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eastAsia="arial" w:hAnsi="Arial" w:cs="Arial"/>
          <w:b/>
          <w:bCs/>
          <w:kern w:val="32"/>
          <w:sz w:val="32"/>
          <w:szCs w:val="32"/>
          <w:lang w:val="en-US" w:eastAsia="en-US" w:bidi="ar-SA"/>
        </w:rPr>
      </w:pPr>
      <w:hyperlink r:id="rId988" w:history="1">
        <w:r>
          <w:rPr>
            <w:rFonts w:ascii="arial" w:eastAsia="arial" w:hAnsi="arial" w:cs="arial"/>
            <w:b/>
            <w:bCs/>
            <w:i/>
            <w:color w:val="0077CC"/>
            <w:kern w:val="32"/>
            <w:sz w:val="28"/>
            <w:szCs w:val="32"/>
            <w:u w:val="single"/>
            <w:shd w:val="clear" w:color="auto" w:fill="FFFFFF"/>
            <w:lang w:val="en-US" w:eastAsia="en-US" w:bidi="ar-SA"/>
          </w:rPr>
          <w:t>Gohringer v. Hernandez-Lazo, [2009] B.C.J. No. 615</w:t>
        </w:r>
      </w:hyperlink>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Judgments</w:t>
      </w:r>
    </w:p>
    <w:p>
      <w:pPr>
        <w:rPr>
          <w:rFonts w:ascii="arial" w:eastAsia="arial" w:hAnsi="arial" w:cs="arial"/>
          <w:sz w:val="20"/>
          <w:lang w:val="en-US" w:eastAsia="en-US" w:bidi="ar-SA"/>
        </w:rPr>
      </w:pP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New Westminster, British Columbia</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L.D. Russell J.</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Heard: February 28-29, 2008 and November 6-7, 2008.</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Judgment: March 30, 2009.</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Docket: M102533</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Registry: New Westminster</w:t>
      </w:r>
    </w:p>
    <w:p>
      <w:pPr>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r>
        <w:rPr>
          <w:rFonts w:ascii="arial" w:eastAsia="arial" w:hAnsi="arial" w:cs="arial"/>
          <w:b/>
          <w:color w:val="000000"/>
          <w:sz w:val="20"/>
          <w:lang w:val="en-US" w:eastAsia="en-US" w:bidi="ar-SA"/>
        </w:rPr>
        <w:t>[2009] B.C.J. No. 615</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2009 BCSC 420</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176 A.C.W.S. (3d) 712</w:t>
      </w:r>
    </w:p>
    <w:p>
      <w:pPr>
        <w:spacing w:before="120" w:line="260" w:lineRule="atLeast"/>
        <w:rPr>
          <w:rFonts w:ascii="arial" w:eastAsia="arial" w:hAnsi="arial" w:cs="arial"/>
          <w:sz w:val="20"/>
          <w:lang w:val="en-US" w:eastAsia="en-US" w:bidi="ar-SA"/>
        </w:rPr>
      </w:pPr>
      <w:r>
        <w:rPr>
          <w:rFonts w:ascii="arial" w:eastAsia="arial" w:hAnsi="arial" w:cs="arial"/>
          <w:color w:val="000000"/>
          <w:sz w:val="20"/>
          <w:lang w:val="en-US" w:eastAsia="en-US" w:bidi="ar-SA"/>
        </w:rPr>
        <w:t>Between Cheri-Lynne Gohringer, Plaintiff, and Enilson Hernandez-Lazo and McRae's Power Sweeping Ltd., Defendants</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(117 paras.)</w:t>
      </w:r>
    </w:p>
    <w:p>
      <w:pPr>
        <w:keepNext/>
        <w:spacing w:before="12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Case Summary</w:t>
      </w:r>
    </w:p>
    <w:p>
      <w:pPr>
        <w:spacing w:line="60" w:lineRule="exact"/>
        <w:rPr>
          <w:rFonts w:ascii="arial" w:eastAsia="arial" w:hAnsi="arial" w:cs="arial"/>
          <w:sz w:val="20"/>
          <w:lang w:val="en-US" w:eastAsia="en-US" w:bidi="ar-SA"/>
        </w:rPr>
      </w:pPr>
      <w:r>
        <w:pict>
          <v:line id="_x0000_s1245" style="position:absolute;z-index:251705344"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bookmarkStart w:id="309" w:name="Keywords_44"/>
      <w:bookmarkEnd w:id="309"/>
      <w:r>
        <w:rPr>
          <w:rFonts w:ascii="arial" w:eastAsia="arial" w:hAnsi="arial" w:cs="arial"/>
          <w:b/>
          <w:color w:val="000000"/>
          <w:sz w:val="20"/>
          <w:lang w:val="en-US" w:eastAsia="en-US" w:bidi="ar-SA"/>
        </w:rPr>
        <w:t>Damages — Physical and psychological injuries — Physical injuries — Body injuries — Chest — Back and spine — Neck — Psychological injuries — Emotional and mental distress — Depression — Phobia — Considerations impacting on award — Pre-existing injury — Plaintiff awarded damages of $99,863 for personal injuries suffered in motor vehicle accident — Plaintiff suffered injuries to her ribs and left shoulder, sprain to her neck and back and suffered from depression, insomnia and an anxiety disorder — Plaintiff had pre-existing injuries and suffered a knee injury post accident — Plaintiff required to give up skating instructor job — Plaintiff's non-pecuniary damages of $75,000 were deducted by 10 per cent to reflect pre-existing condition and subsequent knee injury — Damages of $18,000 awarded for loss of capacity and $ $13,058 for loss of income.</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Damages — Types of damages — General damages — For personal injuries — Calculation — Contingencies — Considerations — Aggravation of pre-existing injury — Loss of earning capacity — Retroactive loss of income — Non-pecuniary loss — Pain and suffering — Affecting recreational abilities — Plaintiff awarded damages of $99,863 for personal injuries suffered in motor vehicle accident — Plaintiff suffered injuries to her ribs and left shoulder, sprain to her neck and back and suffered from depression, insomnia and an anxiety disorder — Plaintiff had pre-existing injuries and suffered a knee injury post accident — Plaintiff required to give up skating instructor job — Plaintiff's non-pecuniary damages of $75,000 were deducted by 10 per cent to reflect pre-existing condition and subsequent knee injury — Damages of $18,000 awarded for loss of capacity and $ $13,058 for loss of income.</w:t>
      </w:r>
    </w:p>
    <w:p>
      <w:pPr>
        <w:rPr>
          <w:rFonts w:ascii="arial" w:eastAsia="arial" w:hAnsi="arial" w:cs="arial"/>
          <w:sz w:val="20"/>
          <w:lang w:val="en-US" w:eastAsia="en-US" w:bidi="ar-SA"/>
        </w:rPr>
      </w:pPr>
    </w:p>
    <w:tbl>
      <w:tblPr>
        <w:tblStyle w:val="TableNormal"/>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
      <w:tblGrid>
        <w:gridCol w:w="10225"/>
      </w:tblGrid>
      <w:tr>
        <w:tblPrEx>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Ex>
        <w:tc>
          <w:tcPr/>
          <w:p>
            <w:pPr>
              <w:rPr>
                <w:rFonts w:ascii="arial" w:eastAsia="arial" w:hAnsi="arial" w:cs="arial"/>
                <w:sz w:val="20"/>
                <w:lang w:val="en-US" w:eastAsia="en-US" w:bidi="ar-SA"/>
              </w:rPr>
            </w:pPr>
            <w:bookmarkStart w:id="310" w:name="Case Summary_42"/>
            <w:bookmarkEnd w:id="310"/>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Assessment of damages in a personal injury action. The plaintiff suffered injuries to her ribs and left shoulder, and a sprain to her neck and back in a 2005 motor vehicle accident. She also argued she suffered from depression, insomnia and an anxiety disorder. After the accident, the plaintiff suffered a knee injury. By the time of trial, the plaintiff continued to have symptoms, primarily in the area of the left shoulder related to the biceps and tendonitis, and pain in the area of the left anterior chest wall related to costochondritis. Her emotional symptoms also continued. At the time of the accident, the plaintiff was a skating instructor. As a result of the physical limitations following from her injuries, the plaintiff obtained other less physically demanding work and now worked as a customer service agent. The plaintiff had mild degeneration in her cervical spine along with a neck injury from a 2003 accident both of which were exacerbated by the postures required in her skating instructor job. The plaintiff's lifestyle had been adversely affected in a number of ways and she now required assistance in performing various household and personal tasks. </w:t>
            </w:r>
            <w:r>
              <w:rPr>
                <w:rFonts w:ascii="arial" w:eastAsia="arial" w:hAnsi="arial" w:cs="arial"/>
                <w:sz w:val="20"/>
                <w:lang w:val="en-US" w:eastAsia="en-US" w:bidi="ar-SA"/>
              </w:rPr>
              <w:cr/>
            </w:r>
          </w:p>
          <w:p>
            <w:pPr>
              <w:spacing w:before="120" w:line="260" w:lineRule="atLeast"/>
              <w:ind w:left="240"/>
              <w:jc w:val="both"/>
              <w:rPr>
                <w:rFonts w:ascii="arial" w:eastAsia="arial" w:hAnsi="arial" w:cs="arial"/>
                <w:sz w:val="20"/>
                <w:lang w:val="en-US" w:eastAsia="en-US" w:bidi="ar-SA"/>
              </w:rPr>
            </w:pPr>
            <w:bookmarkStart w:id="311" w:name="Holdings of Court_36"/>
            <w:bookmarkEnd w:id="311"/>
            <w:r>
              <w:rPr>
                <w:rFonts w:ascii="arial" w:eastAsia="arial" w:hAnsi="arial" w:cs="arial"/>
                <w:color w:val="000000"/>
                <w:sz w:val="20"/>
                <w:lang w:val="en-US" w:eastAsia="en-US" w:bidi="ar-SA"/>
              </w:rPr>
              <w:t>HELD: Plaintiff awarded damages of $99,863.</w:t>
            </w:r>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The plaintiff suffered mild to moderate injuries as a result of the accident and would be affected by the physical injuries for the foreseeable future. The prognosis indicated that the plaintiff might continue to suffer pain in her rib cage area for a number of years. The plaintiff continued to have panic attacks while driving in certain situations. It would take a number of months before this problem could be controlled and subsequently overcome. There was a substantial connection between the driving anxiety and the accident. The injuries suffered affected the plaintiff's ability to enjoy sport activities with her family, contributed to her inability to continue her skating job and caused her emotional difficulties. There was a real and significant chance that the plaintiff's pre-existing injuries and the injury suffered after the accident would have shortened the plaintiff's career as a skating instructor, regardless of the injuries from the accident. The plaintiff's non-pecuniary damages were assessed at $75,000. A 10 per cent deduction to reflect the plaintiff's pre-existing condition and the effect of the subsequent knee injury was made. The future care claim was dismissed as the plaintiff had not satisfied her onus to provide medical justification for her future cost of care claim. The plaintiff's loss of income was assessed at $13,058 as she missed five months of work after the accident and was not able to work all scheduled hours thereafter due to her injuries for the accident. The plaintiff was awarded $20,000 for loss of capacity less 10 per cent. </w:t>
            </w:r>
            <w:r>
              <w:rPr>
                <w:rFonts w:ascii="arial" w:eastAsia="arial" w:hAnsi="arial" w:cs="arial"/>
                <w:sz w:val="20"/>
                <w:lang w:val="en-US" w:eastAsia="en-US" w:bidi="ar-SA"/>
              </w:rPr>
              <w:cr/>
            </w:r>
          </w:p>
          <w:p>
            <w:pPr>
              <w:rPr>
                <w:rFonts w:ascii="arial" w:eastAsia="arial" w:hAnsi="arial" w:cs="arial"/>
                <w:sz w:val="20"/>
                <w:lang w:val="en-US" w:eastAsia="en-US" w:bidi="ar-SA"/>
              </w:rPr>
            </w:pPr>
          </w:p>
        </w:tc>
      </w:tr>
    </w:tbl>
    <w:p>
      <w:pPr>
        <w:jc w:val="both"/>
        <w:rPr>
          <w:rFonts w:ascii="arial" w:eastAsia="arial" w:hAnsi="arial" w:cs="arial"/>
          <w:sz w:val="20"/>
          <w:lang w:val="en-US" w:eastAsia="en-US" w:bidi="ar-SA"/>
        </w:rPr>
      </w:pPr>
      <w:bookmarkStart w:id="312" w:name="Counsel_44"/>
      <w:bookmarkEnd w:id="312"/>
      <w:r>
        <w:rPr>
          <w:rFonts w:ascii="arial" w:eastAsia="arial" w:hAnsi="arial" w:cs="arial"/>
          <w:sz w:val="20"/>
          <w:lang w:val="en-US" w:eastAsia="en-US" w:bidi="ar-SA"/>
        </w:rPr>
        <w:br/>
      </w:r>
    </w:p>
    <w:p>
      <w:pPr>
        <w:keepNext/>
        <w:spacing w:before="24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Counsel</w:t>
      </w:r>
    </w:p>
    <w:p>
      <w:pPr>
        <w:spacing w:line="60" w:lineRule="exact"/>
        <w:rPr>
          <w:rFonts w:ascii="arial" w:eastAsia="arial" w:hAnsi="arial" w:cs="arial"/>
          <w:sz w:val="20"/>
          <w:lang w:val="en-US" w:eastAsia="en-US" w:bidi="ar-SA"/>
        </w:rPr>
      </w:pPr>
      <w:r>
        <w:pict>
          <v:line id="_x0000_s1246" style="position:absolute;z-index:251756544"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Counsel for the Plaintiff: G.A. Smith.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Counsel for the Defendants: S. Leong.</w:t>
      </w:r>
      <w:r>
        <w:rPr>
          <w:rFonts w:ascii="arial" w:eastAsia="arial" w:hAnsi="arial" w:cs="arial"/>
          <w:sz w:val="20"/>
          <w:lang w:val="en-US" w:eastAsia="en-US" w:bidi="ar-SA"/>
        </w:rPr>
        <w:cr/>
      </w:r>
    </w:p>
    <w:p>
      <w:pPr>
        <w:spacing w:after="240"/>
        <w:rPr>
          <w:rFonts w:ascii="arial" w:eastAsia="arial" w:hAnsi="arial" w:cs="arial"/>
          <w:sz w:val="20"/>
          <w:lang w:val="en-US" w:eastAsia="en-US" w:bidi="ar-SA"/>
        </w:rPr>
      </w:pPr>
      <w:bookmarkStart w:id="313" w:name="Judgment_45"/>
      <w:bookmarkEnd w:id="313"/>
      <w:r>
        <w:pict>
          <v:line id="_x0000_s1247" style="position:absolute;z-index:251807744" from="0,12pt" to="512pt,12pt" strokecolor="#009ddb" strokeweight="1.5pt">
            <v:stroke linestyle="single"/>
          </v:line>
        </w:pict>
      </w:r>
    </w:p>
    <w:p>
      <w:pPr>
        <w:spacing w:before="120" w:line="260" w:lineRule="atLeast"/>
        <w:jc w:val="center"/>
        <w:rPr>
          <w:rFonts w:ascii="arial" w:eastAsia="arial" w:hAnsi="arial" w:cs="arial"/>
          <w:sz w:val="20"/>
          <w:lang w:val="en-US" w:eastAsia="en-US" w:bidi="ar-SA"/>
        </w:rPr>
      </w:pPr>
      <w:r>
        <w:rPr>
          <w:rFonts w:ascii="arial" w:eastAsia="arial" w:hAnsi="arial" w:cs="arial"/>
          <w:b/>
          <w:color w:val="000000"/>
          <w:sz w:val="20"/>
          <w:lang w:val="en-US" w:eastAsia="en-US" w:bidi="ar-SA"/>
        </w:rPr>
        <w:t>Reasons for Judgment</w:t>
      </w:r>
      <w:r>
        <w:rPr>
          <w:rFonts w:ascii="arial" w:eastAsia="arial" w:hAnsi="arial" w:cs="arial"/>
          <w:sz w:val="20"/>
          <w:lang w:val="en-US" w:eastAsia="en-US" w:bidi="ar-SA"/>
        </w:rPr>
        <w:cr/>
      </w:r>
    </w:p>
    <w:p>
      <w:pPr>
        <w:rPr>
          <w:rFonts w:ascii="arial" w:eastAsia="arial" w:hAnsi="arial" w:cs="arial"/>
          <w:sz w:val="20"/>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2654"/>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rFonts w:ascii="arial" w:eastAsia="arial" w:hAnsi="arial" w:cs="arial"/>
                <w:sz w:val="20"/>
                <w:lang w:val="en-US" w:eastAsia="en-US" w:bidi="ar-SA"/>
              </w:rPr>
            </w:pPr>
            <w:bookmarkStart w:id="314" w:name="L.D. RUSSELL J."/>
            <w:bookmarkEnd w:id="314"/>
            <w:r>
              <w:rPr>
                <w:rFonts w:ascii="arial" w:eastAsia="arial" w:hAnsi="arial" w:cs="arial"/>
                <w:b/>
                <w:color w:val="000000"/>
                <w:sz w:val="30"/>
                <w:lang w:val="en-US" w:eastAsia="en-US" w:bidi="ar-SA"/>
              </w:rPr>
              <w:t>L.D. RUSSELL J.</w:t>
            </w:r>
          </w:p>
        </w:tc>
      </w:tr>
    </w:tbl>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sz w:val="20"/>
          <w:lang w:val="en-US" w:eastAsia="en-US" w:bidi="ar-SA"/>
        </w:rPr>
        <w:br/>
      </w:r>
      <w:r>
        <w:rPr>
          <w:rFonts w:ascii="arial" w:eastAsia="arial" w:hAnsi="arial" w:cs="arial"/>
          <w:b/>
          <w:color w:val="000000"/>
          <w:sz w:val="20"/>
          <w:lang w:val="en-US" w:eastAsia="en-US" w:bidi="ar-SA"/>
        </w:rPr>
        <w:t>Introduction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Liability is not at issue in this motor vehicle accident (the "Accident") which occurred on April 7, 2005. On that date, the plaintiff's car was hit head-on by a street sweeper driven by the defendant.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Quantum of damages is at issue.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Ms. Gohringer suffered injuries to her ribs and left shoulder, and a sprain to her neck and back. She also claims for depression, insomnia and an anxiety disorder, which she states she suffers from especially when she is in a vehicle.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As of the date of trial which began in February 2008 and concluded in November 2008, she continued to have symptoms, primarily in the area of the left shoulder related to the biceps and tendonitis, and pain in the area of the left anterior chest wall related to costochondritis (inflammation in the area where the ribs meet the sternum). Her emotional symptoms have also continued.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At the date of the Accident, Ms. Gohringer was a skating instructor to local children. She organized the program, went to schools to market it, did the on-ice set up, and prepared report cards. She also performed administrative tasks and assisted other skating instructors as needed. She enjoyed her job, particularly because she had been instrumental in the development of the skating program.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As a result of the physical limitations following from her injuries, Ms. Gohringer sought other less physically demanding work. She found such work as an administrator with the City of Langley at the recreation centre. However, despite the fact that she earned almost three dollars an hour more at the new job than she did as a skating instructor, she missed the interaction with children that she had had in her former position. Subsequently, she changed positions and now works at City Hall as a customer service agent.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Ms. Gohringer had mild degeneration in her cervical spine along with a neck injury from an earlier accident in June 2003 (the "2003 accident") both of which were exacerbated by the postures required in her skating instructor job. Her doctor had commented in January 2005, four months before the Accident, that her job was not the "best activity" for someone with her problems.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Issues</w:t>
      </w:r>
      <w:r>
        <w:rPr>
          <w:rFonts w:ascii="arial" w:eastAsia="arial" w:hAnsi="arial" w:cs="arial"/>
          <w:sz w:val="20"/>
          <w:lang w:val="en-US" w:eastAsia="en-US" w:bidi="ar-SA"/>
        </w:rPr>
        <w:cr/>
      </w:r>
    </w:p>
    <w:p>
      <w:pPr>
        <w:numPr>
          <w:numId w:val="15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What is the appropriate quantum for non-pecuniary damages?</w:t>
      </w:r>
    </w:p>
    <w:p>
      <w:pPr>
        <w:numPr>
          <w:numId w:val="15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What is the appropriate quantum for special damages?</w:t>
      </w:r>
    </w:p>
    <w:p>
      <w:pPr>
        <w:numPr>
          <w:numId w:val="15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What past loss of income due to the Accident has the plaintiff suffered?</w:t>
      </w:r>
    </w:p>
    <w:p>
      <w:pPr>
        <w:numPr>
          <w:numId w:val="15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Is there a loss of capacity with respect to the plaintiff's ability to earn income and perform domestic tasks in the future?</w:t>
      </w:r>
    </w:p>
    <w:p>
      <w:pPr>
        <w:numPr>
          <w:numId w:val="15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What is the effect, if any, of the plaintiff's pre-existing conditions and injury following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Facts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i/>
          <w:color w:val="000000"/>
          <w:sz w:val="20"/>
          <w:lang w:val="en-US" w:eastAsia="en-US" w:bidi="ar-SA"/>
        </w:rPr>
        <w:t>Pre-Accident Condition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The plaintiff resides in Langley, British Columbia with her husband and two children. Following her graduation from high school she attended Kwantlen College where she pursued general studies for two years and obtained a certificate in office administration. After working in a number of different administrative positions, she began working in Surrey, British Columbia at an ice rink where she developed, promoted and taught various types of skating and hockey lessons.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She then began work in Langley at a number of skating and roller rinks and in 2000 obtained a position at Sportsplex, West Cost Roller &amp; Ice Hockey Ltd. ("Sportsplex"), an ice rink facility in Langley, as the school program coordinator and instructor. This position had a variety of responsibilities, as stated previously, and she earned $13 per hour.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Her days at Sportsplex generally involved teaching three to four skating classes that were approximately one hour in length. The classes were designed for a variety of age and skill levels. Approximately 150 to 180 children would participate in these classes on a daily basis.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In 1993, the plaintiff filed a Workers Compensation Board ("WCB") claim as a result of a workplace injury to her upper and mid back. This injury resolved itself within a few months and was not affecting the plaintiff at the time of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In June 2003, the plaintiff was involved in a motor vehicle accident when she was rear-ended. It was a hard-impact crash and resulted in injuries to her neck and caused headaches and dizziness. She also had chest pain in the area where her seat belt was situated, on the left side.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She missed one to four months of work. She attended physiotherapy for her neck, which had completed by the time of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Upon her return to work she did not require any modifications to her position or use prescription pain medication. However, on days where she taught four classes, she would experience some neck pain if the classes involved younger children, who often required assistance on the ice and necessitated her to bend down frequently. The neck pain would occur approximately once per week but she was able to continue working and would take Advil for pain relief or have a brief rest. Generally, the pain lasted 15 to 20 minutes. She last attended her family physician, Dr. MacIntosh, for attention to these injuries in November 2004.</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w:t>
      </w:r>
      <w:r>
        <w:rPr>
          <w:rFonts w:ascii="arial" w:eastAsia="arial" w:hAnsi="arial" w:cs="arial"/>
          <w:color w:val="000000"/>
          <w:sz w:val="20"/>
          <w:lang w:val="en-US" w:eastAsia="en-US" w:bidi="ar-SA"/>
        </w:rPr>
        <w:t>  Prior to the Accident, the plaintiff stated she was in "great" emotional and physical health. The evidence demonstrated that the plaintiff was very active in both her professional and personal life. She was heavily involved with her children's sporting activities and attended games and practices. As well, she participated in a number of extra-curricular activities, including: biking, running, wakeboarding, water-skiing, fishing, walking the dog and driving the family boat. She also assumed many responsibilities both inside and outside the family home, including: gardening, general yard maintenance, laundry, cleaning and cooking.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i/>
          <w:color w:val="000000"/>
          <w:sz w:val="20"/>
          <w:lang w:val="en-US" w:eastAsia="en-US" w:bidi="ar-SA"/>
        </w:rPr>
        <w:t>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w:t>
      </w:r>
      <w:r>
        <w:rPr>
          <w:rFonts w:ascii="arial" w:eastAsia="arial" w:hAnsi="arial" w:cs="arial"/>
          <w:color w:val="000000"/>
          <w:sz w:val="20"/>
          <w:lang w:val="en-US" w:eastAsia="en-US" w:bidi="ar-SA"/>
        </w:rPr>
        <w:t>  The plaintiff was sitting in her Ford pick-up truck idling near the 200th Street intersection when a street cleaning vehicle lost control and hit her vehicle head on, damaging the front left portion of her truck. She was wearing a seat belt at the time. The street cleaning vehicle did not hit any other vehicles. Damage to her vehicle was estimated to be approximately $8,990.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w:t>
      </w:r>
      <w:r>
        <w:rPr>
          <w:rFonts w:ascii="arial" w:eastAsia="arial" w:hAnsi="arial" w:cs="arial"/>
          <w:color w:val="000000"/>
          <w:sz w:val="20"/>
          <w:lang w:val="en-US" w:eastAsia="en-US" w:bidi="ar-SA"/>
        </w:rPr>
        <w:t>  As a result of the impact, she left the scene by ambulance and was taken to Langley Memorial Hospital. She experienced a number of injuries to her chest and rib area and felt soreness in her left shoulder, in the location where her seatbelt was situated; x-rays were taken at the hospital. She described feeling overwhelmed, anxious, upset and shocked in the immediate aftermath of the Accident. She was released that night and took Tylenol, as well as iced her shoulder and chest.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w:t>
      </w:r>
      <w:r>
        <w:rPr>
          <w:rFonts w:ascii="arial" w:eastAsia="arial" w:hAnsi="arial" w:cs="arial"/>
          <w:color w:val="000000"/>
          <w:sz w:val="20"/>
          <w:lang w:val="en-US" w:eastAsia="en-US" w:bidi="ar-SA"/>
        </w:rPr>
        <w:t>  She attended her family physician the next morning and was referred to physiotherapy as well as a psychologist and pain specialist. She attended physiotherapy from April 15, 2005 until September 28, 2005.</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i/>
          <w:color w:val="000000"/>
          <w:sz w:val="20"/>
          <w:lang w:val="en-US" w:eastAsia="en-US" w:bidi="ar-SA"/>
        </w:rPr>
        <w:t>Post-Accident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w:t>
      </w:r>
      <w:r>
        <w:rPr>
          <w:rFonts w:ascii="arial" w:eastAsia="arial" w:hAnsi="arial" w:cs="arial"/>
          <w:color w:val="000000"/>
          <w:sz w:val="20"/>
          <w:lang w:val="en-US" w:eastAsia="en-US" w:bidi="ar-SA"/>
        </w:rPr>
        <w:t>  The plaintiff claims she continues to suffer from a number of physical and non-physical injuries that resulted from the Accident. These had, and continue to have, significant effects on her professional and personal life. While a number of injuries healed within a few months after the Accident, including her back, and chest area, she continues to experience pain in her rib cage area, upper left shoulder, and area under her left breast that radiates into the collar bone area. She also experiences anxiety while driving (or being driven) in certain situations, as well as insomnia and depression.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w:t>
      </w:r>
      <w:r>
        <w:rPr>
          <w:rFonts w:ascii="arial" w:eastAsia="arial" w:hAnsi="arial" w:cs="arial"/>
          <w:color w:val="000000"/>
          <w:sz w:val="20"/>
          <w:lang w:val="en-US" w:eastAsia="en-US" w:bidi="ar-SA"/>
        </w:rPr>
        <w:t>  The plaintiff returned to work in mid-August 2005 at full-time hours, but soon realized that she could not maintain those hours due to the effects of her injuries. From September 2005 until June 2006 she was unable to teach pre-school skating classes, which comprised 1.5 hours per day. Her injuries were aggravated through a number of duties, including: helping children up off the ice, tying skates and dragging equipment bags onto the ice. The plaintiff did not return to full-time hours following the Accident prior to leaving her position at Sportsplex.</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w:t>
      </w:r>
      <w:r>
        <w:rPr>
          <w:rFonts w:ascii="arial" w:eastAsia="arial" w:hAnsi="arial" w:cs="arial"/>
          <w:color w:val="000000"/>
          <w:sz w:val="20"/>
          <w:lang w:val="en-US" w:eastAsia="en-US" w:bidi="ar-SA"/>
        </w:rPr>
        <w:t>  The injuries have led to a number of disruptions and limitations to her personal life. For example, her ribs are painful when she performs different exercises, pushes a shopping cart or walks fast. She finds it painful to wear a brassiere. Her shoulder is painful when she attempts to lift or reach for something above her head or carry a heavy item, when shopping and holding items in her arms, or if she engages in certain motions (such as swinging a golf club). Further, she now requires her daughter's assistance to blow-dry her hair.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w:t>
      </w:r>
      <w:r>
        <w:rPr>
          <w:rFonts w:ascii="arial" w:eastAsia="arial" w:hAnsi="arial" w:cs="arial"/>
          <w:color w:val="000000"/>
          <w:sz w:val="20"/>
          <w:lang w:val="en-US" w:eastAsia="en-US" w:bidi="ar-SA"/>
        </w:rPr>
        <w:t>  She also requires more help around the family home with various tasks, including: gardening, vacuuming, washing floors, walking the dog and lifting clothes out of the washing machine. Her sleeping patterns are often disrupted and she tosses and turns frequently, requiring her to sleep on a couch or mat in the living room so as to not disturb her husband. Consequently, she often does not feel rested in the morning.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w:t>
      </w:r>
      <w:r>
        <w:rPr>
          <w:rFonts w:ascii="arial" w:eastAsia="arial" w:hAnsi="arial" w:cs="arial"/>
          <w:color w:val="000000"/>
          <w:sz w:val="20"/>
          <w:lang w:val="en-US" w:eastAsia="en-US" w:bidi="ar-SA"/>
        </w:rPr>
        <w:t>  A number of extra-curricular activities are similarly impacted. She experiences pain the day following a run, fast walk or after certain exercises. She cannot participate in water sport activities or camping-related activities, such as setting up a tent or gathering firewood.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w:t>
      </w:r>
      <w:r>
        <w:rPr>
          <w:rFonts w:ascii="arial" w:eastAsia="arial" w:hAnsi="arial" w:cs="arial"/>
          <w:color w:val="000000"/>
          <w:sz w:val="20"/>
          <w:lang w:val="en-US" w:eastAsia="en-US" w:bidi="ar-SA"/>
        </w:rPr>
        <w:t>  The plaintiff also claims that she suffers from an anxiety disorder that results in panic attacks when driving or being driven in a car. The attacks commenced after the Accident and cause the plaintiff to feel nervous, anxious, or scared; the attacks generally occur on a daily basis. When driving, if she has a panic attack her palms perspire, her pulse increases rapidly, and she becomes dizzy, forcing her to pull over in order to regain her composure and relax. These panic attacks can be onset by a number of factors, including: a car making a left-hand turn towards her, heavy traffic, or unknown traffic routes. When she is a passenger with family or friends, if she experiences such an attack she silently endures the effects as she is embarrassed by this symptom. The panic attacks are more frequent and more severe when other people are driving.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w:t>
      </w:r>
      <w:r>
        <w:rPr>
          <w:rFonts w:ascii="arial" w:eastAsia="arial" w:hAnsi="arial" w:cs="arial"/>
          <w:color w:val="000000"/>
          <w:sz w:val="20"/>
          <w:lang w:val="en-US" w:eastAsia="en-US" w:bidi="ar-SA"/>
        </w:rPr>
        <w:t>  The plaintiff only disclosed these attacks to her family physician in February 2007, approximately 22 months after the Accident, because she was embarrassed by the condition. She has since had four counselling sessions to learn relaxation techniques to control the effects. She has taken anxiety medication as well.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w:t>
      </w:r>
      <w:r>
        <w:rPr>
          <w:rFonts w:ascii="arial" w:eastAsia="arial" w:hAnsi="arial" w:cs="arial"/>
          <w:color w:val="000000"/>
          <w:sz w:val="20"/>
          <w:lang w:val="en-US" w:eastAsia="en-US" w:bidi="ar-SA"/>
        </w:rPr>
        <w:t>  The plaintiff acknowledged that she previously experienced anxiety prior to the Accident in 2000. In that year there were two deaths in her and her husband's family and the family dog passed away.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w:t>
      </w:r>
      <w:r>
        <w:rPr>
          <w:rFonts w:ascii="arial" w:eastAsia="arial" w:hAnsi="arial" w:cs="arial"/>
          <w:color w:val="000000"/>
          <w:sz w:val="20"/>
          <w:lang w:val="en-US" w:eastAsia="en-US" w:bidi="ar-SA"/>
        </w:rPr>
        <w:t>  Further, she claims to experience depression as a result of the lack of progress in her injuries. She is upset that her injuries have not improved significantly.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w:t>
      </w:r>
      <w:r>
        <w:rPr>
          <w:rFonts w:ascii="arial" w:eastAsia="arial" w:hAnsi="arial" w:cs="arial"/>
          <w:color w:val="000000"/>
          <w:sz w:val="20"/>
          <w:lang w:val="en-US" w:eastAsia="en-US" w:bidi="ar-SA"/>
        </w:rPr>
        <w:t>  The plaintiff was referred to a number of specialists, including Dr. Dhawan. In order to treat the injuries to her rib cage area she received cortisone injections from him in the area around the sternum, close to her left breast. Over a period of 12 months, she received four injections. At first, the injection was quite painful but gradually produced some pain relief. However, the fourth injection did not provide the same degree of pain relief and as a result this form of treatment ceased.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w:t>
      </w:r>
      <w:r>
        <w:rPr>
          <w:rFonts w:ascii="arial" w:eastAsia="arial" w:hAnsi="arial" w:cs="arial"/>
          <w:color w:val="000000"/>
          <w:sz w:val="20"/>
          <w:lang w:val="en-US" w:eastAsia="en-US" w:bidi="ar-SA"/>
        </w:rPr>
        <w:t>  On May 24, 2006, the plaintiff injured her right knee at work while rollerblading during a class where she was teaching young children. One of the children bumped into her from behind causing her to fall forward on her knee onto the plastic floor. She was not wearing knee pads at the time.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w:t>
      </w:r>
      <w:r>
        <w:rPr>
          <w:rFonts w:ascii="arial" w:eastAsia="arial" w:hAnsi="arial" w:cs="arial"/>
          <w:color w:val="000000"/>
          <w:sz w:val="20"/>
          <w:lang w:val="en-US" w:eastAsia="en-US" w:bidi="ar-SA"/>
        </w:rPr>
        <w:t>  She made a WCB claim and was off work until mid-August 2006. She was unable to run or walk fast during this period of time.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w:t>
      </w:r>
      <w:r>
        <w:rPr>
          <w:rFonts w:ascii="arial" w:eastAsia="arial" w:hAnsi="arial" w:cs="arial"/>
          <w:color w:val="000000"/>
          <w:sz w:val="20"/>
          <w:lang w:val="en-US" w:eastAsia="en-US" w:bidi="ar-SA"/>
        </w:rPr>
        <w:t>  Shortly after her return, the plaintiff realized her injuries prevented her from giving "100 percent" to the children and imposed too many restrictions on her ability to perform the job as she had in the past. She was unable to perform all of the duties without aggravating her injuries from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w:t>
      </w:r>
      <w:r>
        <w:rPr>
          <w:rFonts w:ascii="arial" w:eastAsia="arial" w:hAnsi="arial" w:cs="arial"/>
          <w:color w:val="000000"/>
          <w:sz w:val="20"/>
          <w:lang w:val="en-US" w:eastAsia="en-US" w:bidi="ar-SA"/>
        </w:rPr>
        <w:t>  In the fall of 2006, a position became available with the Township of Langley in the recreation department. The plaintiff successfully applied for the position and started working in September. She worked at this job and continued working in her position at Sportsplex for approximately six weeks. She wanted to complete the ongoing skating programs with the children whom she had been with for the past six years. During that time she was "let go" by Sportsplex.</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w:t>
      </w:r>
      <w:r>
        <w:rPr>
          <w:rFonts w:ascii="arial" w:eastAsia="arial" w:hAnsi="arial" w:cs="arial"/>
          <w:color w:val="000000"/>
          <w:sz w:val="20"/>
          <w:lang w:val="en-US" w:eastAsia="en-US" w:bidi="ar-SA"/>
        </w:rPr>
        <w:t>  Despite the fact that her new position paid a higher hourly wage, the plaintiff did not want to leave her position at Sportsplex. However, since she was unable to give "100 percent" to the children any more as a result of the restrictions imposed by her injuries, she decided to leave. The plaintiff stated the wage increase did not factor into her decision to leave Sportsplex.</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34</w:t>
      </w:r>
      <w:r>
        <w:rPr>
          <w:rFonts w:ascii="arial" w:eastAsia="arial" w:hAnsi="arial" w:cs="arial"/>
          <w:color w:val="000000"/>
          <w:sz w:val="20"/>
          <w:lang w:val="en-US" w:eastAsia="en-US" w:bidi="ar-SA"/>
        </w:rPr>
        <w:t>  Her position with the recreation department involved taking payments, answering phones, writing newsletters, issuing permits and other administrative tasks. She earned $15 to $16 per hour and worked 28 to 35 hours per week. She had fewer problems in this position but did have issues lifting heavy items. Despite the increased hourly wage, the plaintiff stated her job satisfaction level was lower than compared to Sportsplex. She enjoyed helping children learn to skate and the rewards of developing, promoting and running skating and non-skating programs for children of all ages. In her evidence, the plaintiff stated: "the rewards and the funness [sic] and enjoying your job can outdo the money."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35</w:t>
      </w:r>
      <w:r>
        <w:rPr>
          <w:rFonts w:ascii="arial" w:eastAsia="arial" w:hAnsi="arial" w:cs="arial"/>
          <w:color w:val="000000"/>
          <w:sz w:val="20"/>
          <w:lang w:val="en-US" w:eastAsia="en-US" w:bidi="ar-SA"/>
        </w:rPr>
        <w:t>  In April 2008, she commenced a new job with the Township of Langley at City Hall as a customer service agent. This position is less demanding than her job at the recreation department and involves taking property tax and building permit payments, issuing dog licenses and other administrative tasks. She earns $18.79 per hour and works 35 hours per week. The plaintiff stated that she is not as happy as she was in her previous jobs.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36</w:t>
      </w:r>
      <w:r>
        <w:rPr>
          <w:rFonts w:ascii="arial" w:eastAsia="arial" w:hAnsi="arial" w:cs="arial"/>
          <w:color w:val="000000"/>
          <w:sz w:val="20"/>
          <w:lang w:val="en-US" w:eastAsia="en-US" w:bidi="ar-SA"/>
        </w:rPr>
        <w:t>  Subsequent to the plaintiff leaving Sportsplex, the Township of Langley began construction of a large ice arena which will likely result in positions being available similar to those at Sportsplex.</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Position of the Parties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37</w:t>
      </w:r>
      <w:r>
        <w:rPr>
          <w:rFonts w:ascii="arial" w:eastAsia="arial" w:hAnsi="arial" w:cs="arial"/>
          <w:color w:val="000000"/>
          <w:sz w:val="20"/>
          <w:lang w:val="en-US" w:eastAsia="en-US" w:bidi="ar-SA"/>
        </w:rPr>
        <w:t>  The plaintiff argues that she continues to suffer from certain injuries resulting from the Accident. She argues the injuries forced her to change jobs as she was unable to continue working at Sportsplex and perform all of the required duties. Thus, the injuries forced her to leave a job she loved for one that, despite its higher pay, does not provide the same level of job satisfaction and intangible benefits. Given that her job satisfaction has decreased, she argues that she will likely cease her employment at an earlier age than had she continued working at Sportsplex or a similar position.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38</w:t>
      </w:r>
      <w:r>
        <w:rPr>
          <w:rFonts w:ascii="arial" w:eastAsia="arial" w:hAnsi="arial" w:cs="arial"/>
          <w:color w:val="000000"/>
          <w:sz w:val="20"/>
          <w:lang w:val="en-US" w:eastAsia="en-US" w:bidi="ar-SA"/>
        </w:rPr>
        <w:t>  The plaintiff argues that given the chronic nature of her injuries she needs to attend a pain clinic in order to resolve the lingering pain in her ribs and left shoulder. She seeks the cost of attending such a clinic as well as the lost income for missing work.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39</w:t>
      </w:r>
      <w:r>
        <w:rPr>
          <w:rFonts w:ascii="arial" w:eastAsia="arial" w:hAnsi="arial" w:cs="arial"/>
          <w:color w:val="000000"/>
          <w:sz w:val="20"/>
          <w:lang w:val="en-US" w:eastAsia="en-US" w:bidi="ar-SA"/>
        </w:rPr>
        <w:t>  The defendant argues the plaintiff sustained mild to moderate soft tissue injuries, with no neurological component, that resulted in a five-month period of total disability. This was followed by a period where minor symptoms affected the plaintiff, which have now resolved.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40</w:t>
      </w:r>
      <w:r>
        <w:rPr>
          <w:rFonts w:ascii="arial" w:eastAsia="arial" w:hAnsi="arial" w:cs="arial"/>
          <w:color w:val="000000"/>
          <w:sz w:val="20"/>
          <w:lang w:val="en-US" w:eastAsia="en-US" w:bidi="ar-SA"/>
        </w:rPr>
        <w:t>  The defendant argues that the plaintiff's pre-existing injuries, as well as the right knee injury sustained in 2006, were responsible for the problems which eventually led her to leave Sportsplex to work in a less physically demanding position. The plaintiff's injuries from the Accident did not materially affect the plaintiff's abilities to perform her job at Sportsplex. The defendant highlights the 2005 report of Dr. MacIntosh which stated that the plaintiff's position as a skating instructor was "probably not the best activity for someone with an injury to her neck superimposed on the underlying mild degeneration in the cervical spine." The defendant argues the plaintiff's injuries, unrelated to the Accident, were responsible for the physical limitations that ultimately led to her departure from Sportsplex. The defendant further argues that there is no loss to the plaintiff as she has since worked in two positions that have paid higher hourly wages, and a functional capacity expert stated her position as a recreation attendant was "competitive employment".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41</w:t>
      </w:r>
      <w:r>
        <w:rPr>
          <w:rFonts w:ascii="arial" w:eastAsia="arial" w:hAnsi="arial" w:cs="arial"/>
          <w:color w:val="000000"/>
          <w:sz w:val="20"/>
          <w:lang w:val="en-US" w:eastAsia="en-US" w:bidi="ar-SA"/>
        </w:rPr>
        <w:t>  The defendant also argues that the plaintiff failed to establish a proper evidentiary foundation for her anxiety disorder. The plaintiff did not report any symptoms for approximately 22 months after the Accident. Further, the defendant questions the plaintiff's rationale for this delay and argues that embarrassment should not have prevented her from discussing this problem with her family physician. The plaintiff's delay in reporting these symptoms prevented her from seeking treatment earlier which would have likely resulted in improvement by this time.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42</w:t>
      </w:r>
      <w:r>
        <w:rPr>
          <w:rFonts w:ascii="arial" w:eastAsia="arial" w:hAnsi="arial" w:cs="arial"/>
          <w:color w:val="000000"/>
          <w:sz w:val="20"/>
          <w:lang w:val="en-US" w:eastAsia="en-US" w:bidi="ar-SA"/>
        </w:rPr>
        <w:t>  Finally, the defendant challenges the plaintiff's claim for attendance at a pain clinic and the loss of income during her attendance at the clinic. The evidence did not indicate that such treatment would give some assurance of a material improvement to the plaintiff's injuries.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Expert Evidence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u w:val="single"/>
          <w:lang w:val="en-US" w:eastAsia="en-US" w:bidi="ar-SA"/>
        </w:rPr>
        <w:t>Dr. MacIntosh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43</w:t>
      </w:r>
      <w:r>
        <w:rPr>
          <w:rFonts w:ascii="arial" w:eastAsia="arial" w:hAnsi="arial" w:cs="arial"/>
          <w:color w:val="000000"/>
          <w:sz w:val="20"/>
          <w:lang w:val="en-US" w:eastAsia="en-US" w:bidi="ar-SA"/>
        </w:rPr>
        <w:t>  Dr. MacIntosh was accepted as an expert as a general practitioner. The plaintiff has been a patient of Dr. MacIntosh's since 1997. He treated her with respect to the 2003 accident and prepared a report, submitted by the defendant, that outlined the plaintiff's injuries and prognosis. The plaintiff's prior history of upper back and neck problems from a WCB injury in 1994 was noted in the report.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44</w:t>
      </w:r>
      <w:r>
        <w:rPr>
          <w:rFonts w:ascii="arial" w:eastAsia="arial" w:hAnsi="arial" w:cs="arial"/>
          <w:color w:val="000000"/>
          <w:sz w:val="20"/>
          <w:lang w:val="en-US" w:eastAsia="en-US" w:bidi="ar-SA"/>
        </w:rPr>
        <w:t>  In that report, dated January 26, 2005, Dr. MacIntosh stated the plaintiff complained of headaches, pain in her neck (located on the left lateral side), experienced inter-scapular pain and was having left arm pain which radiated down to her left hand. Based on his examination of June 3, 2003, Dr. MacIntosh opined that the plaintiff had sustained soft tissue injuries to her neck, arms and upper back, which would rank as "second-degree injuries". She also sustained a seat belt and shoulder strap injury.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45</w:t>
      </w:r>
      <w:r>
        <w:rPr>
          <w:rFonts w:ascii="arial" w:eastAsia="arial" w:hAnsi="arial" w:cs="arial"/>
          <w:color w:val="000000"/>
          <w:sz w:val="20"/>
          <w:lang w:val="en-US" w:eastAsia="en-US" w:bidi="ar-SA"/>
        </w:rPr>
        <w:t>  In a subsequent examination, June 6, 2003, the plaintiff complained of ongoing neck pain and pain "throbbing down her left arm". On June 13, 2003, the plaintiff continued to have neck pain, and pain in her left trapezius and left upper chest. On July 21, 2003, the plaintiff continued to complain of headaches and a stiff neck. These symptoms were still present upon further examination on August 19, 2003.</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46</w:t>
      </w:r>
      <w:r>
        <w:rPr>
          <w:rFonts w:ascii="arial" w:eastAsia="arial" w:hAnsi="arial" w:cs="arial"/>
          <w:color w:val="000000"/>
          <w:sz w:val="20"/>
          <w:lang w:val="en-US" w:eastAsia="en-US" w:bidi="ar-SA"/>
        </w:rPr>
        <w:t>  Dr. MacIntosh examined the plaintiff two additional times for her injuries from the 2003 accident in October 2003 and November 2004. In both examinations, the plaintiff continued to have neck pain, as well as tenderness in her back, particularly in the paravertebral musculature and costochondral junctions. In November, an x-ray was performed of her cervical spine which demonstrated mild degenerative disc disease and facet joint degeneration at the C5-6 and C4-5 levels. Dr. MacIntosh opined: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This pre-existing degeneration in her cervical spine could potentially make her more prone to prolonged symptomatology and exacerbation of her symptoms particularly with prolonged posturing. Her job assisting children in skating is probably not the best activity for someone with an injury to her neck superimposed on the underlying mild degeneration in the cervical spine.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47</w:t>
      </w:r>
      <w:r>
        <w:rPr>
          <w:rFonts w:ascii="arial" w:eastAsia="arial" w:hAnsi="arial" w:cs="arial"/>
          <w:color w:val="000000"/>
          <w:sz w:val="20"/>
          <w:lang w:val="en-US" w:eastAsia="en-US" w:bidi="ar-SA"/>
        </w:rPr>
        <w:t>  Following the Accident, Dr. MacIntosh prepared two reports which were presented to the court. In a report dated November 15, 2005, Dr. MacIntosh outlined a number of findings from the plaintiff's 13 visits in connection with the Accident. Initially after the Accident, Dr. MacIntosh diagnosed the plaintiff as having sustained contusions to her upper chest, abdomen and left arm, as well as a second degree cervical spine strain. She sustained a fracture to her left seventh rib.</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48</w:t>
      </w:r>
      <w:r>
        <w:rPr>
          <w:rFonts w:ascii="arial" w:eastAsia="arial" w:hAnsi="arial" w:cs="arial"/>
          <w:color w:val="000000"/>
          <w:sz w:val="20"/>
          <w:lang w:val="en-US" w:eastAsia="en-US" w:bidi="ar-SA"/>
        </w:rPr>
        <w:t>  She had tenderness over her left shoulder, the paravertebral cervical musculature and the trapezii. During the course of these visits, from April 8, 2005 to November 10, 2005, the plaintiff continued to present symptoms in her left lower anterior rib, left arm and hand, left shoulder, neck and chest area. She also had neurological symptoms such as pain and paresthesiae in the left arm and hand. With respect to her previous upper back and neck injury, Dr. MacIntosh stated there was some suggestion of the narrowing at C4-5 and C5-6 and the left C5-6 neural foramen due to degenerative change.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49</w:t>
      </w:r>
      <w:r>
        <w:rPr>
          <w:rFonts w:ascii="arial" w:eastAsia="arial" w:hAnsi="arial" w:cs="arial"/>
          <w:color w:val="000000"/>
          <w:sz w:val="20"/>
          <w:lang w:val="en-US" w:eastAsia="en-US" w:bidi="ar-SA"/>
        </w:rPr>
        <w:t>  Dr. MacIntosh opined that the plaintiff would return to her "previous functional status". There was however a possibility that she would have ongoing mild to moderate symptoms in her neck and left arm. The symptoms in her left rib would eventually heal.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50</w:t>
      </w:r>
      <w:r>
        <w:rPr>
          <w:rFonts w:ascii="arial" w:eastAsia="arial" w:hAnsi="arial" w:cs="arial"/>
          <w:color w:val="000000"/>
          <w:sz w:val="20"/>
          <w:lang w:val="en-US" w:eastAsia="en-US" w:bidi="ar-SA"/>
        </w:rPr>
        <w:t>  In a subsequent report, dated April 20, 2006, Dr. MacIntosh outlined his findings from three further physical examinations of the plaintiff. In those examinations, the plaintiff continued to complain of symptoms in her neck, shoulder, rib and arm regions, which necessitated a reduction in her work hours and assistance with certain household duties.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51</w:t>
      </w:r>
      <w:r>
        <w:rPr>
          <w:rFonts w:ascii="arial" w:eastAsia="arial" w:hAnsi="arial" w:cs="arial"/>
          <w:color w:val="000000"/>
          <w:sz w:val="20"/>
          <w:lang w:val="en-US" w:eastAsia="en-US" w:bidi="ar-SA"/>
        </w:rPr>
        <w:t>  Dr. MacIntosh stated that the plaintiff was experiencing chronic pain given the length of time since the Accident and the persistence of her symptoms. He noted that the plaintiff's main symptom was pain in her left shoulder and left rib area, particularly when performing certain activities, such as vacuuming and reaching. Dr. MacIntosh opined that the plaintiff's future prognosis may include ongoing symptoms in the above areas, but he was hopeful that she would continue to experience significant improvement, with a positive attitude and an appropriate fitness regime. He was uncertain whether she could resume full responsibilities at Sportsplex given that the physical requirements of that position had aggravated her symptoms, particularly her arm and rib cage.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u w:val="single"/>
          <w:lang w:val="en-US" w:eastAsia="en-US" w:bidi="ar-SA"/>
        </w:rPr>
        <w:t>Dr. Dhawan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52</w:t>
      </w:r>
      <w:r>
        <w:rPr>
          <w:rFonts w:ascii="arial" w:eastAsia="arial" w:hAnsi="arial" w:cs="arial"/>
          <w:color w:val="000000"/>
          <w:sz w:val="20"/>
          <w:lang w:val="en-US" w:eastAsia="en-US" w:bidi="ar-SA"/>
        </w:rPr>
        <w:t>  Dr. Dhawan was tendered by the plaintiff as an expert in physical medicine and rehabilitation. Dr. Dhawan examined the plaintiff on four occasions and produced two reports, dated May 18, 2007 and December 19, 2007. Dr. Dhawan was aware during his examinations of the plaintiff's 2003 accident and pre-existing degenerative changes in her back.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53</w:t>
      </w:r>
      <w:r>
        <w:rPr>
          <w:rFonts w:ascii="arial" w:eastAsia="arial" w:hAnsi="arial" w:cs="arial"/>
          <w:color w:val="000000"/>
          <w:sz w:val="20"/>
          <w:lang w:val="en-US" w:eastAsia="en-US" w:bidi="ar-SA"/>
        </w:rPr>
        <w:t>  Dr. Dhawan first examined the plaintiff on October 4, 2006. At that time, she continued to have left shoulder pain but her neck pain had resolved within a month. She had decreased range of motion with her left arm and anterior rib cage, which impacted the activities she could perform. A review of an MRI of the left shoulder demonstrated early osteoarthritis in the left acromioclavicular ("AC") joint.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54</w:t>
      </w:r>
      <w:r>
        <w:rPr>
          <w:rFonts w:ascii="arial" w:eastAsia="arial" w:hAnsi="arial" w:cs="arial"/>
          <w:color w:val="000000"/>
          <w:sz w:val="20"/>
          <w:lang w:val="en-US" w:eastAsia="en-US" w:bidi="ar-SA"/>
        </w:rPr>
        <w:t>  She was examined again on May 18, 2007. This examination revealed that her shoulder pain was improving as a result of steroid injections and anti-inflammatory drops. She had normal range of motion in that shoulder. Further, she had improved use of her arm at this time. However, she continued to have discomfort in her rib cage, which caused pain when performing certain activities such as heavy household chores, carrying and reaching overhead for items. These activities also caused pain, to a lesser extent, to her shoulder.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55</w:t>
      </w:r>
      <w:r>
        <w:rPr>
          <w:rFonts w:ascii="arial" w:eastAsia="arial" w:hAnsi="arial" w:cs="arial"/>
          <w:color w:val="000000"/>
          <w:sz w:val="20"/>
          <w:lang w:val="en-US" w:eastAsia="en-US" w:bidi="ar-SA"/>
        </w:rPr>
        <w:t>  Dr. Dhawan concluded that prior to the Accident the plaintiff was a fit and active individual, who had no difficulties with household chores or recreational activities. Dr. Dhawan opined that the plaintiff would likely experience a full resolution of the symptoms in her rib cage, rotator cuff and arm. The prognosis was optimistic for a full recovery in those areas. The plaintiff would not require surgery and could likely resume most of her household activities within four to six months. It was not expected that the plaintiff would suffer any arthritic changes in her shoulder or rib cage areas, or any worsening of her pre-existing neck arthritis as a result of the injuries suffered in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56</w:t>
      </w:r>
      <w:r>
        <w:rPr>
          <w:rFonts w:ascii="arial" w:eastAsia="arial" w:hAnsi="arial" w:cs="arial"/>
          <w:color w:val="000000"/>
          <w:sz w:val="20"/>
          <w:lang w:val="en-US" w:eastAsia="en-US" w:bidi="ar-SA"/>
        </w:rPr>
        <w:t>  Dr. Dhawan noted the plaintiff's driving anxiety and recommended psychological counselling and relaxation techniques. Dr. Dhawan opined that she would likely overcome that anxiety eventually.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57</w:t>
      </w:r>
      <w:r>
        <w:rPr>
          <w:rFonts w:ascii="arial" w:eastAsia="arial" w:hAnsi="arial" w:cs="arial"/>
          <w:color w:val="000000"/>
          <w:sz w:val="20"/>
          <w:lang w:val="en-US" w:eastAsia="en-US" w:bidi="ar-SA"/>
        </w:rPr>
        <w:t>  Dr. Dhawan conducted two further examinations of the plaintiff prior to writing the second report. On the examination of October 25, 2007, the plaintiff's pain was becoming chronic and developing a neuropathic component. She had burning and increased sensitivity to the skin, and rib cage and her left shoulder was still painful. An injection was given to relieve the pain in the rib cage.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58</w:t>
      </w:r>
      <w:r>
        <w:rPr>
          <w:rFonts w:ascii="arial" w:eastAsia="arial" w:hAnsi="arial" w:cs="arial"/>
          <w:color w:val="000000"/>
          <w:sz w:val="20"/>
          <w:lang w:val="en-US" w:eastAsia="en-US" w:bidi="ar-SA"/>
        </w:rPr>
        <w:t>  Emotionally, she was continuing to have problems with anxiety. Her neck was improving during this time however.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59</w:t>
      </w:r>
      <w:r>
        <w:rPr>
          <w:rFonts w:ascii="arial" w:eastAsia="arial" w:hAnsi="arial" w:cs="arial"/>
          <w:color w:val="000000"/>
          <w:sz w:val="20"/>
          <w:lang w:val="en-US" w:eastAsia="en-US" w:bidi="ar-SA"/>
        </w:rPr>
        <w:t>  Upon the second examination, on December 6, 2007, the plaintiff continued to have pain in the rib cage area and was not receiving the same degree of pain relief from the steroid injections as the initial sets. Dr. Dhawan concluded this course of treatment should be discontinued.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60</w:t>
      </w:r>
      <w:r>
        <w:rPr>
          <w:rFonts w:ascii="arial" w:eastAsia="arial" w:hAnsi="arial" w:cs="arial"/>
          <w:color w:val="000000"/>
          <w:sz w:val="20"/>
          <w:lang w:val="en-US" w:eastAsia="en-US" w:bidi="ar-SA"/>
        </w:rPr>
        <w:t>  Based on the plaintiff's condition during that examination, Dr. Dhawan was no longer optimistic about the resolution of pain in the near future, contrary to the first report. While her neck had improved, she continued to have pain and tenderness in the front part of her left shoulder and particularly in her rib cage. Dr. Dhawan opined that her rib cage symptoms would likely remain for many years and there was no "quick resolution in sight". Dr. Dhawan did not believe the plaintiff would develop arthritis in her neck, shoulder or rib cage.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61</w:t>
      </w:r>
      <w:r>
        <w:rPr>
          <w:rFonts w:ascii="arial" w:eastAsia="arial" w:hAnsi="arial" w:cs="arial"/>
          <w:color w:val="000000"/>
          <w:sz w:val="20"/>
          <w:lang w:val="en-US" w:eastAsia="en-US" w:bidi="ar-SA"/>
        </w:rPr>
        <w:t>  With respect to the plaintiff's anxiety, Dr. Dhawan concluded that these symptoms were improving through counselling sessions; it would likely be six months to a year before she would "substantially" improve.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u w:val="single"/>
          <w:lang w:val="en-US" w:eastAsia="en-US" w:bidi="ar-SA"/>
        </w:rPr>
        <w:t>Paul Peel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62</w:t>
      </w:r>
      <w:r>
        <w:rPr>
          <w:rFonts w:ascii="arial" w:eastAsia="arial" w:hAnsi="arial" w:cs="arial"/>
          <w:color w:val="000000"/>
          <w:sz w:val="20"/>
          <w:lang w:val="en-US" w:eastAsia="en-US" w:bidi="ar-SA"/>
        </w:rPr>
        <w:t>  Mr. Peel was tendered by the plaintiff as an expert in psychology. He is a registered psychologist and met with the plaintiff on four occasions and produced a report, dated December 21, 2007, outlining his findings and opinions. His report was based exclusively on the plaintiff's self-reported information, which, Mr. Peel states, was corroborated through a standardized psychological assessment, treatment sessions and medical reports provided.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63</w:t>
      </w:r>
      <w:r>
        <w:rPr>
          <w:rFonts w:ascii="arial" w:eastAsia="arial" w:hAnsi="arial" w:cs="arial"/>
          <w:color w:val="000000"/>
          <w:sz w:val="20"/>
          <w:lang w:val="en-US" w:eastAsia="en-US" w:bidi="ar-SA"/>
        </w:rPr>
        <w:t>  Mr. Peel conducted nine psychological assessments on the plaintiff and concluded the plaintiff's scores were consistent for depression and anxiety. Different assessments revealed that the plaintiff suffered from a number of symptoms, including pain, fatigue and insomnia. In cross-examination, Mr. Peel concluded that a 22-month delay in reporting anxiety symptoms was not unusual and would not be too long a period to link the plaintiff's anxiety problems to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64</w:t>
      </w:r>
      <w:r>
        <w:rPr>
          <w:rFonts w:ascii="arial" w:eastAsia="arial" w:hAnsi="arial" w:cs="arial"/>
          <w:color w:val="000000"/>
          <w:sz w:val="20"/>
          <w:lang w:val="en-US" w:eastAsia="en-US" w:bidi="ar-SA"/>
        </w:rPr>
        <w:t>  Based on his analysis, Mr. Peel opined that the plaintiff had symptoms of post-traumatic stress disorder ("PTSD"), although he was not in a position to make a PTSD diagnosis as he lacked all the requisite information. However, Mr. Peel was able to diagnose the plaintiff as having an adjustment disorder, given the physical and emotional symptoms she exhibited as a result of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65</w:t>
      </w:r>
      <w:r>
        <w:rPr>
          <w:rFonts w:ascii="arial" w:eastAsia="arial" w:hAnsi="arial" w:cs="arial"/>
          <w:color w:val="000000"/>
          <w:sz w:val="20"/>
          <w:lang w:val="en-US" w:eastAsia="en-US" w:bidi="ar-SA"/>
        </w:rPr>
        <w:t>  Mr. Peel recommended a psychological treatment program in order to assist the plaintiff from relapsing into her disorders, which included pain, post-traumatic stress anxiety with panic attacks, fatigue, depression and insomnia.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66</w:t>
      </w:r>
      <w:r>
        <w:rPr>
          <w:rFonts w:ascii="arial" w:eastAsia="arial" w:hAnsi="arial" w:cs="arial"/>
          <w:color w:val="000000"/>
          <w:sz w:val="20"/>
          <w:lang w:val="en-US" w:eastAsia="en-US" w:bidi="ar-SA"/>
        </w:rPr>
        <w:t>  Mr. Peel opined that the plaintiff was not malingering, based on her answers to the numerous standardized psychological assessments. He further opined that the emotional and psychological difficulties resulting from the Accident interfered with her work duties, and family, recreational and social activities. Unless treated, the problems will continue to affect the plaintiff.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u w:val="single"/>
          <w:lang w:val="en-US" w:eastAsia="en-US" w:bidi="ar-SA"/>
        </w:rPr>
        <w:t>Dr. Jaworski</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67</w:t>
      </w:r>
      <w:r>
        <w:rPr>
          <w:rFonts w:ascii="arial" w:eastAsia="arial" w:hAnsi="arial" w:cs="arial"/>
          <w:color w:val="000000"/>
          <w:sz w:val="20"/>
          <w:lang w:val="en-US" w:eastAsia="en-US" w:bidi="ar-SA"/>
        </w:rPr>
        <w:t>  Dr. Jaworski was tendered as an expert in physical medicine and rehabilitation by the plaintiff. He produced two reports, dated December 5, 2005 and December 3, 2007.</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68</w:t>
      </w:r>
      <w:r>
        <w:rPr>
          <w:rFonts w:ascii="arial" w:eastAsia="arial" w:hAnsi="arial" w:cs="arial"/>
          <w:color w:val="000000"/>
          <w:sz w:val="20"/>
          <w:lang w:val="en-US" w:eastAsia="en-US" w:bidi="ar-SA"/>
        </w:rPr>
        <w:t>  The first report was based on three examinations of the plaintiff, which occurred in July, August and October 2007. During her first visit, the plaintiff complained of pain from her left shoulder down to her left hand and pain across the anterior portion of her chest. These symptoms were present in the two follow-up examinations. Dr. Jaworski concluded the plaintiff sustained injuries to her neck and left shoulder, and likely aggravated the pre-existing cervical spondylosis. He did not find any neurological impairment in her injuries. He did however note degenerative changes in her spine which may have accounted for her neck pain.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69</w:t>
      </w:r>
      <w:r>
        <w:rPr>
          <w:rFonts w:ascii="arial" w:eastAsia="arial" w:hAnsi="arial" w:cs="arial"/>
          <w:color w:val="000000"/>
          <w:sz w:val="20"/>
          <w:lang w:val="en-US" w:eastAsia="en-US" w:bidi="ar-SA"/>
        </w:rPr>
        <w:t>  Dr. Jaworski's long-term prognosis for the plaintiff's pain symptoms was guarded given the chronic nature of her pain; however, she would not experience any significant permanent physical impairment resulting from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70</w:t>
      </w:r>
      <w:r>
        <w:rPr>
          <w:rFonts w:ascii="arial" w:eastAsia="arial" w:hAnsi="arial" w:cs="arial"/>
          <w:color w:val="000000"/>
          <w:sz w:val="20"/>
          <w:lang w:val="en-US" w:eastAsia="en-US" w:bidi="ar-SA"/>
        </w:rPr>
        <w:t>  Dr. Jaworski's second report was based on one examination, in December 2007, and the reports of Drs. MacIntosh, Dhawan and McGraw. A number of the plaintiff's symptoms had resolved since her previous visits, including the pain in her left arm and hand. Her left shoulder had full range of movement, although there was some discomfort with movement.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71</w:t>
      </w:r>
      <w:r>
        <w:rPr>
          <w:rFonts w:ascii="arial" w:eastAsia="arial" w:hAnsi="arial" w:cs="arial"/>
          <w:color w:val="000000"/>
          <w:sz w:val="20"/>
          <w:lang w:val="en-US" w:eastAsia="en-US" w:bidi="ar-SA"/>
        </w:rPr>
        <w:t>  Based on his review of the medical reports and her current condition, Dr. Jaworski concluded the plaintiff had developed "Pain Disorder Associated with Both Psychological Factors (traffic anxiety) and General Medical Condition". He went on to state: "I think that the trauma of the motor vehicle accident in consideration could be viewed as an aggravating factor in her Pain Disorder." In order to treat this disorder, Dr. Jaworski agreed with Dr. MacIntosh that a multi-disciplinary pain management program would assist the plaintiff, provided there is funding.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u w:val="single"/>
          <w:lang w:val="en-US" w:eastAsia="en-US" w:bidi="ar-SA"/>
        </w:rPr>
        <w:t>Dr. McGraw</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72</w:t>
      </w:r>
      <w:r>
        <w:rPr>
          <w:rFonts w:ascii="arial" w:eastAsia="arial" w:hAnsi="arial" w:cs="arial"/>
          <w:color w:val="000000"/>
          <w:sz w:val="20"/>
          <w:lang w:val="en-US" w:eastAsia="en-US" w:bidi="ar-SA"/>
        </w:rPr>
        <w:t>  Dr. McGraw specializes in orthopaedic surgery and produced a report for the defendant, dated November 22, 2005. He did not attend the trial. He conducted an examination of the plaintiff for his report and reviewed medical records and reports of Drs. Jaworski and MacIntosh.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73</w:t>
      </w:r>
      <w:r>
        <w:rPr>
          <w:rFonts w:ascii="arial" w:eastAsia="arial" w:hAnsi="arial" w:cs="arial"/>
          <w:color w:val="000000"/>
          <w:sz w:val="20"/>
          <w:lang w:val="en-US" w:eastAsia="en-US" w:bidi="ar-SA"/>
        </w:rPr>
        <w:t>  At the time of examination, the plaintiff was experiencing headaches, persistent discomfort in the left side of her neck (posteriorly), which radiated up into the skull and down into the left shoulder and arm and pain in her rib cage. Based on the Accident, Dr. McGraw concluded that the plaintiff sustained injuries to her cervical spine, a Grade II soft tissue injury without evidence of neurological impairment, contusion to her left shoulder and post-traumatic costochondritis left hemithorax.</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74</w:t>
      </w:r>
      <w:r>
        <w:rPr>
          <w:rFonts w:ascii="arial" w:eastAsia="arial" w:hAnsi="arial" w:cs="arial"/>
          <w:color w:val="000000"/>
          <w:sz w:val="20"/>
          <w:lang w:val="en-US" w:eastAsia="en-US" w:bidi="ar-SA"/>
        </w:rPr>
        <w:t>  Dr. McGraw opined that the plaintiff's present complaints in her neck, left shoulder and left thorax were causally related to the Accident. The plaintiff will not require surgery for these injuries. Dr. McGraw was "impressed with Ms. Gohringer's motivation to achieve full recovery".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Future Prognosis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75</w:t>
      </w:r>
      <w:r>
        <w:rPr>
          <w:rFonts w:ascii="arial" w:eastAsia="arial" w:hAnsi="arial" w:cs="arial"/>
          <w:color w:val="000000"/>
          <w:sz w:val="20"/>
          <w:lang w:val="en-US" w:eastAsia="en-US" w:bidi="ar-SA"/>
        </w:rPr>
        <w:t>  The plaintiff continues to suffer from a number of symptoms. The medical experts generally agreed that some of the plaintiff's physical symptoms continue to affect her and have become chronic in nature. The plaintiff continues to have difficulties with her rib cage and left shoulder which cause personal discomfort and problems in performing household and recreational activities.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76</w:t>
      </w:r>
      <w:r>
        <w:rPr>
          <w:rFonts w:ascii="arial" w:eastAsia="arial" w:hAnsi="arial" w:cs="arial"/>
          <w:color w:val="000000"/>
          <w:sz w:val="20"/>
          <w:lang w:val="en-US" w:eastAsia="en-US" w:bidi="ar-SA"/>
        </w:rPr>
        <w:t>  I conclude that the plaintiff suffered mild to moderate injuries as a result of the Accident and find, based on all of the evidence, that the plaintiff will be affected by the above physical injuries for the foreseeable future. Nearly four years have passed since the Accident and the plaintiff still suffers considerable pain in her rib cage and left shoulder. The prognosis indicated that the plaintiff may continue to suffer pain in her rib cage area for a number of years.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77</w:t>
      </w:r>
      <w:r>
        <w:rPr>
          <w:rFonts w:ascii="arial" w:eastAsia="arial" w:hAnsi="arial" w:cs="arial"/>
          <w:color w:val="000000"/>
          <w:sz w:val="20"/>
          <w:lang w:val="en-US" w:eastAsia="en-US" w:bidi="ar-SA"/>
        </w:rPr>
        <w:t>  With respect to the other symptoms, the plaintiff's anxiety disorder and insomnia continue to affect her on a regular basis. I accept that the plaintiff continues to have panic attacks while driving in certain situations. The medical evidence indicates that the continuation of counselling will improve this condition by providing certain techniques to control, and eventually eliminate, such anxiety. The evidence suggested that it will take a number of months before this problem can be controlled and subsequently overcome.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Causation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78</w:t>
      </w:r>
      <w:r>
        <w:rPr>
          <w:rFonts w:ascii="arial" w:eastAsia="arial" w:hAnsi="arial" w:cs="arial"/>
          <w:color w:val="000000"/>
          <w:sz w:val="20"/>
          <w:lang w:val="en-US" w:eastAsia="en-US" w:bidi="ar-SA"/>
        </w:rPr>
        <w:t xml:space="preserve">  The Supreme Court of Canada reaffirmed the "but-for" test remains the primary test for causation: </w:t>
      </w:r>
      <w:r>
        <w:rPr>
          <w:rFonts w:ascii="arial" w:eastAsia="arial" w:hAnsi="arial" w:cs="arial"/>
          <w:b/>
          <w:i/>
          <w:color w:val="000000"/>
          <w:sz w:val="20"/>
          <w:lang w:val="en-US" w:eastAsia="en-US" w:bidi="ar-SA"/>
        </w:rPr>
        <w:t>Resurfice Corp. v. Hanke</w:t>
      </w:r>
      <w:r>
        <w:rPr>
          <w:rFonts w:ascii="arial" w:eastAsia="arial" w:hAnsi="arial" w:cs="arial"/>
          <w:color w:val="000000"/>
          <w:sz w:val="20"/>
          <w:lang w:val="en-US" w:eastAsia="en-US" w:bidi="ar-SA"/>
        </w:rPr>
        <w:t xml:space="preserve">, </w:t>
      </w:r>
      <w:hyperlink r:id="rId989" w:history="1">
        <w:r>
          <w:rPr>
            <w:rFonts w:ascii="arial" w:eastAsia="arial" w:hAnsi="arial" w:cs="arial"/>
            <w:i/>
            <w:color w:val="0077CC"/>
            <w:sz w:val="20"/>
            <w:u w:val="single"/>
            <w:shd w:val="clear" w:color="auto" w:fill="FFFFFF"/>
            <w:lang w:val="en-US" w:eastAsia="en-US" w:bidi="ar-SA"/>
          </w:rPr>
          <w:t>2007 SCC 7</w:t>
        </w:r>
      </w:hyperlink>
      <w:r>
        <w:rPr>
          <w:rFonts w:ascii="arial" w:eastAsia="arial" w:hAnsi="arial" w:cs="arial"/>
          <w:color w:val="000000"/>
          <w:sz w:val="20"/>
          <w:lang w:val="en-US" w:eastAsia="en-US" w:bidi="ar-SA"/>
        </w:rPr>
        <w:t xml:space="preserve">, </w:t>
      </w:r>
      <w:hyperlink r:id="rId989" w:history="1">
        <w:r>
          <w:rPr>
            <w:rFonts w:ascii="arial" w:eastAsia="arial" w:hAnsi="arial" w:cs="arial"/>
            <w:i/>
            <w:color w:val="0077CC"/>
            <w:sz w:val="20"/>
            <w:u w:val="single"/>
            <w:shd w:val="clear" w:color="auto" w:fill="FFFFFF"/>
            <w:lang w:val="en-US" w:eastAsia="en-US" w:bidi="ar-SA"/>
          </w:rPr>
          <w:t>278 D.L.R. (4th) 643</w:t>
        </w:r>
      </w:hyperlink>
      <w:r>
        <w:rPr>
          <w:rFonts w:ascii="arial" w:eastAsia="arial" w:hAnsi="arial" w:cs="arial"/>
          <w:color w:val="000000"/>
          <w:sz w:val="20"/>
          <w:lang w:val="en-US" w:eastAsia="en-US" w:bidi="ar-SA"/>
        </w:rPr>
        <w:t xml:space="preserve">. This requires the plaintiff to demonstrate, on a balance of probabilities, that the injury would not have occurred but-for the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of the defendant. A substantial connection must exist between the act(s) of the defendant and the plaintiff's injury: </w:t>
      </w:r>
      <w:r>
        <w:rPr>
          <w:rFonts w:ascii="arial" w:eastAsia="arial" w:hAnsi="arial" w:cs="arial"/>
          <w:b/>
          <w:i/>
          <w:color w:val="000000"/>
          <w:sz w:val="20"/>
          <w:lang w:val="en-US" w:eastAsia="en-US" w:bidi="ar-SA"/>
        </w:rPr>
        <w:t>Resurfice</w:t>
      </w:r>
      <w:r>
        <w:rPr>
          <w:rFonts w:ascii="arial" w:eastAsia="arial" w:hAnsi="arial" w:cs="arial"/>
          <w:color w:val="000000"/>
          <w:sz w:val="20"/>
          <w:lang w:val="en-US" w:eastAsia="en-US" w:bidi="ar-SA"/>
        </w:rPr>
        <w:t xml:space="preserve"> at paras. 18-28. The causation test is not to be "determined by scientific precision": </w:t>
      </w:r>
      <w:r>
        <w:rPr>
          <w:rFonts w:ascii="arial" w:eastAsia="arial" w:hAnsi="arial" w:cs="arial"/>
          <w:b/>
          <w:i/>
          <w:color w:val="000000"/>
          <w:sz w:val="20"/>
          <w:lang w:val="en-US" w:eastAsia="en-US" w:bidi="ar-SA"/>
        </w:rPr>
        <w:t>Snell v. Farrell</w:t>
      </w:r>
      <w:r>
        <w:rPr>
          <w:rFonts w:ascii="arial" w:eastAsia="arial" w:hAnsi="arial" w:cs="arial"/>
          <w:color w:val="000000"/>
          <w:sz w:val="20"/>
          <w:lang w:val="en-US" w:eastAsia="en-US" w:bidi="ar-SA"/>
        </w:rPr>
        <w:t xml:space="preserve">, </w:t>
      </w:r>
      <w:hyperlink r:id="rId990" w:history="1">
        <w:r>
          <w:rPr>
            <w:rFonts w:ascii="arial" w:eastAsia="arial" w:hAnsi="arial" w:cs="arial"/>
            <w:i/>
            <w:color w:val="0077CC"/>
            <w:sz w:val="20"/>
            <w:u w:val="single"/>
            <w:shd w:val="clear" w:color="auto" w:fill="FFFFFF"/>
            <w:lang w:val="en-US" w:eastAsia="en-US" w:bidi="ar-SA"/>
          </w:rPr>
          <w:t>[1990] 2 S.C.R. 311</w:t>
        </w:r>
      </w:hyperlink>
      <w:r>
        <w:rPr>
          <w:rFonts w:ascii="arial" w:eastAsia="arial" w:hAnsi="arial" w:cs="arial"/>
          <w:color w:val="000000"/>
          <w:sz w:val="20"/>
          <w:lang w:val="en-US" w:eastAsia="en-US" w:bidi="ar-SA"/>
        </w:rPr>
        <w:t xml:space="preserve"> at para. 30, </w:t>
      </w:r>
      <w:hyperlink r:id="rId990" w:history="1">
        <w:r>
          <w:rPr>
            <w:rFonts w:ascii="arial" w:eastAsia="arial" w:hAnsi="arial" w:cs="arial"/>
            <w:i/>
            <w:color w:val="0077CC"/>
            <w:sz w:val="20"/>
            <w:u w:val="single"/>
            <w:shd w:val="clear" w:color="auto" w:fill="FFFFFF"/>
            <w:lang w:val="en-US" w:eastAsia="en-US" w:bidi="ar-SA"/>
          </w:rPr>
          <w:t>72 D.L.R. (4th) 289</w:t>
        </w:r>
      </w:hyperlink>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79</w:t>
      </w:r>
      <w:r>
        <w:rPr>
          <w:rFonts w:ascii="arial" w:eastAsia="arial" w:hAnsi="arial" w:cs="arial"/>
          <w:color w:val="000000"/>
          <w:sz w:val="20"/>
          <w:lang w:val="en-US" w:eastAsia="en-US" w:bidi="ar-SA"/>
        </w:rPr>
        <w:t>  The defendant argues the plaintiff's anxiety disorder claim is not causally connected to the Accident. The defendant submits the plaintiff failed to establish on a balance of probabilities that the Accident caused her anxiety disorder. The defendant highlights the 22-month delay in reporting the symptoms to her family physician as evidence demonstrating a lack of causal connection. As well, the plaintiff's experts stated that it was unusual to report the symptoms so long after the accident in question. The defendant tendered video evidence of the plaintiff in her car to demonstrate that the plaintiff was overstating her symptoms.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80</w:t>
      </w:r>
      <w:r>
        <w:rPr>
          <w:rFonts w:ascii="arial" w:eastAsia="arial" w:hAnsi="arial" w:cs="arial"/>
          <w:color w:val="000000"/>
          <w:sz w:val="20"/>
          <w:lang w:val="en-US" w:eastAsia="en-US" w:bidi="ar-SA"/>
        </w:rPr>
        <w:t>  I agree that the delay in reporting the symptoms may appear, superficially, unusual. However, the evidence of the plaintiff and her husband demonstrated that the symptoms did appear shortly after the Accident. In particular, the evidence of the plaintiff's husband indicated that the plaintiff suffered symptoms shortly after the Accident. He gave a number of examples where the plaintiff became frightened and emotional both during and after driving in the car. While there may be a number of reasons why the plaintiff decided not to disclose this condition to her family physician for some time that does not, on its own, indicate a lack of causal connection. Mr. Peel indicated a causal link could be established despite the 22-month delay in reporting the symptoms. I am satisfied that there is a substantial connection between the driving anxiety and the Accident based on all of the evidence. I am not satisfied that the plaintiff's admission that she suffered anxiety in 2000 demonstrates that she had pre-existing anxiety with respect to driving, or that she was predisposed to such a disorder. The evidence did not support or indicate that this had any effect on the plaintiff's condition in 2005 following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i/>
          <w:color w:val="000000"/>
          <w:sz w:val="20"/>
          <w:lang w:val="en-US" w:eastAsia="en-US" w:bidi="ar-SA"/>
        </w:rPr>
        <w:t>Non-Pecuniary 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81</w:t>
      </w:r>
      <w:r>
        <w:rPr>
          <w:rFonts w:ascii="arial" w:eastAsia="arial" w:hAnsi="arial" w:cs="arial"/>
          <w:color w:val="000000"/>
          <w:sz w:val="20"/>
          <w:lang w:val="en-US" w:eastAsia="en-US" w:bidi="ar-SA"/>
        </w:rPr>
        <w:t xml:space="preserve">  The purpose of non-pecuniary damage awards is to compensate the plaintiff for "pain, suffering, loss of enjoyment of life and loss of amenities": </w:t>
      </w:r>
      <w:r>
        <w:rPr>
          <w:rFonts w:ascii="arial" w:eastAsia="arial" w:hAnsi="arial" w:cs="arial"/>
          <w:b/>
          <w:i/>
          <w:color w:val="000000"/>
          <w:sz w:val="20"/>
          <w:lang w:val="en-US" w:eastAsia="en-US" w:bidi="ar-SA"/>
        </w:rPr>
        <w:t>Jackson v. Lai</w:t>
      </w:r>
      <w:r>
        <w:rPr>
          <w:rFonts w:ascii="arial" w:eastAsia="arial" w:hAnsi="arial" w:cs="arial"/>
          <w:color w:val="000000"/>
          <w:sz w:val="20"/>
          <w:lang w:val="en-US" w:eastAsia="en-US" w:bidi="ar-SA"/>
        </w:rPr>
        <w:t xml:space="preserve">, </w:t>
      </w:r>
      <w:hyperlink r:id="rId991" w:history="1">
        <w:r>
          <w:rPr>
            <w:rFonts w:ascii="arial" w:eastAsia="arial" w:hAnsi="arial" w:cs="arial"/>
            <w:i/>
            <w:color w:val="0077CC"/>
            <w:sz w:val="20"/>
            <w:u w:val="single"/>
            <w:shd w:val="clear" w:color="auto" w:fill="FFFFFF"/>
            <w:lang w:val="en-US" w:eastAsia="en-US" w:bidi="ar-SA"/>
          </w:rPr>
          <w:t>2007 BCSC 1023</w:t>
        </w:r>
      </w:hyperlink>
      <w:r>
        <w:rPr>
          <w:rFonts w:ascii="arial" w:eastAsia="arial" w:hAnsi="arial" w:cs="arial"/>
          <w:color w:val="000000"/>
          <w:sz w:val="20"/>
          <w:lang w:val="en-US" w:eastAsia="en-US" w:bidi="ar-SA"/>
        </w:rPr>
        <w:t xml:space="preserve">, </w:t>
      </w:r>
      <w:hyperlink r:id="rId991" w:history="1">
        <w:r>
          <w:rPr>
            <w:rFonts w:ascii="arial" w:eastAsia="arial" w:hAnsi="arial" w:cs="arial"/>
            <w:i/>
            <w:color w:val="0077CC"/>
            <w:sz w:val="20"/>
            <w:u w:val="single"/>
            <w:shd w:val="clear" w:color="auto" w:fill="FFFFFF"/>
            <w:lang w:val="en-US" w:eastAsia="en-US" w:bidi="ar-SA"/>
          </w:rPr>
          <w:t>[2007] B.C.J. No. 1535</w:t>
        </w:r>
      </w:hyperlink>
      <w:r>
        <w:rPr>
          <w:rFonts w:ascii="arial" w:eastAsia="arial" w:hAnsi="arial" w:cs="arial"/>
          <w:color w:val="000000"/>
          <w:sz w:val="20"/>
          <w:lang w:val="en-US" w:eastAsia="en-US" w:bidi="ar-SA"/>
        </w:rPr>
        <w:t xml:space="preserve"> at para. 134; see also </w:t>
      </w:r>
      <w:r>
        <w:rPr>
          <w:rFonts w:ascii="arial" w:eastAsia="arial" w:hAnsi="arial" w:cs="arial"/>
          <w:b/>
          <w:i/>
          <w:color w:val="000000"/>
          <w:sz w:val="20"/>
          <w:lang w:val="en-US" w:eastAsia="en-US" w:bidi="ar-SA"/>
        </w:rPr>
        <w:t>Andrews v. Grand &amp; Toy Alberta Ltd.</w:t>
      </w:r>
      <w:r>
        <w:rPr>
          <w:rFonts w:ascii="arial" w:eastAsia="arial" w:hAnsi="arial" w:cs="arial"/>
          <w:color w:val="000000"/>
          <w:sz w:val="20"/>
          <w:lang w:val="en-US" w:eastAsia="en-US" w:bidi="ar-SA"/>
        </w:rPr>
        <w:t xml:space="preserve">, </w:t>
      </w:r>
      <w:hyperlink r:id="rId594" w:history="1">
        <w:r>
          <w:rPr>
            <w:rFonts w:ascii="arial" w:eastAsia="arial" w:hAnsi="arial" w:cs="arial"/>
            <w:i/>
            <w:color w:val="0077CC"/>
            <w:sz w:val="20"/>
            <w:u w:val="single"/>
            <w:shd w:val="clear" w:color="auto" w:fill="FFFFFF"/>
            <w:lang w:val="en-US" w:eastAsia="en-US" w:bidi="ar-SA"/>
          </w:rPr>
          <w:t>[1978] 2 S.C.R. 229</w:t>
        </w:r>
      </w:hyperlink>
      <w:r>
        <w:rPr>
          <w:rFonts w:ascii="arial" w:eastAsia="arial" w:hAnsi="arial" w:cs="arial"/>
          <w:color w:val="000000"/>
          <w:sz w:val="20"/>
          <w:lang w:val="en-US" w:eastAsia="en-US" w:bidi="ar-SA"/>
        </w:rPr>
        <w:t xml:space="preserve">; </w:t>
      </w:r>
      <w:r>
        <w:rPr>
          <w:rFonts w:ascii="arial" w:eastAsia="arial" w:hAnsi="arial" w:cs="arial"/>
          <w:b/>
          <w:i/>
          <w:color w:val="000000"/>
          <w:sz w:val="20"/>
          <w:lang w:val="en-US" w:eastAsia="en-US" w:bidi="ar-SA"/>
        </w:rPr>
        <w:t>Kuskis v. Tin</w:t>
      </w:r>
      <w:r>
        <w:rPr>
          <w:rFonts w:ascii="arial" w:eastAsia="arial" w:hAnsi="arial" w:cs="arial"/>
          <w:color w:val="000000"/>
          <w:sz w:val="20"/>
          <w:lang w:val="en-US" w:eastAsia="en-US" w:bidi="ar-SA"/>
        </w:rPr>
        <w:t xml:space="preserve">, </w:t>
      </w:r>
      <w:hyperlink r:id="rId581" w:history="1">
        <w:r>
          <w:rPr>
            <w:rFonts w:ascii="arial" w:eastAsia="arial" w:hAnsi="arial" w:cs="arial"/>
            <w:i/>
            <w:color w:val="0077CC"/>
            <w:sz w:val="20"/>
            <w:u w:val="single"/>
            <w:shd w:val="clear" w:color="auto" w:fill="FFFFFF"/>
            <w:lang w:val="en-US" w:eastAsia="en-US" w:bidi="ar-SA"/>
          </w:rPr>
          <w:t>2008 BCSC 862</w:t>
        </w:r>
      </w:hyperlink>
      <w:r>
        <w:rPr>
          <w:rFonts w:ascii="arial" w:eastAsia="arial" w:hAnsi="arial" w:cs="arial"/>
          <w:color w:val="000000"/>
          <w:sz w:val="20"/>
          <w:lang w:val="en-US" w:eastAsia="en-US" w:bidi="ar-SA"/>
        </w:rPr>
        <w:t xml:space="preserve">, </w:t>
      </w:r>
      <w:hyperlink r:id="rId581" w:history="1">
        <w:r>
          <w:rPr>
            <w:rFonts w:ascii="arial" w:eastAsia="arial" w:hAnsi="arial" w:cs="arial"/>
            <w:i/>
            <w:color w:val="0077CC"/>
            <w:sz w:val="20"/>
            <w:u w:val="single"/>
            <w:shd w:val="clear" w:color="auto" w:fill="FFFFFF"/>
            <w:lang w:val="en-US" w:eastAsia="en-US" w:bidi="ar-SA"/>
          </w:rPr>
          <w:t>[2008] B.C.J. No. 1248</w:t>
        </w:r>
      </w:hyperlink>
      <w:r>
        <w:rPr>
          <w:rFonts w:ascii="arial" w:eastAsia="arial" w:hAnsi="arial" w:cs="arial"/>
          <w:color w:val="000000"/>
          <w:sz w:val="20"/>
          <w:lang w:val="en-US" w:eastAsia="en-US" w:bidi="ar-SA"/>
        </w:rPr>
        <w:t xml:space="preserve">. While each award must be made with reference to the particular circumstances and facts of the case, other cases may serve as a guide to assist the court in arriving at an award that is just and fair to both parties: </w:t>
      </w:r>
      <w:r>
        <w:rPr>
          <w:rFonts w:ascii="arial" w:eastAsia="arial" w:hAnsi="arial" w:cs="arial"/>
          <w:b/>
          <w:i/>
          <w:color w:val="000000"/>
          <w:sz w:val="20"/>
          <w:lang w:val="en-US" w:eastAsia="en-US" w:bidi="ar-SA"/>
        </w:rPr>
        <w:t>Kuskis</w:t>
      </w:r>
      <w:r>
        <w:rPr>
          <w:rFonts w:ascii="arial" w:eastAsia="arial" w:hAnsi="arial" w:cs="arial"/>
          <w:color w:val="000000"/>
          <w:sz w:val="20"/>
          <w:lang w:val="en-US" w:eastAsia="en-US" w:bidi="ar-SA"/>
        </w:rPr>
        <w:t xml:space="preserve"> at para. 136.</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82</w:t>
      </w:r>
      <w:r>
        <w:rPr>
          <w:rFonts w:ascii="arial" w:eastAsia="arial" w:hAnsi="arial" w:cs="arial"/>
          <w:color w:val="000000"/>
          <w:sz w:val="20"/>
          <w:lang w:val="en-US" w:eastAsia="en-US" w:bidi="ar-SA"/>
        </w:rPr>
        <w:t xml:space="preserve">  There are a number of factors that courts must take into account when assessing this type of claim. Justice Kirkpatrick, writing for the majority, in </w:t>
      </w:r>
      <w:r>
        <w:rPr>
          <w:rFonts w:ascii="arial" w:eastAsia="arial" w:hAnsi="arial" w:cs="arial"/>
          <w:b/>
          <w:i/>
          <w:color w:val="000000"/>
          <w:sz w:val="20"/>
          <w:lang w:val="en-US" w:eastAsia="en-US" w:bidi="ar-SA"/>
        </w:rPr>
        <w:t>Stapley v. Hejslet</w:t>
      </w:r>
      <w:r>
        <w:rPr>
          <w:rFonts w:ascii="arial" w:eastAsia="arial" w:hAnsi="arial" w:cs="arial"/>
          <w:color w:val="000000"/>
          <w:sz w:val="20"/>
          <w:lang w:val="en-US" w:eastAsia="en-US" w:bidi="ar-SA"/>
        </w:rPr>
        <w:t xml:space="preserve">, </w:t>
      </w:r>
      <w:hyperlink r:id="rId580" w:history="1">
        <w:r>
          <w:rPr>
            <w:rFonts w:ascii="arial" w:eastAsia="arial" w:hAnsi="arial" w:cs="arial"/>
            <w:i/>
            <w:color w:val="0077CC"/>
            <w:sz w:val="20"/>
            <w:u w:val="single"/>
            <w:shd w:val="clear" w:color="auto" w:fill="FFFFFF"/>
            <w:lang w:val="en-US" w:eastAsia="en-US" w:bidi="ar-SA"/>
          </w:rPr>
          <w:t>2006 BCCA 34</w:t>
        </w:r>
      </w:hyperlink>
      <w:r>
        <w:rPr>
          <w:rFonts w:ascii="arial" w:eastAsia="arial" w:hAnsi="arial" w:cs="arial"/>
          <w:color w:val="000000"/>
          <w:sz w:val="20"/>
          <w:lang w:val="en-US" w:eastAsia="en-US" w:bidi="ar-SA"/>
        </w:rPr>
        <w:t xml:space="preserve">, </w:t>
      </w:r>
      <w:hyperlink r:id="rId580" w:history="1">
        <w:r>
          <w:rPr>
            <w:rFonts w:ascii="arial" w:eastAsia="arial" w:hAnsi="arial" w:cs="arial"/>
            <w:i/>
            <w:color w:val="0077CC"/>
            <w:sz w:val="20"/>
            <w:u w:val="single"/>
            <w:shd w:val="clear" w:color="auto" w:fill="FFFFFF"/>
            <w:lang w:val="en-US" w:eastAsia="en-US" w:bidi="ar-SA"/>
          </w:rPr>
          <w:t>263 D.L.R. (4th) 19</w:t>
        </w:r>
      </w:hyperlink>
      <w:r>
        <w:rPr>
          <w:rFonts w:ascii="arial" w:eastAsia="arial" w:hAnsi="arial" w:cs="arial"/>
          <w:color w:val="000000"/>
          <w:sz w:val="20"/>
          <w:lang w:val="en-US" w:eastAsia="en-US" w:bidi="ar-SA"/>
        </w:rPr>
        <w:t>, outlines the factors to consider, at para. 46:</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inexhaustive list of common factors cited in </w:t>
      </w:r>
      <w:r>
        <w:rPr>
          <w:rFonts w:ascii="arial" w:eastAsia="arial" w:hAnsi="arial" w:cs="arial"/>
          <w:b/>
          <w:i/>
          <w:color w:val="000000"/>
          <w:sz w:val="20"/>
          <w:lang w:val="en-US" w:eastAsia="en-US" w:bidi="ar-SA"/>
        </w:rPr>
        <w:t>Boyd</w:t>
      </w:r>
      <w:r>
        <w:rPr>
          <w:rFonts w:ascii="arial" w:eastAsia="arial" w:hAnsi="arial" w:cs="arial"/>
          <w:color w:val="000000"/>
          <w:sz w:val="20"/>
          <w:lang w:val="en-US" w:eastAsia="en-US" w:bidi="ar-SA"/>
        </w:rPr>
        <w:t xml:space="preserve"> [</w:t>
      </w:r>
      <w:r>
        <w:rPr>
          <w:rFonts w:ascii="arial" w:eastAsia="arial" w:hAnsi="arial" w:cs="arial"/>
          <w:b/>
          <w:i/>
          <w:color w:val="000000"/>
          <w:sz w:val="20"/>
          <w:lang w:val="en-US" w:eastAsia="en-US" w:bidi="ar-SA"/>
        </w:rPr>
        <w:t>Boyd v. Harris</w:t>
      </w:r>
      <w:r>
        <w:rPr>
          <w:rFonts w:ascii="arial" w:eastAsia="arial" w:hAnsi="arial" w:cs="arial"/>
          <w:color w:val="000000"/>
          <w:sz w:val="20"/>
          <w:lang w:val="en-US" w:eastAsia="en-US" w:bidi="ar-SA"/>
        </w:rPr>
        <w:t xml:space="preserve">, </w:t>
      </w:r>
      <w:hyperlink r:id="rId992" w:history="1">
        <w:r>
          <w:rPr>
            <w:rFonts w:ascii="arial" w:eastAsia="arial" w:hAnsi="arial" w:cs="arial"/>
            <w:i/>
            <w:color w:val="0077CC"/>
            <w:sz w:val="20"/>
            <w:u w:val="single"/>
            <w:shd w:val="clear" w:color="auto" w:fill="FFFFFF"/>
            <w:lang w:val="en-US" w:eastAsia="en-US" w:bidi="ar-SA"/>
          </w:rPr>
          <w:t>2004 BCCA 146</w:t>
        </w:r>
      </w:hyperlink>
      <w:r>
        <w:rPr>
          <w:rFonts w:ascii="arial" w:eastAsia="arial" w:hAnsi="arial" w:cs="arial"/>
          <w:color w:val="000000"/>
          <w:sz w:val="20"/>
          <w:lang w:val="en-US" w:eastAsia="en-US" w:bidi="ar-SA"/>
        </w:rPr>
        <w:t>] that influence an award of non-pecuniary damages includes:</w:t>
      </w:r>
    </w:p>
    <w:p>
      <w:pPr>
        <w:numPr>
          <w:numId w:val="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age of the plaintiff;</w:t>
      </w:r>
    </w:p>
    <w:p>
      <w:pPr>
        <w:numPr>
          <w:numId w:val="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nature of the injury;</w:t>
      </w:r>
    </w:p>
    <w:p>
      <w:pPr>
        <w:numPr>
          <w:numId w:val="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severity and duration of pain;</w:t>
      </w:r>
    </w:p>
    <w:p>
      <w:pPr>
        <w:numPr>
          <w:numId w:val="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disability;</w:t>
      </w:r>
    </w:p>
    <w:p>
      <w:pPr>
        <w:numPr>
          <w:numId w:val="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emotional suffering; and</w:t>
      </w:r>
    </w:p>
    <w:p>
      <w:pPr>
        <w:numPr>
          <w:numId w:val="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loss or impairment of life;</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I would add the following factors, although they may arguably be subsumed in the above list:</w:t>
      </w:r>
    </w:p>
    <w:p>
      <w:pPr>
        <w:numPr>
          <w:numId w:val="3"/>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impairment of family, marital and social relationships;</w:t>
      </w:r>
    </w:p>
    <w:p>
      <w:pPr>
        <w:numPr>
          <w:numId w:val="3"/>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impairment of physical and mental abilities;</w:t>
      </w:r>
    </w:p>
    <w:p>
      <w:pPr>
        <w:numPr>
          <w:numId w:val="3"/>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loss of lifestyle; and</w:t>
      </w:r>
    </w:p>
    <w:p>
      <w:pPr>
        <w:numPr>
          <w:numId w:val="3"/>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plaintiff's stoicism (as a factor that should not, generally speaking, penalize the plaintiff: </w:t>
      </w:r>
      <w:r>
        <w:rPr>
          <w:rFonts w:ascii="arial" w:eastAsia="arial" w:hAnsi="arial" w:cs="arial"/>
          <w:b/>
          <w:i/>
          <w:color w:val="000000"/>
          <w:sz w:val="20"/>
          <w:lang w:val="en-US" w:eastAsia="en-US" w:bidi="ar-SA"/>
        </w:rPr>
        <w:t>Giang v. Clayton</w:t>
      </w:r>
      <w:r>
        <w:rPr>
          <w:rFonts w:ascii="arial" w:eastAsia="arial" w:hAnsi="arial" w:cs="arial"/>
          <w:color w:val="000000"/>
          <w:sz w:val="20"/>
          <w:lang w:val="en-US" w:eastAsia="en-US" w:bidi="ar-SA"/>
        </w:rPr>
        <w:t xml:space="preserve">, </w:t>
      </w:r>
      <w:hyperlink r:id="rId993" w:history="1">
        <w:r>
          <w:rPr>
            <w:rFonts w:ascii="arial" w:eastAsia="arial" w:hAnsi="arial" w:cs="arial"/>
            <w:i/>
            <w:color w:val="0077CC"/>
            <w:sz w:val="20"/>
            <w:u w:val="single"/>
            <w:shd w:val="clear" w:color="auto" w:fill="FFFFFF"/>
            <w:lang w:val="en-US" w:eastAsia="en-US" w:bidi="ar-SA"/>
          </w:rPr>
          <w:t>[2005] B.C.J. No. 163</w:t>
        </w:r>
      </w:hyperlink>
      <w:r>
        <w:rPr>
          <w:rFonts w:ascii="arial" w:eastAsia="arial" w:hAnsi="arial" w:cs="arial"/>
          <w:color w:val="000000"/>
          <w:sz w:val="20"/>
          <w:lang w:val="en-US" w:eastAsia="en-US" w:bidi="ar-SA"/>
        </w:rPr>
        <w:t xml:space="preserve">, </w:t>
      </w:r>
      <w:hyperlink r:id="rId993" w:history="1">
        <w:r>
          <w:rPr>
            <w:rFonts w:ascii="arial" w:eastAsia="arial" w:hAnsi="arial" w:cs="arial"/>
            <w:i/>
            <w:color w:val="0077CC"/>
            <w:sz w:val="20"/>
            <w:u w:val="single"/>
            <w:shd w:val="clear" w:color="auto" w:fill="FFFFFF"/>
            <w:lang w:val="en-US" w:eastAsia="en-US" w:bidi="ar-SA"/>
          </w:rPr>
          <w:t>2005 BCCA 54</w:t>
        </w:r>
      </w:hyperlink>
      <w:r>
        <w:rPr>
          <w:rFonts w:ascii="arial" w:eastAsia="arial" w:hAnsi="arial" w:cs="arial"/>
          <w:color w:val="000000"/>
          <w:sz w:val="20"/>
          <w:lang w:val="en-US" w:eastAsia="en-US" w:bidi="ar-SA"/>
        </w:rPr>
        <w:t xml:space="preserve"> (B.C.C.A.)).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83</w:t>
      </w:r>
      <w:r>
        <w:rPr>
          <w:rFonts w:ascii="arial" w:eastAsia="arial" w:hAnsi="arial" w:cs="arial"/>
          <w:color w:val="000000"/>
          <w:sz w:val="20"/>
          <w:lang w:val="en-US" w:eastAsia="en-US" w:bidi="ar-SA"/>
        </w:rPr>
        <w:t xml:space="preserve">  The plaintiff relies on a number of cases in arguing that an award of $100,000 is appropriate in the circumstances: </w:t>
      </w:r>
      <w:r>
        <w:rPr>
          <w:rFonts w:ascii="arial" w:eastAsia="arial" w:hAnsi="arial" w:cs="arial"/>
          <w:b/>
          <w:i/>
          <w:color w:val="000000"/>
          <w:sz w:val="20"/>
          <w:lang w:val="en-US" w:eastAsia="en-US" w:bidi="ar-SA"/>
        </w:rPr>
        <w:t>Durand v. Bolt</w:t>
      </w:r>
      <w:r>
        <w:rPr>
          <w:rFonts w:ascii="arial" w:eastAsia="arial" w:hAnsi="arial" w:cs="arial"/>
          <w:color w:val="000000"/>
          <w:sz w:val="20"/>
          <w:lang w:val="en-US" w:eastAsia="en-US" w:bidi="ar-SA"/>
        </w:rPr>
        <w:t xml:space="preserve">, </w:t>
      </w:r>
      <w:hyperlink r:id="rId588" w:history="1">
        <w:r>
          <w:rPr>
            <w:rFonts w:ascii="arial" w:eastAsia="arial" w:hAnsi="arial" w:cs="arial"/>
            <w:i/>
            <w:color w:val="0077CC"/>
            <w:sz w:val="20"/>
            <w:u w:val="single"/>
            <w:shd w:val="clear" w:color="auto" w:fill="FFFFFF"/>
            <w:lang w:val="en-US" w:eastAsia="en-US" w:bidi="ar-SA"/>
          </w:rPr>
          <w:t>2007 BCSC 480</w:t>
        </w:r>
      </w:hyperlink>
      <w:r>
        <w:rPr>
          <w:rFonts w:ascii="arial" w:eastAsia="arial" w:hAnsi="arial" w:cs="arial"/>
          <w:color w:val="000000"/>
          <w:sz w:val="20"/>
          <w:lang w:val="en-US" w:eastAsia="en-US" w:bidi="ar-SA"/>
        </w:rPr>
        <w:t xml:space="preserve">, </w:t>
      </w:r>
      <w:hyperlink r:id="rId588" w:history="1">
        <w:r>
          <w:rPr>
            <w:rFonts w:ascii="arial" w:eastAsia="arial" w:hAnsi="arial" w:cs="arial"/>
            <w:i/>
            <w:color w:val="0077CC"/>
            <w:sz w:val="20"/>
            <w:u w:val="single"/>
            <w:shd w:val="clear" w:color="auto" w:fill="FFFFFF"/>
            <w:lang w:val="en-US" w:eastAsia="en-US" w:bidi="ar-SA"/>
          </w:rPr>
          <w:t>71 B.C.L.R. (4th) 261</w:t>
        </w:r>
      </w:hyperlink>
      <w:r>
        <w:rPr>
          <w:rFonts w:ascii="arial" w:eastAsia="arial" w:hAnsi="arial" w:cs="arial"/>
          <w:color w:val="000000"/>
          <w:sz w:val="20"/>
          <w:lang w:val="en-US" w:eastAsia="en-US" w:bidi="ar-SA"/>
        </w:rPr>
        <w:t xml:space="preserve"> ($75,000); </w:t>
      </w:r>
      <w:r>
        <w:rPr>
          <w:rFonts w:ascii="arial" w:eastAsia="arial" w:hAnsi="arial" w:cs="arial"/>
          <w:b/>
          <w:i/>
          <w:color w:val="000000"/>
          <w:sz w:val="20"/>
          <w:lang w:val="en-US" w:eastAsia="en-US" w:bidi="ar-SA"/>
        </w:rPr>
        <w:t>Stapley v. Hejslet</w:t>
      </w:r>
      <w:r>
        <w:rPr>
          <w:rFonts w:ascii="arial" w:eastAsia="arial" w:hAnsi="arial" w:cs="arial"/>
          <w:color w:val="000000"/>
          <w:sz w:val="20"/>
          <w:lang w:val="en-US" w:eastAsia="en-US" w:bidi="ar-SA"/>
        </w:rPr>
        <w:t xml:space="preserve"> ($175,000); </w:t>
      </w:r>
      <w:r>
        <w:rPr>
          <w:rFonts w:ascii="arial" w:eastAsia="arial" w:hAnsi="arial" w:cs="arial"/>
          <w:b/>
          <w:i/>
          <w:color w:val="000000"/>
          <w:sz w:val="20"/>
          <w:lang w:val="en-US" w:eastAsia="en-US" w:bidi="ar-SA"/>
        </w:rPr>
        <w:t>Deol v. Narcisse</w:t>
      </w:r>
      <w:r>
        <w:rPr>
          <w:rFonts w:ascii="arial" w:eastAsia="arial" w:hAnsi="arial" w:cs="arial"/>
          <w:color w:val="000000"/>
          <w:sz w:val="20"/>
          <w:lang w:val="en-US" w:eastAsia="en-US" w:bidi="ar-SA"/>
        </w:rPr>
        <w:t xml:space="preserve">, </w:t>
      </w:r>
      <w:hyperlink r:id="rId994" w:history="1">
        <w:r>
          <w:rPr>
            <w:rFonts w:ascii="arial" w:eastAsia="arial" w:hAnsi="arial" w:cs="arial"/>
            <w:i/>
            <w:color w:val="0077CC"/>
            <w:sz w:val="20"/>
            <w:u w:val="single"/>
            <w:shd w:val="clear" w:color="auto" w:fill="FFFFFF"/>
            <w:lang w:val="en-US" w:eastAsia="en-US" w:bidi="ar-SA"/>
          </w:rPr>
          <w:t>2002 BCSC 1748</w:t>
        </w:r>
      </w:hyperlink>
      <w:r>
        <w:rPr>
          <w:rFonts w:ascii="arial" w:eastAsia="arial" w:hAnsi="arial" w:cs="arial"/>
          <w:color w:val="000000"/>
          <w:sz w:val="20"/>
          <w:lang w:val="en-US" w:eastAsia="en-US" w:bidi="ar-SA"/>
        </w:rPr>
        <w:t xml:space="preserve">, CarswellBC 3062 ($100,000); </w:t>
      </w:r>
      <w:r>
        <w:rPr>
          <w:rFonts w:ascii="arial" w:eastAsia="arial" w:hAnsi="arial" w:cs="arial"/>
          <w:b/>
          <w:i/>
          <w:color w:val="000000"/>
          <w:sz w:val="20"/>
          <w:lang w:val="en-US" w:eastAsia="en-US" w:bidi="ar-SA"/>
        </w:rPr>
        <w:t>Johnstone v. H.M.T.Q.</w:t>
      </w:r>
      <w:r>
        <w:rPr>
          <w:rFonts w:ascii="arial" w:eastAsia="arial" w:hAnsi="arial" w:cs="arial"/>
          <w:color w:val="000000"/>
          <w:sz w:val="20"/>
          <w:lang w:val="en-US" w:eastAsia="en-US" w:bidi="ar-SA"/>
        </w:rPr>
        <w:t xml:space="preserve">, </w:t>
      </w:r>
      <w:hyperlink r:id="rId995" w:history="1">
        <w:r>
          <w:rPr>
            <w:rFonts w:ascii="arial" w:eastAsia="arial" w:hAnsi="arial" w:cs="arial"/>
            <w:i/>
            <w:color w:val="0077CC"/>
            <w:sz w:val="20"/>
            <w:u w:val="single"/>
            <w:shd w:val="clear" w:color="auto" w:fill="FFFFFF"/>
            <w:lang w:val="en-US" w:eastAsia="en-US" w:bidi="ar-SA"/>
          </w:rPr>
          <w:t>2006 BCSC 1867</w:t>
        </w:r>
      </w:hyperlink>
      <w:r>
        <w:rPr>
          <w:rFonts w:ascii="arial" w:eastAsia="arial" w:hAnsi="arial" w:cs="arial"/>
          <w:color w:val="000000"/>
          <w:sz w:val="20"/>
          <w:lang w:val="en-US" w:eastAsia="en-US" w:bidi="ar-SA"/>
        </w:rPr>
        <w:t xml:space="preserve">, CarswellBC 3118 ($100,000); </w:t>
      </w:r>
      <w:r>
        <w:rPr>
          <w:rFonts w:ascii="arial" w:eastAsia="arial" w:hAnsi="arial" w:cs="arial"/>
          <w:b/>
          <w:i/>
          <w:color w:val="000000"/>
          <w:sz w:val="20"/>
          <w:lang w:val="en-US" w:eastAsia="en-US" w:bidi="ar-SA"/>
        </w:rPr>
        <w:t>Schellak v. Barr</w:t>
      </w:r>
      <w:r>
        <w:rPr>
          <w:rFonts w:ascii="arial" w:eastAsia="arial" w:hAnsi="arial" w:cs="arial"/>
          <w:color w:val="000000"/>
          <w:sz w:val="20"/>
          <w:lang w:val="en-US" w:eastAsia="en-US" w:bidi="ar-SA"/>
        </w:rPr>
        <w:t xml:space="preserve">, </w:t>
      </w:r>
      <w:hyperlink r:id="rId996" w:history="1">
        <w:r>
          <w:rPr>
            <w:rFonts w:ascii="arial" w:eastAsia="arial" w:hAnsi="arial" w:cs="arial"/>
            <w:i/>
            <w:color w:val="0077CC"/>
            <w:sz w:val="20"/>
            <w:u w:val="single"/>
            <w:shd w:val="clear" w:color="auto" w:fill="FFFFFF"/>
            <w:lang w:val="en-US" w:eastAsia="en-US" w:bidi="ar-SA"/>
          </w:rPr>
          <w:t>2001 BCSC 1323</w:t>
        </w:r>
      </w:hyperlink>
      <w:r>
        <w:rPr>
          <w:rFonts w:ascii="arial" w:eastAsia="arial" w:hAnsi="arial" w:cs="arial"/>
          <w:color w:val="000000"/>
          <w:sz w:val="20"/>
          <w:lang w:val="en-US" w:eastAsia="en-US" w:bidi="ar-SA"/>
        </w:rPr>
        <w:t xml:space="preserve">, CarswellBC 2070 ($80,000) rev'd in part by </w:t>
      </w:r>
      <w:hyperlink r:id="rId997" w:history="1">
        <w:r>
          <w:rPr>
            <w:rFonts w:ascii="arial" w:eastAsia="arial" w:hAnsi="arial" w:cs="arial"/>
            <w:i/>
            <w:color w:val="0077CC"/>
            <w:sz w:val="20"/>
            <w:u w:val="single"/>
            <w:shd w:val="clear" w:color="auto" w:fill="FFFFFF"/>
            <w:lang w:val="en-US" w:eastAsia="en-US" w:bidi="ar-SA"/>
          </w:rPr>
          <w:t>2003 BCCA 5</w:t>
        </w:r>
      </w:hyperlink>
      <w:r>
        <w:rPr>
          <w:rFonts w:ascii="arial" w:eastAsia="arial" w:hAnsi="arial" w:cs="arial"/>
          <w:color w:val="000000"/>
          <w:sz w:val="20"/>
          <w:lang w:val="en-US" w:eastAsia="en-US" w:bidi="ar-SA"/>
        </w:rPr>
        <w:t xml:space="preserve">, </w:t>
      </w:r>
      <w:hyperlink r:id="rId997" w:history="1">
        <w:r>
          <w:rPr>
            <w:rFonts w:ascii="arial" w:eastAsia="arial" w:hAnsi="arial" w:cs="arial"/>
            <w:i/>
            <w:color w:val="0077CC"/>
            <w:sz w:val="20"/>
            <w:u w:val="single"/>
            <w:shd w:val="clear" w:color="auto" w:fill="FFFFFF"/>
            <w:lang w:val="en-US" w:eastAsia="en-US" w:bidi="ar-SA"/>
          </w:rPr>
          <w:t>8 B.C.L.R. (4th) 245</w:t>
        </w:r>
      </w:hyperlink>
      <w:r>
        <w:rPr>
          <w:rFonts w:ascii="arial" w:eastAsia="arial" w:hAnsi="arial" w:cs="arial"/>
          <w:color w:val="000000"/>
          <w:sz w:val="20"/>
          <w:lang w:val="en-US" w:eastAsia="en-US" w:bidi="ar-SA"/>
        </w:rPr>
        <w:t xml:space="preserve">; </w:t>
      </w:r>
      <w:r>
        <w:rPr>
          <w:rFonts w:ascii="arial" w:eastAsia="arial" w:hAnsi="arial" w:cs="arial"/>
          <w:b/>
          <w:i/>
          <w:color w:val="000000"/>
          <w:sz w:val="20"/>
          <w:lang w:val="en-US" w:eastAsia="en-US" w:bidi="ar-SA"/>
        </w:rPr>
        <w:t>Wong v. Luong</w:t>
      </w:r>
      <w:r>
        <w:rPr>
          <w:rFonts w:ascii="arial" w:eastAsia="arial" w:hAnsi="arial" w:cs="arial"/>
          <w:color w:val="000000"/>
          <w:sz w:val="20"/>
          <w:lang w:val="en-US" w:eastAsia="en-US" w:bidi="ar-SA"/>
        </w:rPr>
        <w:t xml:space="preserve">, </w:t>
      </w:r>
      <w:hyperlink r:id="rId998" w:history="1">
        <w:r>
          <w:rPr>
            <w:rFonts w:ascii="arial" w:eastAsia="arial" w:hAnsi="arial" w:cs="arial"/>
            <w:i/>
            <w:color w:val="0077CC"/>
            <w:sz w:val="20"/>
            <w:u w:val="single"/>
            <w:shd w:val="clear" w:color="auto" w:fill="FFFFFF"/>
            <w:lang w:val="en-US" w:eastAsia="en-US" w:bidi="ar-SA"/>
          </w:rPr>
          <w:t>2004 BCSC 1489</w:t>
        </w:r>
      </w:hyperlink>
      <w:r>
        <w:rPr>
          <w:rFonts w:ascii="arial" w:eastAsia="arial" w:hAnsi="arial" w:cs="arial"/>
          <w:color w:val="000000"/>
          <w:sz w:val="20"/>
          <w:lang w:val="en-US" w:eastAsia="en-US" w:bidi="ar-SA"/>
        </w:rPr>
        <w:t>, CarswellBC 2678 ($120,000).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84</w:t>
      </w:r>
      <w:r>
        <w:rPr>
          <w:rFonts w:ascii="arial" w:eastAsia="arial" w:hAnsi="arial" w:cs="arial"/>
          <w:color w:val="000000"/>
          <w:sz w:val="20"/>
          <w:lang w:val="en-US" w:eastAsia="en-US" w:bidi="ar-SA"/>
        </w:rPr>
        <w:t xml:space="preserve">  The defendant argues an award of $32,000 is more appropriate in the circumstances and relies on the following cases: </w:t>
      </w:r>
      <w:r>
        <w:rPr>
          <w:rFonts w:ascii="arial" w:eastAsia="arial" w:hAnsi="arial" w:cs="arial"/>
          <w:b/>
          <w:i/>
          <w:color w:val="000000"/>
          <w:sz w:val="20"/>
          <w:lang w:val="en-US" w:eastAsia="en-US" w:bidi="ar-SA"/>
        </w:rPr>
        <w:t>B.M.R. v. Carter</w:t>
      </w:r>
      <w:r>
        <w:rPr>
          <w:rFonts w:ascii="arial" w:eastAsia="arial" w:hAnsi="arial" w:cs="arial"/>
          <w:color w:val="000000"/>
          <w:sz w:val="20"/>
          <w:lang w:val="en-US" w:eastAsia="en-US" w:bidi="ar-SA"/>
        </w:rPr>
        <w:t xml:space="preserve">, </w:t>
      </w:r>
      <w:hyperlink r:id="rId999" w:history="1">
        <w:r>
          <w:rPr>
            <w:rFonts w:ascii="arial" w:eastAsia="arial" w:hAnsi="arial" w:cs="arial"/>
            <w:i/>
            <w:color w:val="0077CC"/>
            <w:sz w:val="20"/>
            <w:u w:val="single"/>
            <w:shd w:val="clear" w:color="auto" w:fill="FFFFFF"/>
            <w:lang w:val="en-US" w:eastAsia="en-US" w:bidi="ar-SA"/>
          </w:rPr>
          <w:t>2000 BCSC 660</w:t>
        </w:r>
      </w:hyperlink>
      <w:r>
        <w:rPr>
          <w:rFonts w:ascii="arial" w:eastAsia="arial" w:hAnsi="arial" w:cs="arial"/>
          <w:color w:val="000000"/>
          <w:sz w:val="20"/>
          <w:lang w:val="en-US" w:eastAsia="en-US" w:bidi="ar-SA"/>
        </w:rPr>
        <w:t xml:space="preserve">, CarswellBC 849 ($35,000); </w:t>
      </w:r>
      <w:r>
        <w:rPr>
          <w:rFonts w:ascii="arial" w:eastAsia="arial" w:hAnsi="arial" w:cs="arial"/>
          <w:b/>
          <w:i/>
          <w:color w:val="000000"/>
          <w:sz w:val="20"/>
          <w:lang w:val="en-US" w:eastAsia="en-US" w:bidi="ar-SA"/>
        </w:rPr>
        <w:t>Eaton v. Regan</w:t>
      </w:r>
      <w:r>
        <w:rPr>
          <w:rFonts w:ascii="arial" w:eastAsia="arial" w:hAnsi="arial" w:cs="arial"/>
          <w:color w:val="000000"/>
          <w:sz w:val="20"/>
          <w:lang w:val="en-US" w:eastAsia="en-US" w:bidi="ar-SA"/>
        </w:rPr>
        <w:t xml:space="preserve">, </w:t>
      </w:r>
      <w:hyperlink r:id="rId1000" w:history="1">
        <w:r>
          <w:rPr>
            <w:rFonts w:ascii="arial" w:eastAsia="arial" w:hAnsi="arial" w:cs="arial"/>
            <w:i/>
            <w:color w:val="0077CC"/>
            <w:sz w:val="20"/>
            <w:u w:val="single"/>
            <w:shd w:val="clear" w:color="auto" w:fill="FFFFFF"/>
            <w:lang w:val="en-US" w:eastAsia="en-US" w:bidi="ar-SA"/>
          </w:rPr>
          <w:t>2005 BCSC 3</w:t>
        </w:r>
      </w:hyperlink>
      <w:r>
        <w:rPr>
          <w:rFonts w:ascii="arial" w:eastAsia="arial" w:hAnsi="arial" w:cs="arial"/>
          <w:color w:val="000000"/>
          <w:sz w:val="20"/>
          <w:lang w:val="en-US" w:eastAsia="en-US" w:bidi="ar-SA"/>
        </w:rPr>
        <w:t xml:space="preserve">, CarswellBC 269 ($37,500); </w:t>
      </w:r>
      <w:r>
        <w:rPr>
          <w:rFonts w:ascii="arial" w:eastAsia="arial" w:hAnsi="arial" w:cs="arial"/>
          <w:b/>
          <w:i/>
          <w:color w:val="000000"/>
          <w:sz w:val="20"/>
          <w:lang w:val="en-US" w:eastAsia="en-US" w:bidi="ar-SA"/>
        </w:rPr>
        <w:t>Krause v. Gill</w:t>
      </w:r>
      <w:r>
        <w:rPr>
          <w:rFonts w:ascii="arial" w:eastAsia="arial" w:hAnsi="arial" w:cs="arial"/>
          <w:color w:val="000000"/>
          <w:sz w:val="20"/>
          <w:lang w:val="en-US" w:eastAsia="en-US" w:bidi="ar-SA"/>
        </w:rPr>
        <w:t xml:space="preserve">, </w:t>
      </w:r>
      <w:hyperlink r:id="rId1001" w:history="1">
        <w:r>
          <w:rPr>
            <w:rFonts w:ascii="arial" w:eastAsia="arial" w:hAnsi="arial" w:cs="arial"/>
            <w:i/>
            <w:color w:val="0077CC"/>
            <w:sz w:val="20"/>
            <w:u w:val="single"/>
            <w:shd w:val="clear" w:color="auto" w:fill="FFFFFF"/>
            <w:lang w:val="en-US" w:eastAsia="en-US" w:bidi="ar-SA"/>
          </w:rPr>
          <w:t>2006 BCSC 1459</w:t>
        </w:r>
      </w:hyperlink>
      <w:r>
        <w:rPr>
          <w:rFonts w:ascii="arial" w:eastAsia="arial" w:hAnsi="arial" w:cs="arial"/>
          <w:color w:val="000000"/>
          <w:sz w:val="20"/>
          <w:lang w:val="en-US" w:eastAsia="en-US" w:bidi="ar-SA"/>
        </w:rPr>
        <w:t xml:space="preserve">, CarswellBC 2422 ($30,000); </w:t>
      </w:r>
      <w:r>
        <w:rPr>
          <w:rFonts w:ascii="arial" w:eastAsia="arial" w:hAnsi="arial" w:cs="arial"/>
          <w:b/>
          <w:i/>
          <w:color w:val="000000"/>
          <w:sz w:val="20"/>
          <w:lang w:val="en-US" w:eastAsia="en-US" w:bidi="ar-SA"/>
        </w:rPr>
        <w:t>Masoodi v. Dennis</w:t>
      </w:r>
      <w:r>
        <w:rPr>
          <w:rFonts w:ascii="arial" w:eastAsia="arial" w:hAnsi="arial" w:cs="arial"/>
          <w:color w:val="000000"/>
          <w:sz w:val="20"/>
          <w:lang w:val="en-US" w:eastAsia="en-US" w:bidi="ar-SA"/>
        </w:rPr>
        <w:t xml:space="preserve">, </w:t>
      </w:r>
      <w:hyperlink r:id="rId1002" w:history="1">
        <w:r>
          <w:rPr>
            <w:rFonts w:ascii="arial" w:eastAsia="arial" w:hAnsi="arial" w:cs="arial"/>
            <w:i/>
            <w:color w:val="0077CC"/>
            <w:sz w:val="20"/>
            <w:u w:val="single"/>
            <w:shd w:val="clear" w:color="auto" w:fill="FFFFFF"/>
            <w:lang w:val="en-US" w:eastAsia="en-US" w:bidi="ar-SA"/>
          </w:rPr>
          <w:t>2000 BCSC 825</w:t>
        </w:r>
      </w:hyperlink>
      <w:r>
        <w:rPr>
          <w:rFonts w:ascii="arial" w:eastAsia="arial" w:hAnsi="arial" w:cs="arial"/>
          <w:color w:val="000000"/>
          <w:sz w:val="20"/>
          <w:lang w:val="en-US" w:eastAsia="en-US" w:bidi="ar-SA"/>
        </w:rPr>
        <w:t xml:space="preserve">, CarswellBC 1215 ($30,000); </w:t>
      </w:r>
      <w:r>
        <w:rPr>
          <w:rFonts w:ascii="arial" w:eastAsia="arial" w:hAnsi="arial" w:cs="arial"/>
          <w:b/>
          <w:i/>
          <w:color w:val="000000"/>
          <w:sz w:val="20"/>
          <w:lang w:val="en-US" w:eastAsia="en-US" w:bidi="ar-SA"/>
        </w:rPr>
        <w:t>Matkin v. Gaurian</w:t>
      </w:r>
      <w:r>
        <w:rPr>
          <w:rFonts w:ascii="arial" w:eastAsia="arial" w:hAnsi="arial" w:cs="arial"/>
          <w:color w:val="000000"/>
          <w:sz w:val="20"/>
          <w:lang w:val="en-US" w:eastAsia="en-US" w:bidi="ar-SA"/>
        </w:rPr>
        <w:t xml:space="preserve">, </w:t>
      </w:r>
      <w:hyperlink r:id="rId1003" w:history="1">
        <w:r>
          <w:rPr>
            <w:rFonts w:ascii="arial" w:eastAsia="arial" w:hAnsi="arial" w:cs="arial"/>
            <w:i/>
            <w:color w:val="0077CC"/>
            <w:sz w:val="20"/>
            <w:u w:val="single"/>
            <w:shd w:val="clear" w:color="auto" w:fill="FFFFFF"/>
            <w:lang w:val="en-US" w:eastAsia="en-US" w:bidi="ar-SA"/>
          </w:rPr>
          <w:t>2003 BCSC 763</w:t>
        </w:r>
      </w:hyperlink>
      <w:r>
        <w:rPr>
          <w:rFonts w:ascii="arial" w:eastAsia="arial" w:hAnsi="arial" w:cs="arial"/>
          <w:color w:val="000000"/>
          <w:sz w:val="20"/>
          <w:lang w:val="en-US" w:eastAsia="en-US" w:bidi="ar-SA"/>
        </w:rPr>
        <w:t xml:space="preserve">, CarswellBC 1162 (In Chambers) ($40,000); </w:t>
      </w:r>
      <w:r>
        <w:rPr>
          <w:rFonts w:ascii="arial" w:eastAsia="arial" w:hAnsi="arial" w:cs="arial"/>
          <w:b/>
          <w:i/>
          <w:color w:val="000000"/>
          <w:sz w:val="20"/>
          <w:lang w:val="en-US" w:eastAsia="en-US" w:bidi="ar-SA"/>
        </w:rPr>
        <w:t>Rod v. Greco</w:t>
      </w:r>
      <w:r>
        <w:rPr>
          <w:rFonts w:ascii="arial" w:eastAsia="arial" w:hAnsi="arial" w:cs="arial"/>
          <w:color w:val="000000"/>
          <w:sz w:val="20"/>
          <w:lang w:val="en-US" w:eastAsia="en-US" w:bidi="ar-SA"/>
        </w:rPr>
        <w:t xml:space="preserve">, </w:t>
      </w:r>
      <w:hyperlink r:id="rId1004" w:history="1">
        <w:r>
          <w:rPr>
            <w:rFonts w:ascii="arial" w:eastAsia="arial" w:hAnsi="arial" w:cs="arial"/>
            <w:i/>
            <w:color w:val="0077CC"/>
            <w:sz w:val="20"/>
            <w:u w:val="single"/>
            <w:shd w:val="clear" w:color="auto" w:fill="FFFFFF"/>
            <w:lang w:val="en-US" w:eastAsia="en-US" w:bidi="ar-SA"/>
          </w:rPr>
          <w:t>2003 BCSC 935</w:t>
        </w:r>
      </w:hyperlink>
      <w:r>
        <w:rPr>
          <w:rFonts w:ascii="arial" w:eastAsia="arial" w:hAnsi="arial" w:cs="arial"/>
          <w:color w:val="000000"/>
          <w:sz w:val="20"/>
          <w:lang w:val="en-US" w:eastAsia="en-US" w:bidi="ar-SA"/>
        </w:rPr>
        <w:t xml:space="preserve">, CarswellBC 1500 ($30,000); </w:t>
      </w:r>
      <w:r>
        <w:rPr>
          <w:rFonts w:ascii="arial" w:eastAsia="arial" w:hAnsi="arial" w:cs="arial"/>
          <w:b/>
          <w:i/>
          <w:color w:val="000000"/>
          <w:sz w:val="20"/>
          <w:lang w:val="en-US" w:eastAsia="en-US" w:bidi="ar-SA"/>
        </w:rPr>
        <w:t>Shum v. Viveiros</w:t>
      </w:r>
      <w:r>
        <w:rPr>
          <w:rFonts w:ascii="arial" w:eastAsia="arial" w:hAnsi="arial" w:cs="arial"/>
          <w:color w:val="000000"/>
          <w:sz w:val="20"/>
          <w:lang w:val="en-US" w:eastAsia="en-US" w:bidi="ar-SA"/>
        </w:rPr>
        <w:t xml:space="preserve">, </w:t>
      </w:r>
      <w:hyperlink r:id="rId1005" w:history="1">
        <w:r>
          <w:rPr>
            <w:rFonts w:ascii="arial" w:eastAsia="arial" w:hAnsi="arial" w:cs="arial"/>
            <w:i/>
            <w:color w:val="0077CC"/>
            <w:sz w:val="20"/>
            <w:u w:val="single"/>
            <w:shd w:val="clear" w:color="auto" w:fill="FFFFFF"/>
            <w:lang w:val="en-US" w:eastAsia="en-US" w:bidi="ar-SA"/>
          </w:rPr>
          <w:t>2006 BCSC 158</w:t>
        </w:r>
      </w:hyperlink>
      <w:r>
        <w:rPr>
          <w:rFonts w:ascii="arial" w:eastAsia="arial" w:hAnsi="arial" w:cs="arial"/>
          <w:color w:val="000000"/>
          <w:sz w:val="20"/>
          <w:lang w:val="en-US" w:eastAsia="en-US" w:bidi="ar-SA"/>
        </w:rPr>
        <w:t xml:space="preserve">, CarswellBC ($20,000); </w:t>
      </w:r>
      <w:r>
        <w:rPr>
          <w:rFonts w:ascii="arial" w:eastAsia="arial" w:hAnsi="arial" w:cs="arial"/>
          <w:b/>
          <w:i/>
          <w:color w:val="000000"/>
          <w:sz w:val="20"/>
          <w:lang w:val="en-US" w:eastAsia="en-US" w:bidi="ar-SA"/>
        </w:rPr>
        <w:t>Wallace v. Sakhon</w:t>
      </w:r>
      <w:r>
        <w:rPr>
          <w:rFonts w:ascii="arial" w:eastAsia="arial" w:hAnsi="arial" w:cs="arial"/>
          <w:color w:val="000000"/>
          <w:sz w:val="20"/>
          <w:lang w:val="en-US" w:eastAsia="en-US" w:bidi="ar-SA"/>
        </w:rPr>
        <w:t xml:space="preserve">, </w:t>
      </w:r>
      <w:hyperlink r:id="rId1006" w:history="1">
        <w:r>
          <w:rPr>
            <w:rFonts w:ascii="arial" w:eastAsia="arial" w:hAnsi="arial" w:cs="arial"/>
            <w:i/>
            <w:color w:val="0077CC"/>
            <w:sz w:val="20"/>
            <w:u w:val="single"/>
            <w:shd w:val="clear" w:color="auto" w:fill="FFFFFF"/>
            <w:lang w:val="en-US" w:eastAsia="en-US" w:bidi="ar-SA"/>
          </w:rPr>
          <w:t>[1994] B.C.J. No. 3104</w:t>
        </w:r>
      </w:hyperlink>
      <w:r>
        <w:rPr>
          <w:rFonts w:ascii="arial" w:eastAsia="arial" w:hAnsi="arial" w:cs="arial"/>
          <w:color w:val="000000"/>
          <w:sz w:val="20"/>
          <w:lang w:val="en-US" w:eastAsia="en-US" w:bidi="ar-SA"/>
        </w:rPr>
        <w:t>, CarswellBC 2120 (S.C.) ($35,000).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85</w:t>
      </w:r>
      <w:r>
        <w:rPr>
          <w:rFonts w:ascii="arial" w:eastAsia="arial" w:hAnsi="arial" w:cs="arial"/>
          <w:color w:val="000000"/>
          <w:sz w:val="20"/>
          <w:lang w:val="en-US" w:eastAsia="en-US" w:bidi="ar-SA"/>
        </w:rPr>
        <w:t>  There are a number of factors that affect the plaintiff's entitlement to non-pecuniary damages. With respect to the duration of the pain, the plaintiff's pain has become chronic in nature. She continues to experience pain in her rib cage and shoulder areas nearly four years after the Accident. The injuries resulted in treatments requiring painful injections to the shoulder and rib cage areas. Further, the injuries led to the development of sleeping problems which cause the plaintiff to often not feel rested in the morning. Overall, the prognosis for a full recovery is unclear and it appears that she will continue to be affected by the injuries for the foreseeable future.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86</w:t>
      </w:r>
      <w:r>
        <w:rPr>
          <w:rFonts w:ascii="arial" w:eastAsia="arial" w:hAnsi="arial" w:cs="arial"/>
          <w:color w:val="000000"/>
          <w:sz w:val="20"/>
          <w:lang w:val="en-US" w:eastAsia="en-US" w:bidi="ar-SA"/>
        </w:rPr>
        <w:t>  The plaintiff's lifestyle has been adversely affected in a number of ways and she now requires assistance in performing various household and personal tasks. The plaintiff's ability to participate in extra-curricular activities has also been affected. Prior to the Accident, the plaintiff was active and participated in a variety of activities with her family, particularly water-based sports. The injuries have subsequently limited her ability to participate in a number of those activities.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87</w:t>
      </w:r>
      <w:r>
        <w:rPr>
          <w:rFonts w:ascii="arial" w:eastAsia="arial" w:hAnsi="arial" w:cs="arial"/>
          <w:color w:val="000000"/>
          <w:sz w:val="20"/>
          <w:lang w:val="en-US" w:eastAsia="en-US" w:bidi="ar-SA"/>
        </w:rPr>
        <w:t xml:space="preserve">  The plaintiff's professional life was impacted by the Accident, to a certain degree. As stated in </w:t>
      </w:r>
      <w:r>
        <w:rPr>
          <w:rFonts w:ascii="arial" w:eastAsia="arial" w:hAnsi="arial" w:cs="arial"/>
          <w:b/>
          <w:i/>
          <w:color w:val="000000"/>
          <w:sz w:val="20"/>
          <w:lang w:val="en-US" w:eastAsia="en-US" w:bidi="ar-SA"/>
        </w:rPr>
        <w:t>Stapley</w:t>
      </w:r>
      <w:r>
        <w:rPr>
          <w:rFonts w:ascii="arial" w:eastAsia="arial" w:hAnsi="arial" w:cs="arial"/>
          <w:color w:val="000000"/>
          <w:sz w:val="20"/>
          <w:lang w:val="en-US" w:eastAsia="en-US" w:bidi="ar-SA"/>
        </w:rPr>
        <w:t xml:space="preserve">, the loss of a job that is regarded as more than simply a means of support has numerous tangible and intangible benefits that are "traditionally regarded as essential components of self-worth and emotional well-being": at para. 101, citing </w:t>
      </w:r>
      <w:r>
        <w:rPr>
          <w:rFonts w:ascii="arial" w:eastAsia="arial" w:hAnsi="arial" w:cs="arial"/>
          <w:b/>
          <w:i/>
          <w:color w:val="000000"/>
          <w:sz w:val="20"/>
          <w:lang w:val="en-US" w:eastAsia="en-US" w:bidi="ar-SA"/>
        </w:rPr>
        <w:t>Reference Re Public Service Employee Relations Act (Alberta)</w:t>
      </w:r>
      <w:r>
        <w:rPr>
          <w:rFonts w:ascii="arial" w:eastAsia="arial" w:hAnsi="arial" w:cs="arial"/>
          <w:color w:val="000000"/>
          <w:sz w:val="20"/>
          <w:lang w:val="en-US" w:eastAsia="en-US" w:bidi="ar-SA"/>
        </w:rPr>
        <w:t xml:space="preserve">, </w:t>
      </w:r>
      <w:hyperlink r:id="rId1007" w:history="1">
        <w:r>
          <w:rPr>
            <w:rFonts w:ascii="arial" w:eastAsia="arial" w:hAnsi="arial" w:cs="arial"/>
            <w:i/>
            <w:color w:val="0077CC"/>
            <w:sz w:val="20"/>
            <w:u w:val="single"/>
            <w:shd w:val="clear" w:color="auto" w:fill="FFFFFF"/>
            <w:lang w:val="en-US" w:eastAsia="en-US" w:bidi="ar-SA"/>
          </w:rPr>
          <w:t>[1987] 1 S.C.R. 313</w:t>
        </w:r>
      </w:hyperlink>
      <w:r>
        <w:rPr>
          <w:rFonts w:ascii="arial" w:eastAsia="arial" w:hAnsi="arial" w:cs="arial"/>
          <w:color w:val="000000"/>
          <w:sz w:val="20"/>
          <w:lang w:val="en-US" w:eastAsia="en-US" w:bidi="ar-SA"/>
        </w:rPr>
        <w:t xml:space="preserve">, </w:t>
      </w:r>
      <w:hyperlink r:id="rId1007" w:history="1">
        <w:r>
          <w:rPr>
            <w:rFonts w:ascii="arial" w:eastAsia="arial" w:hAnsi="arial" w:cs="arial"/>
            <w:i/>
            <w:color w:val="0077CC"/>
            <w:sz w:val="20"/>
            <w:u w:val="single"/>
            <w:shd w:val="clear" w:color="auto" w:fill="FFFFFF"/>
            <w:lang w:val="en-US" w:eastAsia="en-US" w:bidi="ar-SA"/>
          </w:rPr>
          <w:t>[1987] 3 W.W.R. 577</w:t>
        </w:r>
      </w:hyperlink>
      <w:r>
        <w:rPr>
          <w:rFonts w:ascii="arial" w:eastAsia="arial" w:hAnsi="arial" w:cs="arial"/>
          <w:color w:val="000000"/>
          <w:sz w:val="20"/>
          <w:lang w:val="en-US" w:eastAsia="en-US" w:bidi="ar-SA"/>
        </w:rPr>
        <w:t>. Such a loss can clearly have wide-ranging impacts on many different facets of an individual's lifestyle and affect their overall enjoyment of life.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88</w:t>
      </w:r>
      <w:r>
        <w:rPr>
          <w:rFonts w:ascii="arial" w:eastAsia="arial" w:hAnsi="arial" w:cs="arial"/>
          <w:color w:val="000000"/>
          <w:sz w:val="20"/>
          <w:lang w:val="en-US" w:eastAsia="en-US" w:bidi="ar-SA"/>
        </w:rPr>
        <w:t>  The evidence clearly demonstrated that the plaintiff thoroughly enjoyed her position at Sportsplex and she derived numerous intangible benefits from organizing and teaching various classes and camps and her interaction with the children. While I have concluded below, at paragraph 99, that the loss of the plaintiff's job was not solely caused by the injuries from the Accident, her injuries contributed to her departure from Sportsplex, and thus should be considered in assessing non-pecuniary 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89</w:t>
      </w:r>
      <w:r>
        <w:rPr>
          <w:rFonts w:ascii="arial" w:eastAsia="arial" w:hAnsi="arial" w:cs="arial"/>
          <w:color w:val="000000"/>
          <w:sz w:val="20"/>
          <w:lang w:val="en-US" w:eastAsia="en-US" w:bidi="ar-SA"/>
        </w:rPr>
        <w:t>  The Accident also caused emotional difficulties, including an anxiety disorder and depression, which have had significant adverse effects for the plaintiff and her family. These effects continue to manifest on a regular basis and likely will continue for some time further reducing the plaintiff's enjoyment of life.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i/>
          <w:color w:val="000000"/>
          <w:sz w:val="20"/>
          <w:lang w:val="en-US" w:eastAsia="en-US" w:bidi="ar-SA"/>
        </w:rPr>
        <w:t>Pre-existing condition and independent intervening event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90</w:t>
      </w:r>
      <w:r>
        <w:rPr>
          <w:rFonts w:ascii="arial" w:eastAsia="arial" w:hAnsi="arial" w:cs="arial"/>
          <w:color w:val="000000"/>
          <w:sz w:val="20"/>
          <w:lang w:val="en-US" w:eastAsia="en-US" w:bidi="ar-SA"/>
        </w:rPr>
        <w:t xml:space="preserve">  It is trite law that the general purpose in assessing damages is to restore the plaintiff to their original, or pre-accident, position. Through an award of damages a plaintiff is entitled to be restored to his or her original position, but they are not entitled to be placed in a better position: </w:t>
      </w:r>
      <w:r>
        <w:rPr>
          <w:rFonts w:ascii="arial" w:eastAsia="arial" w:hAnsi="arial" w:cs="arial"/>
          <w:b/>
          <w:i/>
          <w:color w:val="000000"/>
          <w:sz w:val="20"/>
          <w:lang w:val="en-US" w:eastAsia="en-US" w:bidi="ar-SA"/>
        </w:rPr>
        <w:t>Athey v. Leonati</w:t>
      </w:r>
      <w:r>
        <w:rPr>
          <w:rFonts w:ascii="arial" w:eastAsia="arial" w:hAnsi="arial" w:cs="arial"/>
          <w:color w:val="000000"/>
          <w:sz w:val="20"/>
          <w:lang w:val="en-US" w:eastAsia="en-US" w:bidi="ar-SA"/>
        </w:rPr>
        <w:t xml:space="preserve">, </w:t>
      </w:r>
      <w:hyperlink r:id="rId593" w:history="1">
        <w:r>
          <w:rPr>
            <w:rFonts w:ascii="arial" w:eastAsia="arial" w:hAnsi="arial" w:cs="arial"/>
            <w:i/>
            <w:color w:val="0077CC"/>
            <w:sz w:val="20"/>
            <w:u w:val="single"/>
            <w:shd w:val="clear" w:color="auto" w:fill="FFFFFF"/>
            <w:lang w:val="en-US" w:eastAsia="en-US" w:bidi="ar-SA"/>
          </w:rPr>
          <w:t>[1996] 3 S.C.R. 458</w:t>
        </w:r>
      </w:hyperlink>
      <w:r>
        <w:rPr>
          <w:rFonts w:ascii="arial" w:eastAsia="arial" w:hAnsi="arial" w:cs="arial"/>
          <w:color w:val="000000"/>
          <w:sz w:val="20"/>
          <w:lang w:val="en-US" w:eastAsia="en-US" w:bidi="ar-SA"/>
        </w:rPr>
        <w:t xml:space="preserve"> at para. 32, </w:t>
      </w:r>
      <w:hyperlink r:id="rId593" w:history="1">
        <w:r>
          <w:rPr>
            <w:rFonts w:ascii="arial" w:eastAsia="arial" w:hAnsi="arial" w:cs="arial"/>
            <w:i/>
            <w:color w:val="0077CC"/>
            <w:sz w:val="20"/>
            <w:u w:val="single"/>
            <w:shd w:val="clear" w:color="auto" w:fill="FFFFFF"/>
            <w:lang w:val="en-US" w:eastAsia="en-US" w:bidi="ar-SA"/>
          </w:rPr>
          <w:t>140 D.L.R. (4th) 235</w:t>
        </w:r>
      </w:hyperlink>
      <w:r>
        <w:rPr>
          <w:rFonts w:ascii="arial" w:eastAsia="arial" w:hAnsi="arial" w:cs="arial"/>
          <w:color w:val="000000"/>
          <w:sz w:val="20"/>
          <w:lang w:val="en-US" w:eastAsia="en-US" w:bidi="ar-SA"/>
        </w:rPr>
        <w:t xml:space="preserve">. Generally speaking, this requires the court to determine the plaintiff's original position and position subsequent to the negligent act, and award damages to reflect the difference: </w:t>
      </w:r>
      <w:r>
        <w:rPr>
          <w:rFonts w:ascii="arial" w:eastAsia="arial" w:hAnsi="arial" w:cs="arial"/>
          <w:b/>
          <w:i/>
          <w:color w:val="000000"/>
          <w:sz w:val="20"/>
          <w:lang w:val="en-US" w:eastAsia="en-US" w:bidi="ar-SA"/>
        </w:rPr>
        <w:t>Athey</w:t>
      </w:r>
      <w:r>
        <w:rPr>
          <w:rFonts w:ascii="arial" w:eastAsia="arial" w:hAnsi="arial" w:cs="arial"/>
          <w:color w:val="000000"/>
          <w:sz w:val="20"/>
          <w:lang w:val="en-US" w:eastAsia="en-US" w:bidi="ar-SA"/>
        </w:rPr>
        <w:t xml:space="preserve"> at para. 32; </w:t>
      </w:r>
      <w:r>
        <w:rPr>
          <w:rFonts w:ascii="arial" w:eastAsia="arial" w:hAnsi="arial" w:cs="arial"/>
          <w:b/>
          <w:i/>
          <w:color w:val="000000"/>
          <w:sz w:val="20"/>
          <w:lang w:val="en-US" w:eastAsia="en-US" w:bidi="ar-SA"/>
        </w:rPr>
        <w:t>Barnes v. Richardson</w:t>
      </w:r>
      <w:r>
        <w:rPr>
          <w:rFonts w:ascii="arial" w:eastAsia="arial" w:hAnsi="arial" w:cs="arial"/>
          <w:color w:val="000000"/>
          <w:sz w:val="20"/>
          <w:lang w:val="en-US" w:eastAsia="en-US" w:bidi="ar-SA"/>
        </w:rPr>
        <w:t xml:space="preserve">, </w:t>
      </w:r>
      <w:hyperlink r:id="rId1008" w:history="1">
        <w:r>
          <w:rPr>
            <w:rFonts w:ascii="arial" w:eastAsia="arial" w:hAnsi="arial" w:cs="arial"/>
            <w:i/>
            <w:color w:val="0077CC"/>
            <w:sz w:val="20"/>
            <w:u w:val="single"/>
            <w:shd w:val="clear" w:color="auto" w:fill="FFFFFF"/>
            <w:lang w:val="en-US" w:eastAsia="en-US" w:bidi="ar-SA"/>
          </w:rPr>
          <w:t>2008 BCSC 1349</w:t>
        </w:r>
      </w:hyperlink>
      <w:r>
        <w:rPr>
          <w:rFonts w:ascii="arial" w:eastAsia="arial" w:hAnsi="arial" w:cs="arial"/>
          <w:color w:val="000000"/>
          <w:sz w:val="20"/>
          <w:lang w:val="en-US" w:eastAsia="en-US" w:bidi="ar-SA"/>
        </w:rPr>
        <w:t xml:space="preserve"> at para. 84. In situations where the plaintiff has a pre-existing condition the thin skull or crumbling skull rule must inform the court's assessment of 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91</w:t>
      </w:r>
      <w:r>
        <w:rPr>
          <w:rFonts w:ascii="arial" w:eastAsia="arial" w:hAnsi="arial" w:cs="arial"/>
          <w:color w:val="000000"/>
          <w:sz w:val="20"/>
          <w:lang w:val="en-US" w:eastAsia="en-US" w:bidi="ar-SA"/>
        </w:rPr>
        <w:t xml:space="preserve">  In a thin skull situation, the plaintiff's pre-existing condition has not manifested, or in other words is not active or symptomatic, prior to the event in question. As the tortfeasor takes his or her victim as they find them, the tortfeasor is liable for all injuries even if the injuries are "unexpectedly severe owing to a pre-existing condition", as a result of their actions: </w:t>
      </w:r>
      <w:r>
        <w:rPr>
          <w:rFonts w:ascii="arial" w:eastAsia="arial" w:hAnsi="arial" w:cs="arial"/>
          <w:b/>
          <w:i/>
          <w:color w:val="000000"/>
          <w:sz w:val="20"/>
          <w:lang w:val="en-US" w:eastAsia="en-US" w:bidi="ar-SA"/>
        </w:rPr>
        <w:t>Athey</w:t>
      </w:r>
      <w:r>
        <w:rPr>
          <w:rFonts w:ascii="arial" w:eastAsia="arial" w:hAnsi="arial" w:cs="arial"/>
          <w:color w:val="000000"/>
          <w:sz w:val="20"/>
          <w:lang w:val="en-US" w:eastAsia="en-US" w:bidi="ar-SA"/>
        </w:rPr>
        <w:t xml:space="preserve"> at para. 34.</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92</w:t>
      </w:r>
      <w:r>
        <w:rPr>
          <w:rFonts w:ascii="arial" w:eastAsia="arial" w:hAnsi="arial" w:cs="arial"/>
          <w:color w:val="000000"/>
          <w:sz w:val="20"/>
          <w:lang w:val="en-US" w:eastAsia="en-US" w:bidi="ar-SA"/>
        </w:rPr>
        <w:t xml:space="preserve">  In a crumbling skull situation, as in this case, the plaintiff has a pre-existing condition which is active, or likely to become active. The pre-existing condition "does not have to be manifest or disabling at the time of the tort to be within the ambit of the crumbling skull rule": </w:t>
      </w:r>
      <w:r>
        <w:rPr>
          <w:rFonts w:ascii="arial" w:eastAsia="arial" w:hAnsi="arial" w:cs="arial"/>
          <w:b/>
          <w:i/>
          <w:color w:val="000000"/>
          <w:sz w:val="20"/>
          <w:lang w:val="en-US" w:eastAsia="en-US" w:bidi="ar-SA"/>
        </w:rPr>
        <w:t>Barnes</w:t>
      </w:r>
      <w:r>
        <w:rPr>
          <w:rFonts w:ascii="arial" w:eastAsia="arial" w:hAnsi="arial" w:cs="arial"/>
          <w:color w:val="000000"/>
          <w:sz w:val="20"/>
          <w:lang w:val="en-US" w:eastAsia="en-US" w:bidi="ar-SA"/>
        </w:rPr>
        <w:t xml:space="preserve"> at para. 89, citing </w:t>
      </w:r>
      <w:r>
        <w:rPr>
          <w:rFonts w:ascii="arial" w:eastAsia="arial" w:hAnsi="arial" w:cs="arial"/>
          <w:b/>
          <w:i/>
          <w:color w:val="000000"/>
          <w:sz w:val="20"/>
          <w:lang w:val="en-US" w:eastAsia="en-US" w:bidi="ar-SA"/>
        </w:rPr>
        <w:t>A. (T.W.N.) v. Clarke</w:t>
      </w:r>
      <w:r>
        <w:rPr>
          <w:rFonts w:ascii="arial" w:eastAsia="arial" w:hAnsi="arial" w:cs="arial"/>
          <w:color w:val="000000"/>
          <w:sz w:val="20"/>
          <w:lang w:val="en-US" w:eastAsia="en-US" w:bidi="ar-SA"/>
        </w:rPr>
        <w:t xml:space="preserve">, </w:t>
      </w:r>
      <w:hyperlink r:id="rId1009" w:history="1">
        <w:r>
          <w:rPr>
            <w:rFonts w:ascii="arial" w:eastAsia="arial" w:hAnsi="arial" w:cs="arial"/>
            <w:i/>
            <w:color w:val="0077CC"/>
            <w:sz w:val="20"/>
            <w:u w:val="single"/>
            <w:shd w:val="clear" w:color="auto" w:fill="FFFFFF"/>
            <w:lang w:val="en-US" w:eastAsia="en-US" w:bidi="ar-SA"/>
          </w:rPr>
          <w:t>2003 BCCA 670</w:t>
        </w:r>
      </w:hyperlink>
      <w:r>
        <w:rPr>
          <w:rFonts w:ascii="arial" w:eastAsia="arial" w:hAnsi="arial" w:cs="arial"/>
          <w:color w:val="000000"/>
          <w:sz w:val="20"/>
          <w:lang w:val="en-US" w:eastAsia="en-US" w:bidi="ar-SA"/>
        </w:rPr>
        <w:t xml:space="preserve">, </w:t>
      </w:r>
      <w:hyperlink r:id="rId1009" w:history="1">
        <w:r>
          <w:rPr>
            <w:rFonts w:ascii="arial" w:eastAsia="arial" w:hAnsi="arial" w:cs="arial"/>
            <w:i/>
            <w:color w:val="0077CC"/>
            <w:sz w:val="20"/>
            <w:u w:val="single"/>
            <w:shd w:val="clear" w:color="auto" w:fill="FFFFFF"/>
            <w:lang w:val="en-US" w:eastAsia="en-US" w:bidi="ar-SA"/>
          </w:rPr>
          <w:t>22 B.C.L.R. (4th) 1</w:t>
        </w:r>
      </w:hyperlink>
      <w:r>
        <w:rPr>
          <w:rFonts w:ascii="arial" w:eastAsia="arial" w:hAnsi="arial" w:cs="arial"/>
          <w:color w:val="000000"/>
          <w:sz w:val="20"/>
          <w:lang w:val="en-US" w:eastAsia="en-US" w:bidi="ar-SA"/>
        </w:rPr>
        <w:t xml:space="preserve"> at para. 62. In crumbling skull situations, the defendant is only liable for damages caused by the accident and responsible for returning the plaintiff to their original position. As Major J. stated in </w:t>
      </w:r>
      <w:r>
        <w:rPr>
          <w:rFonts w:ascii="arial" w:eastAsia="arial" w:hAnsi="arial" w:cs="arial"/>
          <w:b/>
          <w:i/>
          <w:color w:val="000000"/>
          <w:sz w:val="20"/>
          <w:lang w:val="en-US" w:eastAsia="en-US" w:bidi="ar-SA"/>
        </w:rPr>
        <w:t>Athey</w:t>
      </w:r>
      <w:r>
        <w:rPr>
          <w:rFonts w:ascii="arial" w:eastAsia="arial" w:hAnsi="arial" w:cs="arial"/>
          <w:color w:val="000000"/>
          <w:sz w:val="20"/>
          <w:lang w:val="en-US" w:eastAsia="en-US" w:bidi="ar-SA"/>
        </w:rPr>
        <w:t xml:space="preserve">: the defendant is liable for the additional damage but not the pre-existing damage: at para. 35. The defendant is therefore not liable for the effects of the pre-existing condition that the plaintiff would have experienced in any event: </w:t>
      </w:r>
      <w:r>
        <w:rPr>
          <w:rFonts w:ascii="arial" w:eastAsia="arial" w:hAnsi="arial" w:cs="arial"/>
          <w:b/>
          <w:i/>
          <w:color w:val="000000"/>
          <w:sz w:val="20"/>
          <w:lang w:val="en-US" w:eastAsia="en-US" w:bidi="ar-SA"/>
        </w:rPr>
        <w:t>A. (T.W.N.)</w:t>
      </w:r>
      <w:r>
        <w:rPr>
          <w:rFonts w:ascii="arial" w:eastAsia="arial" w:hAnsi="arial" w:cs="arial"/>
          <w:color w:val="000000"/>
          <w:sz w:val="20"/>
          <w:lang w:val="en-US" w:eastAsia="en-US" w:bidi="ar-SA"/>
        </w:rPr>
        <w:t xml:space="preserve"> at para. 52. If there is a "measurable risk" that the pre-existing condition would have impacted the plaintiff in the future then, regardless of the defendant's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a court can take this into account in awarding damages: at para. 35.</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93</w:t>
      </w:r>
      <w:r>
        <w:rPr>
          <w:rFonts w:ascii="arial" w:eastAsia="arial" w:hAnsi="arial" w:cs="arial"/>
          <w:color w:val="000000"/>
          <w:sz w:val="20"/>
          <w:lang w:val="en-US" w:eastAsia="en-US" w:bidi="ar-SA"/>
        </w:rPr>
        <w:t xml:space="preserve">  In addition, the defendant claims an independent intervening event, subsequent to the Accident, also had significant impact on the plaintiff. An independent intervening event is an unrelated event, such as disease or a non-tortious accident, that occurs after the plaintiff is injured. The impact of such events is taken into account in the same manner as pre-existing conditions: </w:t>
      </w:r>
      <w:r>
        <w:rPr>
          <w:rFonts w:ascii="arial" w:eastAsia="arial" w:hAnsi="arial" w:cs="arial"/>
          <w:b/>
          <w:i/>
          <w:color w:val="000000"/>
          <w:sz w:val="20"/>
          <w:lang w:val="en-US" w:eastAsia="en-US" w:bidi="ar-SA"/>
        </w:rPr>
        <w:t>Barnes</w:t>
      </w:r>
      <w:r>
        <w:rPr>
          <w:rFonts w:ascii="arial" w:eastAsia="arial" w:hAnsi="arial" w:cs="arial"/>
          <w:color w:val="000000"/>
          <w:sz w:val="20"/>
          <w:lang w:val="en-US" w:eastAsia="en-US" w:bidi="ar-SA"/>
        </w:rPr>
        <w:t xml:space="preserve"> at para. 96. Thus, the plaintiff is only entitled to damages which flow from the difference between his or her original position and their "injured position": </w:t>
      </w:r>
      <w:r>
        <w:rPr>
          <w:rFonts w:ascii="arial" w:eastAsia="arial" w:hAnsi="arial" w:cs="arial"/>
          <w:b/>
          <w:i/>
          <w:color w:val="000000"/>
          <w:sz w:val="20"/>
          <w:lang w:val="en-US" w:eastAsia="en-US" w:bidi="ar-SA"/>
        </w:rPr>
        <w:t>Athey</w:t>
      </w:r>
      <w:r>
        <w:rPr>
          <w:rFonts w:ascii="arial" w:eastAsia="arial" w:hAnsi="arial" w:cs="arial"/>
          <w:color w:val="000000"/>
          <w:sz w:val="20"/>
          <w:lang w:val="en-US" w:eastAsia="en-US" w:bidi="ar-SA"/>
        </w:rPr>
        <w:t xml:space="preserve"> at para. 32. If the unrelated event would have impacted the plaintiff's original position adversely, the "net loss" attributable to the accident at issue will not be as great and damages will be reduced proportionately: </w:t>
      </w:r>
      <w:r>
        <w:rPr>
          <w:rFonts w:ascii="arial" w:eastAsia="arial" w:hAnsi="arial" w:cs="arial"/>
          <w:b/>
          <w:i/>
          <w:color w:val="000000"/>
          <w:sz w:val="20"/>
          <w:lang w:val="en-US" w:eastAsia="en-US" w:bidi="ar-SA"/>
        </w:rPr>
        <w:t>Barnes</w:t>
      </w:r>
      <w:r>
        <w:rPr>
          <w:rFonts w:ascii="arial" w:eastAsia="arial" w:hAnsi="arial" w:cs="arial"/>
          <w:color w:val="000000"/>
          <w:sz w:val="20"/>
          <w:lang w:val="en-US" w:eastAsia="en-US" w:bidi="ar-SA"/>
        </w:rPr>
        <w:t xml:space="preserve"> at para. 96.</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94</w:t>
      </w:r>
      <w:r>
        <w:rPr>
          <w:rFonts w:ascii="arial" w:eastAsia="arial" w:hAnsi="arial" w:cs="arial"/>
          <w:color w:val="000000"/>
          <w:sz w:val="20"/>
          <w:lang w:val="en-US" w:eastAsia="en-US" w:bidi="ar-SA"/>
        </w:rPr>
        <w:t xml:space="preserve">  I note that our Court of Appeal has stated that a reduction in damages to reflect the impact of independent intervening events or pre-existing conditions applies equally to non-pecuniary and pecuniary damages: </w:t>
      </w:r>
      <w:r>
        <w:rPr>
          <w:rFonts w:ascii="arial" w:eastAsia="arial" w:hAnsi="arial" w:cs="arial"/>
          <w:b/>
          <w:i/>
          <w:color w:val="000000"/>
          <w:sz w:val="20"/>
          <w:lang w:val="en-US" w:eastAsia="en-US" w:bidi="ar-SA"/>
        </w:rPr>
        <w:t>A. (T.W.N.)</w:t>
      </w:r>
      <w:r>
        <w:rPr>
          <w:rFonts w:ascii="arial" w:eastAsia="arial" w:hAnsi="arial" w:cs="arial"/>
          <w:color w:val="000000"/>
          <w:sz w:val="20"/>
          <w:lang w:val="en-US" w:eastAsia="en-US" w:bidi="ar-SA"/>
        </w:rPr>
        <w:t xml:space="preserve"> at paras. 36-37; </w:t>
      </w:r>
      <w:r>
        <w:rPr>
          <w:rFonts w:ascii="arial" w:eastAsia="arial" w:hAnsi="arial" w:cs="arial"/>
          <w:b/>
          <w:i/>
          <w:color w:val="000000"/>
          <w:sz w:val="20"/>
          <w:lang w:val="en-US" w:eastAsia="en-US" w:bidi="ar-SA"/>
        </w:rPr>
        <w:t>Barnes</w:t>
      </w:r>
      <w:r>
        <w:rPr>
          <w:rFonts w:ascii="arial" w:eastAsia="arial" w:hAnsi="arial" w:cs="arial"/>
          <w:color w:val="000000"/>
          <w:sz w:val="20"/>
          <w:lang w:val="en-US" w:eastAsia="en-US" w:bidi="ar-SA"/>
        </w:rPr>
        <w:t xml:space="preserve"> at para. 90.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95</w:t>
      </w:r>
      <w:r>
        <w:rPr>
          <w:rFonts w:ascii="arial" w:eastAsia="arial" w:hAnsi="arial" w:cs="arial"/>
          <w:color w:val="000000"/>
          <w:sz w:val="20"/>
          <w:lang w:val="en-US" w:eastAsia="en-US" w:bidi="ar-SA"/>
        </w:rPr>
        <w:t>  In this case the defendant does not contest that the plaintiff suffered injuries as a result of the Accident. The defendant does however contest the severity of those injuries and the impact that those subsequently had on the plaintiff's physical and emotional health, as well as her employment situation.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96</w:t>
      </w:r>
      <w:r>
        <w:rPr>
          <w:rFonts w:ascii="arial" w:eastAsia="arial" w:hAnsi="arial" w:cs="arial"/>
          <w:color w:val="000000"/>
          <w:sz w:val="20"/>
          <w:lang w:val="en-US" w:eastAsia="en-US" w:bidi="ar-SA"/>
        </w:rPr>
        <w:t>  The plaintiff had pre-existing back and neck injuries and suffered a knee injury subsequent to the Accident. At issue is the impact of such injuries on the plaintiff's ability to continue her position as a skating instructor, or whether the injuries resulting from the Accident were responsible for causing her to change positions.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97</w:t>
      </w:r>
      <w:r>
        <w:rPr>
          <w:rFonts w:ascii="arial" w:eastAsia="arial" w:hAnsi="arial" w:cs="arial"/>
          <w:color w:val="000000"/>
          <w:sz w:val="20"/>
          <w:lang w:val="en-US" w:eastAsia="en-US" w:bidi="ar-SA"/>
        </w:rPr>
        <w:t>  The pre-existing conditions and knee injury caused the plaintiff to miss a number of months of work when they occurred. I accept the evidence contained in Dr. MacIntosh's report (January 26, 2005) that the plaintiff's pre-existing neck and back injuries would have materially impacted the plaintiff's ability to continue working as a skating instructor, given the physical demands of that position. Likewise, I find the knee injury would have further impacted her ability to continue that job into the future. Prior to the Accident, the plaintiff had complained, of neck pain resulting from teaching four classes in one day. Further, the plaintiff left her position at Sportsplex soon after she returned to work following her knee injury as she was not able to perform her duties to the same level as previously.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98</w:t>
      </w:r>
      <w:r>
        <w:rPr>
          <w:rFonts w:ascii="arial" w:eastAsia="arial" w:hAnsi="arial" w:cs="arial"/>
          <w:color w:val="000000"/>
          <w:sz w:val="20"/>
          <w:lang w:val="en-US" w:eastAsia="en-US" w:bidi="ar-SA"/>
        </w:rPr>
        <w:t>  I accept however, that the injuries from the Accident also impacted the plaintiff at work. The evidence indicated that a number of her duties at Sportsplex aggravated the injuries suffered in the Accident. While the evidence did not demonstrate that those injuries alone caused the plaintiff's departure from Sportsplex, the evidence did show that the plaintiff's abilities to perform her job duties were adversely affected as a result.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99</w:t>
      </w:r>
      <w:r>
        <w:rPr>
          <w:rFonts w:ascii="arial" w:eastAsia="arial" w:hAnsi="arial" w:cs="arial"/>
          <w:color w:val="000000"/>
          <w:sz w:val="20"/>
          <w:lang w:val="en-US" w:eastAsia="en-US" w:bidi="ar-SA"/>
        </w:rPr>
        <w:t xml:space="preserve">  I conclude there was a real and significant chance that the plaintiff's pre-existing injuries and the injury suffered after the Accident would have shortened the plaintiff's career as a skating instructor, regardless of the injuries from the Accident. These injuries ultimately affect the plaintiff's original position and must be taken into account in the assessment of damages. The risk that these injuries would have reduced the plaintiff's chosen career will be taken into account based on its relative likelihood in determining the overall assessment of damages: </w:t>
      </w:r>
      <w:r>
        <w:rPr>
          <w:rFonts w:ascii="arial" w:eastAsia="arial" w:hAnsi="arial" w:cs="arial"/>
          <w:b/>
          <w:i/>
          <w:color w:val="000000"/>
          <w:sz w:val="20"/>
          <w:lang w:val="en-US" w:eastAsia="en-US" w:bidi="ar-SA"/>
        </w:rPr>
        <w:t>McKelvie v. Ng</w:t>
      </w:r>
      <w:r>
        <w:rPr>
          <w:rFonts w:ascii="arial" w:eastAsia="arial" w:hAnsi="arial" w:cs="arial"/>
          <w:color w:val="000000"/>
          <w:sz w:val="20"/>
          <w:lang w:val="en-US" w:eastAsia="en-US" w:bidi="ar-SA"/>
        </w:rPr>
        <w:t xml:space="preserve">, </w:t>
      </w:r>
      <w:hyperlink r:id="rId1010" w:history="1">
        <w:r>
          <w:rPr>
            <w:rFonts w:ascii="arial" w:eastAsia="arial" w:hAnsi="arial" w:cs="arial"/>
            <w:i/>
            <w:color w:val="0077CC"/>
            <w:sz w:val="20"/>
            <w:u w:val="single"/>
            <w:shd w:val="clear" w:color="auto" w:fill="FFFFFF"/>
            <w:lang w:val="en-US" w:eastAsia="en-US" w:bidi="ar-SA"/>
          </w:rPr>
          <w:t>2001 BCCA 384</w:t>
        </w:r>
      </w:hyperlink>
      <w:r>
        <w:rPr>
          <w:rFonts w:ascii="arial" w:eastAsia="arial" w:hAnsi="arial" w:cs="arial"/>
          <w:color w:val="000000"/>
          <w:sz w:val="20"/>
          <w:lang w:val="en-US" w:eastAsia="en-US" w:bidi="ar-SA"/>
        </w:rPr>
        <w:t xml:space="preserve">, </w:t>
      </w:r>
      <w:hyperlink r:id="rId1010" w:history="1">
        <w:r>
          <w:rPr>
            <w:rFonts w:ascii="arial" w:eastAsia="arial" w:hAnsi="arial" w:cs="arial"/>
            <w:i/>
            <w:color w:val="0077CC"/>
            <w:sz w:val="20"/>
            <w:u w:val="single"/>
            <w:shd w:val="clear" w:color="auto" w:fill="FFFFFF"/>
            <w:lang w:val="en-US" w:eastAsia="en-US" w:bidi="ar-SA"/>
          </w:rPr>
          <w:t>90 B.C.L.R. (3d) 62</w:t>
        </w:r>
      </w:hyperlink>
      <w:r>
        <w:rPr>
          <w:rFonts w:ascii="arial" w:eastAsia="arial" w:hAnsi="arial" w:cs="arial"/>
          <w:color w:val="000000"/>
          <w:sz w:val="20"/>
          <w:lang w:val="en-US" w:eastAsia="en-US" w:bidi="ar-SA"/>
        </w:rPr>
        <w:t xml:space="preserve"> at para. 17. Accordingly, non-pecuniary damages should be reduced by 10% to reflect such a risk.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100</w:t>
      </w:r>
      <w:r>
        <w:rPr>
          <w:rFonts w:ascii="arial" w:eastAsia="arial" w:hAnsi="arial" w:cs="arial"/>
          <w:color w:val="000000"/>
          <w:sz w:val="20"/>
          <w:lang w:val="en-US" w:eastAsia="en-US" w:bidi="ar-SA"/>
        </w:rPr>
        <w:t>  In assessing all of the relevant evidence, I conclude the injuries continue to adversely affect the plaintiff in a number of ways and award $75,000 for non-pecuniary damages. I will deduct 10% as a contingency to reflect the plaintiff's pre-existing condition and the effect of the subsequent knee injury.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i/>
          <w:color w:val="000000"/>
          <w:sz w:val="20"/>
          <w:lang w:val="en-US" w:eastAsia="en-US" w:bidi="ar-SA"/>
        </w:rPr>
        <w:t>Special 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101</w:t>
      </w:r>
      <w:r>
        <w:rPr>
          <w:rFonts w:ascii="arial" w:eastAsia="arial" w:hAnsi="arial" w:cs="arial"/>
          <w:color w:val="000000"/>
          <w:sz w:val="20"/>
          <w:lang w:val="en-US" w:eastAsia="en-US" w:bidi="ar-SA"/>
        </w:rPr>
        <w:t>  The defendant agrees to cover the plaintiff's physiotherapy costs from April to May of 2005, as well as an acupuncture treatment from September 28, 2005. Given my finding that the plaintiff's driving anxiety is causally linked to the Accident, the defendant accepts the costs associated with Mr. Peel's treatment.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i/>
          <w:color w:val="000000"/>
          <w:sz w:val="20"/>
          <w:lang w:val="en-US" w:eastAsia="en-US" w:bidi="ar-SA"/>
        </w:rPr>
        <w:t>Cost of Future Care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102</w:t>
      </w:r>
      <w:r>
        <w:rPr>
          <w:rFonts w:ascii="arial" w:eastAsia="arial" w:hAnsi="arial" w:cs="arial"/>
          <w:color w:val="000000"/>
          <w:sz w:val="20"/>
          <w:lang w:val="en-US" w:eastAsia="en-US" w:bidi="ar-SA"/>
        </w:rPr>
        <w:t>  The plaintiff claims for attendance at a pain clinic in order to provide some assistance with her continuing symptoms. The defendant contests this claim. There was very little evidence presented at trial with respect to this claim. I agree with the defendant that the plaintiff failed to meet her burden of showing the medical justification of such treatment. The evidence was equivocal as to the benefit of such a program. Dr. Dhawan stated in cross-examination that a pain clinic may be helpful, but equally may not be helpful. The plaintiff's personal physician could not provide any substantive opinion as to the effect of such a clinic on the plaintiff's injuries.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103</w:t>
      </w:r>
      <w:r>
        <w:rPr>
          <w:rFonts w:ascii="arial" w:eastAsia="arial" w:hAnsi="arial" w:cs="arial"/>
          <w:color w:val="000000"/>
          <w:sz w:val="20"/>
          <w:lang w:val="en-US" w:eastAsia="en-US" w:bidi="ar-SA"/>
        </w:rPr>
        <w:t>  There were no other claims for future cost of care.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104</w:t>
      </w:r>
      <w:r>
        <w:rPr>
          <w:rFonts w:ascii="arial" w:eastAsia="arial" w:hAnsi="arial" w:cs="arial"/>
          <w:color w:val="000000"/>
          <w:sz w:val="20"/>
          <w:lang w:val="en-US" w:eastAsia="en-US" w:bidi="ar-SA"/>
        </w:rPr>
        <w:t xml:space="preserve">  Accordingly, I find the plaintiff has not satisfied her onus to provide medical justification for her future cost of care claim: </w:t>
      </w:r>
      <w:r>
        <w:rPr>
          <w:rFonts w:ascii="arial" w:eastAsia="arial" w:hAnsi="arial" w:cs="arial"/>
          <w:b/>
          <w:i/>
          <w:color w:val="000000"/>
          <w:sz w:val="20"/>
          <w:lang w:val="en-US" w:eastAsia="en-US" w:bidi="ar-SA"/>
        </w:rPr>
        <w:t>Milina v. Bartsch</w:t>
      </w:r>
      <w:r>
        <w:rPr>
          <w:rFonts w:ascii="arial" w:eastAsia="arial" w:hAnsi="arial" w:cs="arial"/>
          <w:color w:val="000000"/>
          <w:sz w:val="20"/>
          <w:lang w:val="en-US" w:eastAsia="en-US" w:bidi="ar-SA"/>
        </w:rPr>
        <w:t xml:space="preserve"> </w:t>
      </w:r>
      <w:hyperlink r:id="rId1011" w:history="1">
        <w:r>
          <w:rPr>
            <w:rFonts w:ascii="arial" w:eastAsia="arial" w:hAnsi="arial" w:cs="arial"/>
            <w:i/>
            <w:color w:val="0077CC"/>
            <w:sz w:val="20"/>
            <w:u w:val="single"/>
            <w:shd w:val="clear" w:color="auto" w:fill="FFFFFF"/>
            <w:lang w:val="en-US" w:eastAsia="en-US" w:bidi="ar-SA"/>
          </w:rPr>
          <w:t>(1985), 49 B.C.L.R. (2d) 33</w:t>
        </w:r>
      </w:hyperlink>
      <w:r>
        <w:rPr>
          <w:rFonts w:ascii="arial" w:eastAsia="arial" w:hAnsi="arial" w:cs="arial"/>
          <w:color w:val="000000"/>
          <w:sz w:val="20"/>
          <w:lang w:val="en-US" w:eastAsia="en-US" w:bidi="ar-SA"/>
        </w:rPr>
        <w:t xml:space="preserve">, CarswellBC 13 (S.C.) at para. 211, aff'd by </w:t>
      </w:r>
      <w:hyperlink r:id="rId1012" w:history="1">
        <w:r>
          <w:rPr>
            <w:rFonts w:ascii="arial" w:eastAsia="arial" w:hAnsi="arial" w:cs="arial"/>
            <w:i/>
            <w:color w:val="0077CC"/>
            <w:sz w:val="20"/>
            <w:u w:val="single"/>
            <w:shd w:val="clear" w:color="auto" w:fill="FFFFFF"/>
            <w:lang w:val="en-US" w:eastAsia="en-US" w:bidi="ar-SA"/>
          </w:rPr>
          <w:t>(1987), 49 B.C.L.R. (2d) 99</w:t>
        </w:r>
      </w:hyperlink>
      <w:r>
        <w:rPr>
          <w:rFonts w:ascii="arial" w:eastAsia="arial" w:hAnsi="arial" w:cs="arial"/>
          <w:color w:val="000000"/>
          <w:sz w:val="20"/>
          <w:lang w:val="en-US" w:eastAsia="en-US" w:bidi="ar-SA"/>
        </w:rPr>
        <w:t xml:space="preserve"> (C.A.).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i/>
          <w:color w:val="000000"/>
          <w:sz w:val="20"/>
          <w:lang w:val="en-US" w:eastAsia="en-US" w:bidi="ar-SA"/>
        </w:rPr>
        <w:t>Past Wage Loss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105</w:t>
      </w:r>
      <w:r>
        <w:rPr>
          <w:rFonts w:ascii="arial" w:eastAsia="arial" w:hAnsi="arial" w:cs="arial"/>
          <w:color w:val="000000"/>
          <w:sz w:val="20"/>
          <w:lang w:val="en-US" w:eastAsia="en-US" w:bidi="ar-SA"/>
        </w:rPr>
        <w:t xml:space="preserve">  A claim for past income loss is a claim for loss of earning capacity resulting from the effects of injuries suffered in an accident. As the decision of </w:t>
      </w:r>
      <w:r>
        <w:rPr>
          <w:rFonts w:ascii="arial" w:eastAsia="arial" w:hAnsi="arial" w:cs="arial"/>
          <w:b/>
          <w:i/>
          <w:color w:val="000000"/>
          <w:sz w:val="20"/>
          <w:lang w:val="en-US" w:eastAsia="en-US" w:bidi="ar-SA"/>
        </w:rPr>
        <w:t>Rowe v. Bobell Express Ltd.</w:t>
      </w:r>
      <w:r>
        <w:rPr>
          <w:rFonts w:ascii="arial" w:eastAsia="arial" w:hAnsi="arial" w:cs="arial"/>
          <w:color w:val="000000"/>
          <w:sz w:val="20"/>
          <w:lang w:val="en-US" w:eastAsia="en-US" w:bidi="ar-SA"/>
        </w:rPr>
        <w:t xml:space="preserve">, </w:t>
      </w:r>
      <w:hyperlink r:id="rId1013" w:history="1">
        <w:r>
          <w:rPr>
            <w:rFonts w:ascii="arial" w:eastAsia="arial" w:hAnsi="arial" w:cs="arial"/>
            <w:i/>
            <w:color w:val="0077CC"/>
            <w:sz w:val="20"/>
            <w:u w:val="single"/>
            <w:shd w:val="clear" w:color="auto" w:fill="FFFFFF"/>
            <w:lang w:val="en-US" w:eastAsia="en-US" w:bidi="ar-SA"/>
          </w:rPr>
          <w:t>2005 BCCA 141</w:t>
        </w:r>
      </w:hyperlink>
      <w:r>
        <w:rPr>
          <w:rFonts w:ascii="arial" w:eastAsia="arial" w:hAnsi="arial" w:cs="arial"/>
          <w:color w:val="000000"/>
          <w:sz w:val="20"/>
          <w:lang w:val="en-US" w:eastAsia="en-US" w:bidi="ar-SA"/>
        </w:rPr>
        <w:t xml:space="preserve">, </w:t>
      </w:r>
      <w:hyperlink r:id="rId1013" w:history="1">
        <w:r>
          <w:rPr>
            <w:rFonts w:ascii="arial" w:eastAsia="arial" w:hAnsi="arial" w:cs="arial"/>
            <w:i/>
            <w:color w:val="0077CC"/>
            <w:sz w:val="20"/>
            <w:u w:val="single"/>
            <w:shd w:val="clear" w:color="auto" w:fill="FFFFFF"/>
            <w:lang w:val="en-US" w:eastAsia="en-US" w:bidi="ar-SA"/>
          </w:rPr>
          <w:t>251 D.L.R. (4th) 290</w:t>
        </w:r>
      </w:hyperlink>
      <w:r>
        <w:rPr>
          <w:rFonts w:ascii="arial" w:eastAsia="arial" w:hAnsi="arial" w:cs="arial"/>
          <w:color w:val="000000"/>
          <w:sz w:val="20"/>
          <w:lang w:val="en-US" w:eastAsia="en-US" w:bidi="ar-SA"/>
        </w:rPr>
        <w:t>, makes clear, this type of claim is for the "loss of the value of the work that the injured plaintiff would have performed but was unable to perform because of the injury": at para 30.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106</w:t>
      </w:r>
      <w:r>
        <w:rPr>
          <w:rFonts w:ascii="arial" w:eastAsia="arial" w:hAnsi="arial" w:cs="arial"/>
          <w:color w:val="000000"/>
          <w:sz w:val="20"/>
          <w:lang w:val="en-US" w:eastAsia="en-US" w:bidi="ar-SA"/>
        </w:rPr>
        <w:t>  The defendant concedes that the plaintiff missed approximately five months of work at Sportsplex. The defendant submits that the plaintiff missed approximately five months of employment from the time of the Accident until September 2005. Accordingly, an award of $9,555 (gross) is appropriate, based on a 35 hour work week at $13 per hour for 21 weeks.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107</w:t>
      </w:r>
      <w:r>
        <w:rPr>
          <w:rFonts w:ascii="arial" w:eastAsia="arial" w:hAnsi="arial" w:cs="arial"/>
          <w:color w:val="000000"/>
          <w:sz w:val="20"/>
          <w:lang w:val="en-US" w:eastAsia="en-US" w:bidi="ar-SA"/>
        </w:rPr>
        <w:t>  The plaintiff submits the amount of $13,130 (gross) is the proper amount for this head of damage. She argues that in addition to missing five months of work immediately following the Accident, she was unable to work all of her scheduled hours upon her return to work from September to November 2005 due to her injuries, resulting in additional loss of income. In total 1010 hours are claimed, but in adding the figures presented in Exhibit 9, it appears the plaintiff missed a total of 1004.5 hours. This results in a loss of $13,058.50.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108</w:t>
      </w:r>
      <w:r>
        <w:rPr>
          <w:rFonts w:ascii="arial" w:eastAsia="arial" w:hAnsi="arial" w:cs="arial"/>
          <w:color w:val="000000"/>
          <w:sz w:val="20"/>
          <w:lang w:val="en-US" w:eastAsia="en-US" w:bidi="ar-SA"/>
        </w:rPr>
        <w:t>  I conclude that the plaintiff's injuries continued to affect her ability to perform her duties at work following her return in September 2005. I further conclude that the plaintiff would have worked her scheduled hours at Sportsplex had she not continued to experience symptoms resulting from her injuries during that period. Accordingly, I award $13,058.50 for past loss of income.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i/>
          <w:color w:val="000000"/>
          <w:sz w:val="20"/>
          <w:lang w:val="en-US" w:eastAsia="en-US" w:bidi="ar-SA"/>
        </w:rPr>
        <w:t>Loss of Capacity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109</w:t>
      </w:r>
      <w:r>
        <w:rPr>
          <w:rFonts w:ascii="arial" w:eastAsia="arial" w:hAnsi="arial" w:cs="arial"/>
          <w:color w:val="000000"/>
          <w:sz w:val="20"/>
          <w:lang w:val="en-US" w:eastAsia="en-US" w:bidi="ar-SA"/>
        </w:rPr>
        <w:t>  The plaintiff argues that since she no longer has the capacity to work as a skating instructor and given her love for her job at Sportsplex, she is entitled to an award to compensate that loss. She argues that loss is $75,000, which is comparable to two years of employment. The plaintiff argues that while she located alternative employment, it is not as satisfying as her position at Sportsplex and consequently there is a reasonable possibility she will end her career earlier than had she continued to work at Sportsplex.</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110</w:t>
      </w:r>
      <w:r>
        <w:rPr>
          <w:rFonts w:ascii="arial" w:eastAsia="arial" w:hAnsi="arial" w:cs="arial"/>
          <w:color w:val="000000"/>
          <w:sz w:val="20"/>
          <w:lang w:val="en-US" w:eastAsia="en-US" w:bidi="ar-SA"/>
        </w:rPr>
        <w:t xml:space="preserve">  Given that the plaintiff is currently employed in a position that pays a significantly higher hourly wage than her position at Sportsplex, this argument is more appropriately dealt with in non-pecuniary damages than in loss of capacity. The evidence demonstrated, without doubt, that the plaintiff thoroughly enjoyed her position at Sportsplex, notwithstanding its lower hourly wage, due to the numerous non-financial benefits, or rewards, she received from it. Consequently, that loss is most appropriately dealt with in assessing non-pecuniary damages which seeks to account for the loss of enjoyment of life, amongst other things: </w:t>
      </w:r>
      <w:r>
        <w:rPr>
          <w:rFonts w:ascii="arial" w:eastAsia="arial" w:hAnsi="arial" w:cs="arial"/>
          <w:b/>
          <w:i/>
          <w:color w:val="000000"/>
          <w:sz w:val="20"/>
          <w:lang w:val="en-US" w:eastAsia="en-US" w:bidi="ar-SA"/>
        </w:rPr>
        <w:t>Stapley</w:t>
      </w:r>
      <w:r>
        <w:rPr>
          <w:rFonts w:ascii="arial" w:eastAsia="arial" w:hAnsi="arial" w:cs="arial"/>
          <w:color w:val="000000"/>
          <w:sz w:val="20"/>
          <w:lang w:val="en-US" w:eastAsia="en-US" w:bidi="ar-SA"/>
        </w:rPr>
        <w:t xml:space="preserve"> at paras. 101-104. In assessing non-pecuniary damages, I have taken into account this loss to the plaintiff in determining an appropriate award.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111</w:t>
      </w:r>
      <w:r>
        <w:rPr>
          <w:rFonts w:ascii="arial" w:eastAsia="arial" w:hAnsi="arial" w:cs="arial"/>
          <w:color w:val="000000"/>
          <w:sz w:val="20"/>
          <w:lang w:val="en-US" w:eastAsia="en-US" w:bidi="ar-SA"/>
        </w:rPr>
        <w:t>  As well, with respect to the plaintiff's argument she will retire earlier than she would have because she no longer enjoys her job, that is a matter of personal choice which cannot be argued as resulting from a loss of capacity.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112</w:t>
      </w:r>
      <w:r>
        <w:rPr>
          <w:rFonts w:ascii="arial" w:eastAsia="arial" w:hAnsi="arial" w:cs="arial"/>
          <w:color w:val="000000"/>
          <w:sz w:val="20"/>
          <w:lang w:val="en-US" w:eastAsia="en-US" w:bidi="ar-SA"/>
        </w:rPr>
        <w:t xml:space="preserve">  However, I do accept that some more physical jobs are now closed to her and I award $20,000 with respect to that loss. As stated in </w:t>
      </w:r>
      <w:r>
        <w:rPr>
          <w:rFonts w:ascii="arial" w:eastAsia="arial" w:hAnsi="arial" w:cs="arial"/>
          <w:b/>
          <w:i/>
          <w:color w:val="000000"/>
          <w:sz w:val="20"/>
          <w:lang w:val="en-US" w:eastAsia="en-US" w:bidi="ar-SA"/>
        </w:rPr>
        <w:t>A. (T.W.N.)</w:t>
      </w:r>
      <w:r>
        <w:rPr>
          <w:rFonts w:ascii="arial" w:eastAsia="arial" w:hAnsi="arial" w:cs="arial"/>
          <w:color w:val="000000"/>
          <w:sz w:val="20"/>
          <w:lang w:val="en-US" w:eastAsia="en-US" w:bidi="ar-SA"/>
        </w:rPr>
        <w:t>, a deduction must be made to an award for loss of capacity if the plaintiff has a pre-existing condition or if an independent intervening event occurs: at para. 37. I will deduct a 10% contingency to reflect this risk based on my earlier findings.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i/>
          <w:color w:val="000000"/>
          <w:sz w:val="20"/>
          <w:lang w:val="en-US" w:eastAsia="en-US" w:bidi="ar-SA"/>
        </w:rPr>
        <w:t>Future Loss of Income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113</w:t>
      </w:r>
      <w:r>
        <w:rPr>
          <w:rFonts w:ascii="arial" w:eastAsia="arial" w:hAnsi="arial" w:cs="arial"/>
          <w:color w:val="000000"/>
          <w:sz w:val="20"/>
          <w:lang w:val="en-US" w:eastAsia="en-US" w:bidi="ar-SA"/>
        </w:rPr>
        <w:t>  The plaintiff submits that due to her attendance at a pain clinic she will miss approximately six weeks of work and seeks to recover approximately $3,990 in lost wages. The defendant argues the plaintiff is not entitled to such an amount on the basis that the evidence does not support her attendance at the pain clinic.</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114</w:t>
      </w:r>
      <w:r>
        <w:rPr>
          <w:rFonts w:ascii="arial" w:eastAsia="arial" w:hAnsi="arial" w:cs="arial"/>
          <w:color w:val="000000"/>
          <w:sz w:val="20"/>
          <w:lang w:val="en-US" w:eastAsia="en-US" w:bidi="ar-SA"/>
        </w:rPr>
        <w:t>  Based on my finding above, at paragraph 104, the plaintiff's claim under this head of damages must be dismissed as she failed to adduce sufficient evidence to support her claim for attendance at a pain clinic.</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Conclusion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115</w:t>
      </w:r>
      <w:r>
        <w:rPr>
          <w:rFonts w:ascii="arial" w:eastAsia="arial" w:hAnsi="arial" w:cs="arial"/>
          <w:color w:val="000000"/>
          <w:sz w:val="20"/>
          <w:lang w:val="en-US" w:eastAsia="en-US" w:bidi="ar-SA"/>
        </w:rPr>
        <w:t>  Based on the reasons above, I award the following amounts: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3346"/>
        <w:gridCol w:w="1882"/>
        <w:gridCol w:w="4601"/>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3277"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Non-pecuniary damages</w:t>
            </w:r>
          </w:p>
        </w:tc>
        <w:tc>
          <w:tcPr>
            <w:tcW w:w="1843"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$67,500.00</w:t>
            </w:r>
          </w:p>
        </w:tc>
        <w:tc>
          <w:tcPr>
            <w:tcW w:w="4506"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2927"/>
        <w:gridCol w:w="2301"/>
        <w:gridCol w:w="4601"/>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2867"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Special damages</w:t>
            </w:r>
          </w:p>
        </w:tc>
        <w:tc>
          <w:tcPr>
            <w:tcW w:w="2253"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$ 1,305.00</w:t>
            </w:r>
          </w:p>
        </w:tc>
        <w:tc>
          <w:tcPr>
            <w:tcW w:w="4506"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2867"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Past wage loss</w:t>
            </w:r>
          </w:p>
        </w:tc>
        <w:tc>
          <w:tcPr>
            <w:tcW w:w="2253"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$13,058.50</w:t>
            </w:r>
          </w:p>
        </w:tc>
        <w:tc>
          <w:tcPr>
            <w:tcW w:w="4506"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3555"/>
        <w:gridCol w:w="5228"/>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348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Loss of capacity</w:t>
            </w:r>
          </w:p>
        </w:tc>
        <w:tc>
          <w:tcPr>
            <w:tcW w:w="5120"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u w:val="single"/>
                <w:lang w:val="en-US" w:eastAsia="en-US" w:bidi="ar-SA"/>
              </w:rPr>
              <w:t>$18,000.00</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2301"/>
        <w:gridCol w:w="2927"/>
        <w:gridCol w:w="4601"/>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2253"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Total</w:t>
            </w:r>
          </w:p>
        </w:tc>
        <w:tc>
          <w:tcPr>
            <w:tcW w:w="2867"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$99,863.50</w:t>
            </w:r>
          </w:p>
        </w:tc>
        <w:tc>
          <w:tcPr>
            <w:tcW w:w="4506"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116</w:t>
      </w:r>
      <w:r>
        <w:rPr>
          <w:rFonts w:ascii="arial" w:eastAsia="arial" w:hAnsi="arial" w:cs="arial"/>
          <w:color w:val="000000"/>
          <w:sz w:val="20"/>
          <w:lang w:val="en-US" w:eastAsia="en-US" w:bidi="ar-SA"/>
        </w:rPr>
        <w:t>  I leave it to counsel to make the necessary tax and present value calculations.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Costs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117</w:t>
      </w:r>
      <w:r>
        <w:rPr>
          <w:rFonts w:ascii="arial" w:eastAsia="arial" w:hAnsi="arial" w:cs="arial"/>
          <w:color w:val="000000"/>
          <w:sz w:val="20"/>
          <w:lang w:val="en-US" w:eastAsia="en-US" w:bidi="ar-SA"/>
        </w:rPr>
        <w:t>  Subject to any submissions by counsel, the plaintiff is entitled to her costs.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L.D. RUSSELL J.</w:t>
      </w:r>
      <w:r>
        <w:rPr>
          <w:rFonts w:ascii="arial" w:eastAsia="arial" w:hAnsi="arial" w:cs="arial"/>
          <w:sz w:val="20"/>
          <w:lang w:val="en-US" w:eastAsia="en-US" w:bidi="ar-SA"/>
        </w:rPr>
        <w:cr/>
      </w:r>
    </w:p>
    <w:p>
      <w:pPr>
        <w:rPr>
          <w:rFonts w:ascii="arial" w:eastAsia="arial" w:hAnsi="arial" w:cs="arial"/>
          <w:sz w:val="20"/>
          <w:lang w:val="en-US" w:eastAsia="en-US" w:bidi="ar-SA"/>
        </w:rPr>
      </w:pPr>
    </w:p>
    <w:p>
      <w:pPr>
        <w:ind w:left="200"/>
        <w:rPr>
          <w:rFonts w:ascii="arial" w:eastAsia="arial" w:hAnsi="arial" w:cs="arial"/>
          <w:sz w:val="20"/>
          <w:lang w:val="en-US" w:eastAsia="en-US" w:bidi="ar-SA"/>
        </w:rPr>
        <w:sectPr>
          <w:type w:val="continuous"/>
          <w:pgMar w:top="840" w:right="1000" w:bottom="840" w:left="1000" w:header="400" w:footer="400"/>
          <w:pgNumType w:fmt="decimal"/>
          <w:cols w:space="720"/>
        </w:sectPr>
      </w:pPr>
      <w:r>
        <w:rPr>
          <w:rFonts w:ascii="arial" w:eastAsia="arial" w:hAnsi="arial" w:cs="arial"/>
          <w:sz w:val="20"/>
          <w:lang w:val="en-US" w:eastAsia="en-US" w:bidi="ar-SA"/>
        </w:rPr>
        <w:br/>
      </w:r>
      <w:r>
        <w:pict>
          <v:line id="_x0000_s1248" style="position:absolute;z-index:251856896" from="0,10pt" to="512pt,10pt" strokecolor="black" strokeweight="1pt">
            <v:stroke linestyle="single"/>
          </v:line>
        </w:pict>
      </w:r>
      <w:r>
        <w:rPr>
          <w:b/>
          <w:color w:val="767676"/>
          <w:sz w:val="16"/>
          <w:lang w:val="en-US" w:eastAsia="en-US" w:bidi="ar-SA"/>
        </w:rPr>
        <w:t>End of Document</w:t>
      </w:r>
    </w:p>
    <w:p>
      <w:pPr>
        <w:rPr>
          <w:rFonts w:ascii="arial" w:eastAsia="arial" w:hAnsi="arial" w:cs="arial"/>
          <w:sz w:val="20"/>
          <w:lang w:val="en-US" w:eastAsia="en-US" w:bidi="ar-SA"/>
        </w:rPr>
        <w:sectPr>
          <w:headerReference w:type="even" r:id="rId1014"/>
          <w:headerReference w:type="default" r:id="rId1015"/>
          <w:footerReference w:type="even" r:id="rId1016"/>
          <w:footerReference w:type="default" r:id="rId1017"/>
          <w:headerReference w:type="first" r:id="rId1018"/>
          <w:footerReference w:type="first" r:id="rId1019"/>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eastAsia="arial" w:hAnsi="Arial" w:cs="Arial"/>
          <w:b/>
          <w:bCs/>
          <w:kern w:val="32"/>
          <w:sz w:val="32"/>
          <w:szCs w:val="32"/>
          <w:lang w:val="en-US" w:eastAsia="en-US" w:bidi="ar-SA"/>
        </w:rPr>
      </w:pPr>
      <w:hyperlink r:id="rId1020" w:history="1">
        <w:r>
          <w:rPr>
            <w:rFonts w:ascii="arial" w:eastAsia="arial" w:hAnsi="arial" w:cs="arial"/>
            <w:b/>
            <w:bCs/>
            <w:i/>
            <w:color w:val="0077CC"/>
            <w:kern w:val="32"/>
            <w:sz w:val="28"/>
            <w:szCs w:val="32"/>
            <w:u w:val="single"/>
            <w:shd w:val="clear" w:color="auto" w:fill="FFFFFF"/>
            <w:lang w:val="en-US" w:eastAsia="en-US" w:bidi="ar-SA"/>
          </w:rPr>
          <w:t>Insurance Corp. of British Columbia v. Alexander, [2016] B.C.J. No. 1252</w:t>
        </w:r>
      </w:hyperlink>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Judgments</w:t>
      </w:r>
    </w:p>
    <w:p>
      <w:pPr>
        <w:rPr>
          <w:rFonts w:ascii="arial" w:eastAsia="arial" w:hAnsi="arial" w:cs="arial"/>
          <w:sz w:val="20"/>
          <w:lang w:val="en-US" w:eastAsia="en-US" w:bidi="ar-SA"/>
        </w:rPr>
      </w:pP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Vancouver, British Columbia</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E.M. Myers J.</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Heard: April 18, 19, 21-23, 25-28, 2016.</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Judgment: June 16, 2016.</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Docket: S134471</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Registry: Vancouver</w:t>
      </w:r>
    </w:p>
    <w:p>
      <w:pPr>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r>
        <w:rPr>
          <w:rFonts w:ascii="arial" w:eastAsia="arial" w:hAnsi="arial" w:cs="arial"/>
          <w:b/>
          <w:color w:val="000000"/>
          <w:sz w:val="20"/>
          <w:lang w:val="en-US" w:eastAsia="en-US" w:bidi="ar-SA"/>
        </w:rPr>
        <w:t>[2016] B.C.J. No. 1252</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hyperlink r:id="rId1021" w:history="1">
        <w:r>
          <w:rPr>
            <w:rFonts w:ascii="arial" w:eastAsia="arial" w:hAnsi="arial" w:cs="arial"/>
            <w:i/>
            <w:color w:val="0077CC"/>
            <w:sz w:val="20"/>
            <w:u w:val="single"/>
            <w:shd w:val="clear" w:color="auto" w:fill="FFFFFF"/>
            <w:lang w:val="en-US" w:eastAsia="en-US" w:bidi="ar-SA"/>
          </w:rPr>
          <w:t>2016 BCSC 1108</w:t>
        </w:r>
      </w:hyperlink>
    </w:p>
    <w:p>
      <w:pPr>
        <w:spacing w:before="120" w:line="260" w:lineRule="atLeast"/>
        <w:rPr>
          <w:rFonts w:ascii="arial" w:eastAsia="arial" w:hAnsi="arial" w:cs="arial"/>
          <w:sz w:val="20"/>
          <w:lang w:val="en-US" w:eastAsia="en-US" w:bidi="ar-SA"/>
        </w:rPr>
      </w:pPr>
      <w:r>
        <w:rPr>
          <w:rFonts w:ascii="arial" w:eastAsia="arial" w:hAnsi="arial" w:cs="arial"/>
          <w:color w:val="000000"/>
          <w:sz w:val="20"/>
          <w:lang w:val="en-US" w:eastAsia="en-US" w:bidi="ar-SA"/>
        </w:rPr>
        <w:t>Between Insurance Corporation of British Columbia, Plaintiff, and Travis Alexander, Emmanuel Alviar, Clayton Bartel, Fernando Bernabe, Brock Bigattini, Mark Blyth, Michael Andrew Bosa, Sean Burkett, Andrew Comber, Steven Constancia, Spencer Nelson Cox, Andrew Cuthbert, Robert Dack, Natalee Dennis, Christian Dougherty, Brandan Drader, Matthew Eakin, John Stuart Fairburn, Cody Ferriere, Jordan Houde, Patrick Judge, Lincoln Kennedy-Williams, Mustafa Khan, Manvir Khatra, Rag Kim, Derrick King, Timothy Kwong, Sage Laboucan, Timothy Lau, Nigel Li, Dylan Long, Mitchell Mark, Alexander Peepre, Matthew Poirier, Christopher Pope, Alexei Prochazka, John Sawicki, Dakota Schlag, Matthew Schulz, James Seager, Calvin Turchyn, Stefan Vukovic, Nathan Kozak Welschlau, Jensen White, Sean Yates, Clayton Yuen, Daniel Scott Amesbury, Sean David Patrick Boylan, Colleen Kerry Michelle Campbell, Randy Reofrir Comiso, Joel Patrick Corrigan, Michael Trentan Craig, Isaac Matthias Duncan, Matthew Graham Johannes Fournier, Daniel Lorne Gri, Joshua Abraham Johnson, Jason Larry Larochelle, Lucas Matthew Leguerrier, Dustin Andrew Patterson, Abdel Tawab Saleh, Mannie James Wesley, Chad Daniel Paul Baynton, Stefano Francesco Bordon, Christopher Mark Buckle, Mason Burg, James Lawrence Currie, Addison Davie, Matthew Joseph Donison, Yahoshibah Van Essen, Rajan Singh Gill, Sawyer Goodwin, Steven Paul Green, Jean-Paul Robert Guimond, Robert William Harrison, Ronald Victor George Isaac, Alim Jamal, Kittisak Junpuang, Spencer James Lyttle, Samuel Antonio Martinez, Spencer Peter Meuser, Jason Kanichi Obayashi, Jesse Ronald Opper, Devin Owen, Shane Patrick Gallagher Page, Arvin Santos, Dylan James Toxopeus, Katelyn Kimber Dawn Vogel, John Doe and Jane Doe, Defendants</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(138 paras.)</w:t>
      </w:r>
    </w:p>
    <w:p>
      <w:pPr>
        <w:keepNext/>
        <w:spacing w:before="12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Case Summary</w:t>
      </w:r>
    </w:p>
    <w:p>
      <w:pPr>
        <w:spacing w:line="60" w:lineRule="exact"/>
        <w:rPr>
          <w:rFonts w:ascii="arial" w:eastAsia="arial" w:hAnsi="arial" w:cs="arial"/>
          <w:sz w:val="20"/>
          <w:lang w:val="en-US" w:eastAsia="en-US" w:bidi="ar-SA"/>
        </w:rPr>
      </w:pPr>
      <w:r>
        <w:pict>
          <v:line id="_x0000_s1249" style="position:absolute;z-index:251706368"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bookmarkStart w:id="315" w:name="Keywords_45"/>
      <w:bookmarkEnd w:id="315"/>
      <w:r>
        <w:rPr>
          <w:rFonts w:ascii="arial" w:eastAsia="arial" w:hAnsi="arial" w:cs="arial"/>
          <w:b/>
          <w:color w:val="000000"/>
          <w:sz w:val="20"/>
          <w:lang w:val="en-US" w:eastAsia="en-US" w:bidi="ar-SA"/>
        </w:rPr>
        <w:t>Damages — Types of damages — Exemplary or punitive damages — Punishment and deterrence — Where criminal conviction — Action by plaintiff insurer for damage done to vehicles insured by it and punitive damages allowed in part — Vehicles were damaged during Stanley Cup riot — Defendants participated in riot — Participation in riot, in itself, did not establish joint and several liability for torts committed during riot — Cheering or observing others damaging vehicles was not sufficient — On individual basis, defendants were found jointly liable for full damage to vehicles in which they were actively involved in common design of destruction — Punitive damages not warranted given defendants already punished in criminal proceedings.</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Tort law — Trespass — To goods — Conversion — What constituting - Availability — Joint conversion — Action by plaintiff insurer for damage done to vehicles insured by it and punitive damages allowed in part — Vehicles were damaged during Stanley Cup riot — Defendants participated in riot — Participation in riot, in itself, did not establish joint and several liability for torts committed during riot — Cheering or observing others damaging vehicles was not sufficient — On individual basis, defendants were found jointly liable for full damage to vehicles in which they were actively involved in common design of destruction — Punitive damages not warranted given defendants already punished in criminal proceedings.</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Tort law — Tortfeasors — Joint tortfeasors — Action by plaintiff insurer for damage done to vehicles insured by it and punitive damages allowed in part — Vehicles were damaged during Stanley Cup riot — Defendants participated in riot — Participation in riot, in itself, did not establish joint and several liability for torts committed during riot — Cheering or observing others damaging vehicles was not sufficient — On individual basis, defendants were found jointly liable for full damage to vehicles in which they were actively involved in common design of destruction — Punitive damages not warranted given defendants already punished in criminal proceedings.</w:t>
      </w:r>
    </w:p>
    <w:p>
      <w:pPr>
        <w:rPr>
          <w:rFonts w:ascii="arial" w:eastAsia="arial" w:hAnsi="arial" w:cs="arial"/>
          <w:sz w:val="20"/>
          <w:lang w:val="en-US" w:eastAsia="en-US" w:bidi="ar-SA"/>
        </w:rPr>
      </w:pPr>
    </w:p>
    <w:tbl>
      <w:tblPr>
        <w:tblStyle w:val="TableNormal"/>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
      <w:tblGrid>
        <w:gridCol w:w="10225"/>
      </w:tblGrid>
      <w:tr>
        <w:tblPrEx>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Ex>
        <w:tc>
          <w:tcPr/>
          <w:p>
            <w:pPr>
              <w:rPr>
                <w:rFonts w:ascii="arial" w:eastAsia="arial" w:hAnsi="arial" w:cs="arial"/>
                <w:sz w:val="20"/>
                <w:lang w:val="en-US" w:eastAsia="en-US" w:bidi="ar-SA"/>
              </w:rPr>
            </w:pPr>
            <w:bookmarkStart w:id="316" w:name="Case Summary_43"/>
            <w:bookmarkEnd w:id="316"/>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Action by the plaintiff insurer for damage done to vehicles insured by it and punitive damages. The vehicles were damaged during a spontaneous Stanley Cup riot. The plaintiff paid the vehicle owners for their losses. The defendants participated in the riot. Their actions were largely recorded on video. They had been criminally convicted and sentenced in separate proceedings. Thirty-seven defendants had reached settlements with the plaintiff. Default judgments were obtained against another 35 defendants. 10 defendants contested their liability. </w:t>
            </w:r>
            <w:r>
              <w:rPr>
                <w:rFonts w:ascii="arial" w:eastAsia="arial" w:hAnsi="arial" w:cs="arial"/>
                <w:sz w:val="20"/>
                <w:lang w:val="en-US" w:eastAsia="en-US" w:bidi="ar-SA"/>
              </w:rPr>
              <w:cr/>
            </w:r>
          </w:p>
          <w:p>
            <w:pPr>
              <w:spacing w:before="120" w:line="260" w:lineRule="atLeast"/>
              <w:ind w:left="240"/>
              <w:jc w:val="both"/>
              <w:rPr>
                <w:rFonts w:ascii="arial" w:eastAsia="arial" w:hAnsi="arial" w:cs="arial"/>
                <w:sz w:val="20"/>
                <w:lang w:val="en-US" w:eastAsia="en-US" w:bidi="ar-SA"/>
              </w:rPr>
            </w:pPr>
            <w:bookmarkStart w:id="317" w:name="Holdings of Court_37"/>
            <w:bookmarkEnd w:id="317"/>
            <w:r>
              <w:rPr>
                <w:rFonts w:ascii="arial" w:eastAsia="arial" w:hAnsi="arial" w:cs="arial"/>
                <w:color w:val="000000"/>
                <w:sz w:val="20"/>
                <w:lang w:val="en-US" w:eastAsia="en-US" w:bidi="ar-SA"/>
              </w:rPr>
              <w:t>HELD: Action allowed in part.</w:t>
            </w:r>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It could not be said that all the defendants had the common purpose of destroying vehicles, much less assisted in the destruction. Participation in the riot, in itself, did not establish joint and several liability for torts committed during the riot. Cheering or observing others damaging vehicles was not sufficient participation upon which to found joint liability. On an individual basis, the defendants were found jointly liable for the full damage to vehicles in which they were actively involved in the common design of destruction. The defendants had been adequately punished in their criminal proceedings. Punitive damages were not warranted. The plaintiff was not entitled to its investigative costs. </w:t>
            </w:r>
            <w:r>
              <w:rPr>
                <w:rFonts w:ascii="arial" w:eastAsia="arial" w:hAnsi="arial" w:cs="arial"/>
                <w:sz w:val="20"/>
                <w:lang w:val="en-US" w:eastAsia="en-US" w:bidi="ar-SA"/>
              </w:rPr>
              <w:cr/>
            </w:r>
          </w:p>
          <w:p>
            <w:pPr>
              <w:rPr>
                <w:rFonts w:ascii="arial" w:eastAsia="arial" w:hAnsi="arial" w:cs="arial"/>
                <w:sz w:val="20"/>
                <w:lang w:val="en-US" w:eastAsia="en-US" w:bidi="ar-SA"/>
              </w:rPr>
            </w:pPr>
          </w:p>
        </w:tc>
      </w:tr>
    </w:tbl>
    <w:p>
      <w:pPr>
        <w:jc w:val="both"/>
        <w:rPr>
          <w:rFonts w:ascii="arial" w:eastAsia="arial" w:hAnsi="arial" w:cs="arial"/>
          <w:sz w:val="20"/>
          <w:lang w:val="en-US" w:eastAsia="en-US" w:bidi="ar-SA"/>
        </w:rPr>
      </w:pPr>
      <w:bookmarkStart w:id="318" w:name="Legislation Cited_31"/>
      <w:bookmarkEnd w:id="318"/>
      <w:r>
        <w:rPr>
          <w:rFonts w:ascii="arial" w:eastAsia="arial" w:hAnsi="arial" w:cs="arial"/>
          <w:sz w:val="20"/>
          <w:lang w:val="en-US" w:eastAsia="en-US" w:bidi="ar-SA"/>
        </w:rPr>
        <w:br/>
      </w:r>
    </w:p>
    <w:p>
      <w:pPr>
        <w:keepNext/>
        <w:spacing w:before="24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Statutes, Regulations and Rules Cited:</w:t>
      </w:r>
    </w:p>
    <w:p>
      <w:pPr>
        <w:spacing w:line="60" w:lineRule="exact"/>
        <w:rPr>
          <w:rFonts w:ascii="arial" w:eastAsia="arial" w:hAnsi="arial" w:cs="arial"/>
          <w:sz w:val="20"/>
          <w:lang w:val="en-US" w:eastAsia="en-US" w:bidi="ar-SA"/>
        </w:rPr>
      </w:pPr>
      <w:r>
        <w:pict>
          <v:line id="_x0000_s1250" style="position:absolute;z-index:251757568"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Insurance (Vehicle) Act, </w:t>
      </w:r>
      <w:hyperlink r:id="rId1022" w:history="1">
        <w:r>
          <w:rPr>
            <w:rFonts w:ascii="arial" w:eastAsia="arial" w:hAnsi="arial" w:cs="arial"/>
            <w:i/>
            <w:color w:val="0077CC"/>
            <w:sz w:val="20"/>
            <w:u w:val="single"/>
            <w:shd w:val="clear" w:color="auto" w:fill="FFFFFF"/>
            <w:lang w:val="en-US" w:eastAsia="en-US" w:bidi="ar-SA"/>
          </w:rPr>
          <w:t>R.S.B.C. 1996, c. 231, s. 93.1</w:t>
        </w:r>
      </w:hyperlink>
      <w:r>
        <w:rPr>
          <w:rFonts w:ascii="arial" w:eastAsia="arial" w:hAnsi="arial" w:cs="arial"/>
          <w:sz w:val="20"/>
          <w:lang w:val="en-US" w:eastAsia="en-US" w:bidi="ar-SA"/>
        </w:rPr>
        <w:cr/>
      </w:r>
    </w:p>
    <w:p>
      <w:pPr>
        <w:keepNext/>
        <w:spacing w:before="240" w:line="340" w:lineRule="atLeast"/>
        <w:rPr>
          <w:rFonts w:ascii="arial" w:eastAsia="arial" w:hAnsi="arial" w:cs="arial"/>
          <w:sz w:val="20"/>
          <w:lang w:val="en-US" w:eastAsia="en-US" w:bidi="ar-SA"/>
        </w:rPr>
      </w:pPr>
      <w:bookmarkStart w:id="319" w:name="Counsel_45"/>
      <w:bookmarkEnd w:id="319"/>
      <w:r>
        <w:rPr>
          <w:rFonts w:ascii="arial" w:eastAsia="arial" w:hAnsi="arial" w:cs="arial"/>
          <w:b/>
          <w:color w:val="000000"/>
          <w:sz w:val="28"/>
          <w:lang w:val="en-US" w:eastAsia="en-US" w:bidi="ar-SA"/>
        </w:rPr>
        <w:t>Counsel</w:t>
      </w:r>
    </w:p>
    <w:p>
      <w:pPr>
        <w:spacing w:line="60" w:lineRule="exact"/>
        <w:rPr>
          <w:rFonts w:ascii="arial" w:eastAsia="arial" w:hAnsi="arial" w:cs="arial"/>
          <w:sz w:val="20"/>
          <w:lang w:val="en-US" w:eastAsia="en-US" w:bidi="ar-SA"/>
        </w:rPr>
      </w:pPr>
      <w:r>
        <w:pict>
          <v:line id="_x0000_s1251" style="position:absolute;z-index:251808768"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Counsel for the Plaintiff: Michael J. Hewitt, Tricia M. Milne, Talya A. Nemetz-Sinchein.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Counsel for the Defendant Sean Yates: Raymon Pici.</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Defendants appearing: Andrew Comber; Joel Corrigan; Andrew Cuthbert; Jordan Houde; Arvin Santos; Timothy Lau.</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Remaining Defendants: No other appearances.</w:t>
      </w:r>
      <w:r>
        <w:rPr>
          <w:rFonts w:ascii="arial" w:eastAsia="arial" w:hAnsi="arial" w:cs="arial"/>
          <w:sz w:val="20"/>
          <w:lang w:val="en-US" w:eastAsia="en-US" w:bidi="ar-SA"/>
        </w:rPr>
        <w:cr/>
      </w:r>
    </w:p>
    <w:p>
      <w:pPr>
        <w:spacing w:after="240"/>
        <w:rPr>
          <w:rFonts w:ascii="arial" w:eastAsia="arial" w:hAnsi="arial" w:cs="arial"/>
          <w:sz w:val="20"/>
          <w:lang w:val="en-US" w:eastAsia="en-US" w:bidi="ar-SA"/>
        </w:rPr>
      </w:pPr>
      <w:bookmarkStart w:id="320" w:name="Judgment_46"/>
      <w:bookmarkEnd w:id="320"/>
      <w:r>
        <w:pict>
          <v:line id="_x0000_s1252" style="position:absolute;z-index:251857920" from="0,12pt" to="512pt,12pt" strokecolor="#009ddb" strokeweight="1.5pt">
            <v:stroke linestyle="single"/>
          </v:line>
        </w:pict>
      </w:r>
    </w:p>
    <w:p>
      <w:pPr>
        <w:spacing w:before="120" w:line="260" w:lineRule="atLeast"/>
        <w:jc w:val="center"/>
        <w:rPr>
          <w:rFonts w:ascii="arial" w:eastAsia="arial" w:hAnsi="arial" w:cs="arial"/>
          <w:sz w:val="20"/>
          <w:lang w:val="en-US" w:eastAsia="en-US" w:bidi="ar-SA"/>
        </w:rPr>
      </w:pPr>
      <w:r>
        <w:rPr>
          <w:rFonts w:ascii="arial" w:eastAsia="arial" w:hAnsi="arial" w:cs="arial"/>
          <w:b/>
          <w:color w:val="000000"/>
          <w:sz w:val="20"/>
          <w:lang w:val="en-US" w:eastAsia="en-US" w:bidi="ar-SA"/>
        </w:rPr>
        <w:t>Table of Contents</w:t>
      </w:r>
      <w:r>
        <w:rPr>
          <w:rFonts w:ascii="arial" w:eastAsia="arial" w:hAnsi="arial" w:cs="arial"/>
          <w:sz w:val="20"/>
          <w:lang w:val="en-US" w:eastAsia="en-US" w:bidi="ar-SA"/>
        </w:rPr>
        <w:cr/>
      </w:r>
    </w:p>
    <w:p>
      <w:pPr>
        <w:spacing w:line="260" w:lineRule="atLeast"/>
        <w:ind w:left="1800"/>
        <w:rPr>
          <w:rFonts w:ascii="arial" w:eastAsia="arial" w:hAnsi="arial" w:cs="arial"/>
          <w:sz w:val="20"/>
          <w:lang w:val="en-US" w:eastAsia="en-US" w:bidi="ar-SA"/>
        </w:rPr>
      </w:pPr>
      <w:r>
        <w:rPr>
          <w:rFonts w:ascii="arial" w:eastAsia="arial" w:hAnsi="arial" w:cs="arial"/>
          <w:color w:val="000000"/>
          <w:sz w:val="20"/>
          <w:lang w:val="en-US" w:eastAsia="en-US" w:bidi="ar-SA"/>
        </w:rPr>
        <w:t>Paragraph</w:t>
      </w:r>
    </w:p>
    <w:p>
      <w:pPr>
        <w:numPr>
          <w:numId w:val="1"/>
        </w:numPr>
        <w:tabs>
          <w:tab w:val="num" w:pos="760"/>
          <w:tab w:val="clear" w:pos="1480"/>
        </w:tabs>
        <w:spacing w:before="120" w:line="260" w:lineRule="atLeast"/>
        <w:ind w:left="760"/>
        <w:jc w:val="both"/>
        <w:rPr>
          <w:rFonts w:ascii="arial" w:eastAsia="arial" w:hAnsi="arial" w:cs="arial"/>
          <w:sz w:val="20"/>
          <w:lang w:val="en-US" w:eastAsia="en-US" w:bidi="ar-SA"/>
        </w:rPr>
      </w:pPr>
      <w:r>
        <w:rPr>
          <w:rFonts w:ascii="arial" w:eastAsia="arial" w:hAnsi="arial" w:cs="arial"/>
          <w:color w:val="000000"/>
          <w:sz w:val="20"/>
          <w:lang w:val="en-US" w:eastAsia="en-US" w:bidi="ar-SA"/>
        </w:rPr>
        <w:t>BACKGROUND AND MAIN ISSUES</w:t>
      </w:r>
    </w:p>
    <w:p>
      <w:pPr>
        <w:numPr>
          <w:numId w:val="2"/>
        </w:numPr>
        <w:tabs>
          <w:tab w:val="num" w:pos="760"/>
          <w:tab w:val="clear" w:pos="1480"/>
        </w:tabs>
        <w:spacing w:before="120" w:line="260" w:lineRule="atLeast"/>
        <w:ind w:left="760"/>
        <w:jc w:val="both"/>
        <w:rPr>
          <w:rFonts w:ascii="arial" w:eastAsia="arial" w:hAnsi="arial" w:cs="arial"/>
          <w:sz w:val="20"/>
          <w:lang w:val="en-US" w:eastAsia="en-US" w:bidi="ar-SA"/>
        </w:rPr>
      </w:pPr>
      <w:r>
        <w:rPr>
          <w:rFonts w:ascii="arial" w:eastAsia="arial" w:hAnsi="arial" w:cs="arial"/>
          <w:color w:val="000000"/>
          <w:sz w:val="20"/>
          <w:lang w:val="en-US" w:eastAsia="en-US" w:bidi="ar-SA"/>
        </w:rPr>
        <w:t>THE LEGAL FRAMEWORK -- JOINT TORTFEASORSHIP AND JOINT AND SEVERAL LIABILITY</w:t>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 Joint Tortfeasors -- Joint Liability</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B. Several Concurrent Tortfeasors -- Joint and Several Liability</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C. Several Tortfeasors causing different damages -- Several Liability</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D. Procuring</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E. The element of concerted action or common design as a foundation for joint liability</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F. Common course of participating in an illegal riot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G. Conclusion on applicable legal principals</w:t>
      </w:r>
    </w:p>
    <w:p>
      <w:pPr>
        <w:numPr>
          <w:numId w:val="3"/>
        </w:numPr>
        <w:tabs>
          <w:tab w:val="num" w:pos="760"/>
          <w:tab w:val="clear" w:pos="1840"/>
        </w:tabs>
        <w:spacing w:before="120" w:line="260" w:lineRule="atLeast"/>
        <w:ind w:left="760"/>
        <w:jc w:val="both"/>
        <w:rPr>
          <w:rFonts w:ascii="arial" w:eastAsia="arial" w:hAnsi="arial" w:cs="arial"/>
          <w:sz w:val="20"/>
          <w:lang w:val="en-US" w:eastAsia="en-US" w:bidi="ar-SA"/>
        </w:rPr>
      </w:pPr>
      <w:r>
        <w:rPr>
          <w:rFonts w:ascii="arial" w:eastAsia="arial" w:hAnsi="arial" w:cs="arial"/>
          <w:color w:val="000000"/>
          <w:sz w:val="20"/>
          <w:lang w:val="en-US" w:eastAsia="en-US" w:bidi="ar-SA"/>
        </w:rPr>
        <w:t>THE LIABILITY OF THE DEFENDANTS</w:t>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 Liability for all damage in the Parkwell Plaza Parkade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B. Travis Alexander</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C. Andrew Comber</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D. Joel Corrigan</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E. Andrew Cuthbert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F. Jordan Houde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G. Timothy Lau</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H. Devin Owen</w:t>
      </w:r>
    </w:p>
    <w:p>
      <w:pPr>
        <w:numPr>
          <w:numId w:val="4"/>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Arvin Santos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J. Nathan Kozak Welschlau</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K. Sean Yates</w:t>
      </w:r>
    </w:p>
    <w:p>
      <w:pPr>
        <w:numPr>
          <w:numId w:val="5"/>
        </w:numPr>
        <w:tabs>
          <w:tab w:val="num" w:pos="760"/>
          <w:tab w:val="clear" w:pos="1840"/>
        </w:tabs>
        <w:spacing w:before="120" w:line="260" w:lineRule="atLeast"/>
        <w:ind w:left="760"/>
        <w:jc w:val="both"/>
        <w:rPr>
          <w:rFonts w:ascii="arial" w:eastAsia="arial" w:hAnsi="arial" w:cs="arial"/>
          <w:sz w:val="20"/>
          <w:lang w:val="en-US" w:eastAsia="en-US" w:bidi="ar-SA"/>
        </w:rPr>
      </w:pPr>
      <w:r>
        <w:rPr>
          <w:rFonts w:ascii="arial" w:eastAsia="arial" w:hAnsi="arial" w:cs="arial"/>
          <w:color w:val="000000"/>
          <w:sz w:val="20"/>
          <w:lang w:val="en-US" w:eastAsia="en-US" w:bidi="ar-SA"/>
        </w:rPr>
        <w:t>PUNITIVE DAMAGES</w:t>
      </w:r>
    </w:p>
    <w:p>
      <w:pPr>
        <w:numPr>
          <w:numId w:val="6"/>
        </w:numPr>
        <w:tabs>
          <w:tab w:val="num" w:pos="760"/>
          <w:tab w:val="clear" w:pos="1480"/>
        </w:tabs>
        <w:spacing w:before="120" w:line="260" w:lineRule="atLeast"/>
        <w:ind w:left="760"/>
        <w:jc w:val="both"/>
        <w:rPr>
          <w:rFonts w:ascii="arial" w:eastAsia="arial" w:hAnsi="arial" w:cs="arial"/>
          <w:sz w:val="20"/>
          <w:lang w:val="en-US" w:eastAsia="en-US" w:bidi="ar-SA"/>
        </w:rPr>
      </w:pPr>
      <w:r>
        <w:rPr>
          <w:rFonts w:ascii="arial" w:eastAsia="arial" w:hAnsi="arial" w:cs="arial"/>
          <w:color w:val="000000"/>
          <w:sz w:val="20"/>
          <w:lang w:val="en-US" w:eastAsia="en-US" w:bidi="ar-SA"/>
        </w:rPr>
        <w:t>CLAIM FOR INVESTIGATIVE COSTS</w:t>
      </w:r>
    </w:p>
    <w:p>
      <w:pPr>
        <w:numPr>
          <w:numId w:val="7"/>
        </w:numPr>
        <w:tabs>
          <w:tab w:val="num" w:pos="760"/>
          <w:tab w:val="clear" w:pos="1120"/>
        </w:tabs>
        <w:spacing w:before="120" w:line="260" w:lineRule="atLeast"/>
        <w:ind w:left="760"/>
        <w:jc w:val="both"/>
        <w:rPr>
          <w:rFonts w:ascii="arial" w:eastAsia="arial" w:hAnsi="arial" w:cs="arial"/>
          <w:sz w:val="20"/>
          <w:lang w:val="en-US" w:eastAsia="en-US" w:bidi="ar-SA"/>
        </w:rPr>
      </w:pPr>
      <w:r>
        <w:rPr>
          <w:rFonts w:ascii="arial" w:eastAsia="arial" w:hAnsi="arial" w:cs="arial"/>
          <w:color w:val="000000"/>
          <w:sz w:val="20"/>
          <w:lang w:val="en-US" w:eastAsia="en-US" w:bidi="ar-SA"/>
        </w:rPr>
        <w:t>PREVIOUS SETTLEMENTS AND DEFAULTING DEFENDANTS</w:t>
      </w:r>
    </w:p>
    <w:p>
      <w:pPr>
        <w:numPr>
          <w:numId w:val="8"/>
        </w:numPr>
        <w:tabs>
          <w:tab w:val="num" w:pos="760"/>
          <w:tab w:val="clear" w:pos="1480"/>
        </w:tabs>
        <w:spacing w:before="120" w:line="260" w:lineRule="atLeast"/>
        <w:ind w:left="760"/>
        <w:jc w:val="both"/>
        <w:rPr>
          <w:rFonts w:ascii="arial" w:eastAsia="arial" w:hAnsi="arial" w:cs="arial"/>
          <w:sz w:val="20"/>
          <w:lang w:val="en-US" w:eastAsia="en-US" w:bidi="ar-SA"/>
        </w:rPr>
      </w:pPr>
      <w:r>
        <w:rPr>
          <w:rFonts w:ascii="arial" w:eastAsia="arial" w:hAnsi="arial" w:cs="arial"/>
          <w:color w:val="000000"/>
          <w:sz w:val="20"/>
          <w:lang w:val="en-US" w:eastAsia="en-US" w:bidi="ar-SA"/>
        </w:rPr>
        <w:t>COSTS</w:t>
      </w:r>
    </w:p>
    <w:p>
      <w:pPr>
        <w:spacing w:line="260" w:lineRule="atLeast"/>
        <w:jc w:val="center"/>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Reasons for Judgment</w:t>
      </w:r>
      <w:r>
        <w:rPr>
          <w:rFonts w:ascii="arial" w:eastAsia="arial" w:hAnsi="arial" w:cs="arial"/>
          <w:sz w:val="20"/>
          <w:lang w:val="en-US" w:eastAsia="en-US" w:bidi="ar-SA"/>
        </w:rPr>
        <w:cr/>
      </w:r>
    </w:p>
    <w:p>
      <w:pPr>
        <w:rPr>
          <w:rFonts w:ascii="arial" w:eastAsia="arial" w:hAnsi="arial" w:cs="arial"/>
          <w:sz w:val="20"/>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2370"/>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rFonts w:ascii="arial" w:eastAsia="arial" w:hAnsi="arial" w:cs="arial"/>
                <w:sz w:val="20"/>
                <w:lang w:val="en-US" w:eastAsia="en-US" w:bidi="ar-SA"/>
              </w:rPr>
            </w:pPr>
            <w:bookmarkStart w:id="321" w:name="E.M. MYERS J."/>
            <w:bookmarkEnd w:id="321"/>
            <w:r>
              <w:rPr>
                <w:rFonts w:ascii="arial" w:eastAsia="arial" w:hAnsi="arial" w:cs="arial"/>
                <w:b/>
                <w:color w:val="000000"/>
                <w:sz w:val="30"/>
                <w:lang w:val="en-US" w:eastAsia="en-US" w:bidi="ar-SA"/>
              </w:rPr>
              <w:t>E.M. MYERS J.</w:t>
            </w:r>
          </w:p>
        </w:tc>
      </w:tr>
    </w:tbl>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This case involves claims for damage done to vehicles during the Stanley Cup riot in Vancouver on June 15, 2011. The defendants participated in the riot and ICBC says they are responsible for damage done to vehicles insured by it. Under its insurance policies, ICBC paid the vehicle owners for their losses and now claims the payments from the defendants.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I emphasize that this is not a case of criminal liability. Each of the defendants I deal with has been convicted and sentenced in separate proceedings. Rather, the issue is the defendants' liability for a civil wrong (the tort of conversion) to the individual vehicle owners in whose shoes ICBC stands as their insurer. There is no tort of participating in a riot and ICBC does not stand as prosecutor for the riot as a whole; it is simply the insurer of a large number of the damaged vehicles. Although ICBC is the plaintiff, in essence the case is comprised of separate claims by individual vehicle owners.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While it is true that this claim is one against the individual defendants, the main and novel legal issue raised is whether the defendants are jointly liable for all the claimed damage, or portions of it, due to the defendants having participated in the riot as a whole.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I. BACKGROUND AND MAIN ISSUES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The last game in the 2011 Stanley Cup series was broadcast on a live television screen at what was called the Live Site, outside the CBC building at Georgia and Hamilton Streets. When the game ended, the riot seemingly erupted here. Several cars were burned outside the adjacent Canada Post Office building. Some of the defendants were present at the Live Site area.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An area that attracted a significant number of rioters, including some of the defendants, was the Parkwell Plaza Parkade on Richards between Georgia and Dunsmuir Streets. Numerous vehicles were destroyed here, some of which are involved in this claim.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Rioters also broke into stores in the area, including The Bay, London Drugs, Black &amp; Lee and Blenz Coffee.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The riot overwhelmed the police resources, causing the police to retreat several times. Officers had objects hurled at them. Police horses could not be deployed effectively because fences had been thrown to the ground on which the horses could trip. Emergency services were unable to get to injured people in a timely manner.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There were 82 defendants served with the notice of civil claim. Thirty-seven defendants reached settlements with ICBC. Ten defendants contested their liability up to and including the trial. I will refer to these as the "Active Defendants". Default judgments for damages to be assessed were given against 35 defendants. With the exception of Mr. Yates, the Active Defendants represented themselves.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There is no doubt that the Active Defendants participated in the riot to varying degrees. Most of them took part in damaging one or more vehicles to varying degrees. In one form or another all of them are alleged to have encouraged others to do damage.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ICBC's focus is the tort of conversion. To succeed in conversion, a plaintiff must show that a defendant committed a wrongful act against the plaintiff's property that was inconsistent with the plaintiff's right of ownership. Damaging a car in a riot would amount to conversion. That is not the issue. Rather, the main issue for ICBC is establishing liability of the defendants who did not directly do all or any of the damage to any particular vehicle. In order to do this ICBC must show joint liability for the wrongs.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xml:space="preserve">  ICBC makes alternative casts of its net. The widest one asserts that some of the defendants participated in the unlawful activity of the riot to such an extent that they are liable for the damage to </w:t>
      </w:r>
      <w:r>
        <w:rPr>
          <w:rFonts w:ascii="arial" w:eastAsia="arial" w:hAnsi="arial" w:cs="arial"/>
          <w:i/>
          <w:color w:val="000000"/>
          <w:sz w:val="20"/>
          <w:lang w:val="en-US" w:eastAsia="en-US" w:bidi="ar-SA"/>
        </w:rPr>
        <w:t>all</w:t>
      </w:r>
      <w:r>
        <w:rPr>
          <w:rFonts w:ascii="arial" w:eastAsia="arial" w:hAnsi="arial" w:cs="arial"/>
          <w:color w:val="000000"/>
          <w:sz w:val="20"/>
          <w:lang w:val="en-US" w:eastAsia="en-US" w:bidi="ar-SA"/>
        </w:rPr>
        <w:t xml:space="preserve"> the vehicles in the riot zone, irrespective of whether they physically damaged a particular vehicle. The next widest theory focusses on a particular area of the riot, such as the Parkwell Plaza Parkade. The narrowest theory of joint liability is for a particular vehicle. One example of the questions raised in this case is whether someone who throws a burning object into an already burning vehicle is liable for full value of the vehicle.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Counsel for ICBC advise they have found no cases dealing with joint liability for wrongs done in a riot. I will therefore examine the law of joint and several liability in some depth and determine its applicability to the unusual circumstances of this case.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ICBC also claims punitive damages to punish the defendants for their malicious and outrageous conduct.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II. THE LEGAL FRAMEWORK -- JOINT TORTFEASORSHIP AND JOINT AND SEVERAL LIABILITY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It is important in the present case to distinguish the concepts of joint tortfeasorship and joint and several liability. It is also important to set out the criteria for the concepts and to delineate their boundaries.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w:t>
      </w:r>
      <w:r>
        <w:rPr>
          <w:rFonts w:ascii="arial" w:eastAsia="arial" w:hAnsi="arial" w:cs="arial"/>
          <w:color w:val="000000"/>
          <w:sz w:val="20"/>
          <w:lang w:val="en-US" w:eastAsia="en-US" w:bidi="ar-SA"/>
        </w:rPr>
        <w:t xml:space="preserve">  There have been numerous descriptions of the concepts. The classic case is the English Court of Appeal's judgment in </w:t>
      </w:r>
      <w:r>
        <w:rPr>
          <w:rFonts w:ascii="arial" w:eastAsia="arial" w:hAnsi="arial" w:cs="arial"/>
          <w:i/>
          <w:color w:val="000000"/>
          <w:sz w:val="20"/>
          <w:lang w:val="en-US" w:eastAsia="en-US" w:bidi="ar-SA"/>
        </w:rPr>
        <w:t>"Koursk" (The), Re</w:t>
      </w:r>
      <w:r>
        <w:rPr>
          <w:rFonts w:ascii="arial" w:eastAsia="arial" w:hAnsi="arial" w:cs="arial"/>
          <w:color w:val="000000"/>
          <w:sz w:val="20"/>
          <w:lang w:val="en-US" w:eastAsia="en-US" w:bidi="ar-SA"/>
        </w:rPr>
        <w:t xml:space="preserve"> </w:t>
      </w:r>
      <w:hyperlink r:id="rId1023" w:history="1">
        <w:r>
          <w:rPr>
            <w:rFonts w:ascii="arial" w:eastAsia="arial" w:hAnsi="arial" w:cs="arial"/>
            <w:i/>
            <w:color w:val="0077CC"/>
            <w:sz w:val="20"/>
            <w:u w:val="single"/>
            <w:shd w:val="clear" w:color="auto" w:fill="FFFFFF"/>
            <w:lang w:val="en-US" w:eastAsia="en-US" w:bidi="ar-SA"/>
          </w:rPr>
          <w:t>[1924] P. 140</w:t>
        </w:r>
      </w:hyperlink>
      <w:r>
        <w:rPr>
          <w:rFonts w:ascii="arial" w:eastAsia="arial" w:hAnsi="arial" w:cs="arial"/>
          <w:sz w:val="20"/>
          <w:lang w:val="en-US" w:eastAsia="en-US" w:bidi="ar-SA"/>
        </w:rPr>
        <w:t xml:space="preserve"> </w:t>
      </w:r>
      <w:r>
        <w:pict>
          <v:shape id="_x0000_i1253" type="#_x0000_t75" style="width:11pt;height:10pt">
            <v:imagedata r:id="rId188" o:title=""/>
          </v:shape>
        </w:pict>
      </w:r>
      <w:r>
        <w:rPr>
          <w:rFonts w:ascii="arial" w:eastAsia="arial" w:hAnsi="arial" w:cs="arial"/>
          <w:color w:val="000000"/>
          <w:sz w:val="20"/>
          <w:lang w:val="en-US" w:eastAsia="en-US" w:bidi="ar-SA"/>
        </w:rPr>
        <w:t xml:space="preserve">, which dealt with collisions between three vessels. Perhaps the most commonly cited academic work is Glanville Williams, </w:t>
      </w:r>
      <w:r>
        <w:rPr>
          <w:rFonts w:ascii="arial" w:eastAsia="arial" w:hAnsi="arial" w:cs="arial"/>
          <w:i/>
          <w:color w:val="000000"/>
          <w:sz w:val="20"/>
          <w:lang w:val="en-US" w:eastAsia="en-US" w:bidi="ar-SA"/>
        </w:rPr>
        <w:t xml:space="preserve">Joint Torts and Contributory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(London: Stevens &amp; Sons, 1951). He set out the following typology at pages 1-16.</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A. Joint Tortfeasors -- Joint Liability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w:t>
      </w:r>
      <w:r>
        <w:rPr>
          <w:rFonts w:ascii="arial" w:eastAsia="arial" w:hAnsi="arial" w:cs="arial"/>
          <w:color w:val="000000"/>
          <w:sz w:val="20"/>
          <w:lang w:val="en-US" w:eastAsia="en-US" w:bidi="ar-SA"/>
        </w:rPr>
        <w:t>  Two or more tortfeasors are joint tortfeasors in one of the following three situations:</w:t>
      </w:r>
      <w:r>
        <w:rPr>
          <w:rFonts w:ascii="arial" w:eastAsia="arial" w:hAnsi="arial" w:cs="arial"/>
          <w:sz w:val="20"/>
          <w:lang w:val="en-US" w:eastAsia="en-US" w:bidi="ar-SA"/>
        </w:rPr>
        <w:cr/>
      </w:r>
    </w:p>
    <w:p>
      <w:pPr>
        <w:numPr>
          <w:numId w:val="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Where one is the principal of or vicariously liable for another (p. 6);</w:t>
      </w:r>
    </w:p>
    <w:p>
      <w:pPr>
        <w:numPr>
          <w:numId w:val="1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Where a duty imposed jointly upon them is not performed (p. 9);</w:t>
      </w:r>
    </w:p>
    <w:p>
      <w:pPr>
        <w:numPr>
          <w:numId w:val="1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Where there is concerted action between them to a common end (p. 9).</w:t>
      </w:r>
    </w:p>
    <w:p>
      <w:pPr>
        <w:spacing w:before="120"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B. Several Concurrent Tortfeasors -- Joint and Several Liability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w:t>
      </w:r>
      <w:r>
        <w:rPr>
          <w:rFonts w:ascii="arial" w:eastAsia="arial" w:hAnsi="arial" w:cs="arial"/>
          <w:color w:val="000000"/>
          <w:sz w:val="20"/>
          <w:lang w:val="en-US" w:eastAsia="en-US" w:bidi="ar-SA"/>
        </w:rPr>
        <w:t>  Several concurrent tortfeasors are independent tortfeasors whose acts concur to produce a single result (p. 16). This can occur in two circumstances: where two causes are necessary in order to effect the consequence or where either cause would be sufficient in itself to produce the consequence. The common characteristic is that it is impossible to apportion the damage among the different tortfeasors.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w:t>
      </w:r>
      <w:r>
        <w:rPr>
          <w:rFonts w:ascii="arial" w:eastAsia="arial" w:hAnsi="arial" w:cs="arial"/>
          <w:color w:val="000000"/>
          <w:sz w:val="20"/>
          <w:lang w:val="en-US" w:eastAsia="en-US" w:bidi="ar-SA"/>
        </w:rPr>
        <w:t xml:space="preserve">  Williams refers to all the above as concurrent tortfeasors. Concurrent tortfeasors are generally liable for all of the (same) damages. Other cases and works refer to this as joint and several liability. The use of the phrase "joint tortfeasorship" in this circumstance is inaccurate and misleading: per Bankes L.J. in </w:t>
      </w:r>
      <w:r>
        <w:rPr>
          <w:rFonts w:ascii="arial" w:eastAsia="arial" w:hAnsi="arial" w:cs="arial"/>
          <w:i/>
          <w:color w:val="000000"/>
          <w:sz w:val="20"/>
          <w:lang w:val="en-US" w:eastAsia="en-US" w:bidi="ar-SA"/>
        </w:rPr>
        <w:t>The Koursk</w:t>
      </w:r>
      <w:r>
        <w:rPr>
          <w:rFonts w:ascii="arial" w:eastAsia="arial" w:hAnsi="arial" w:cs="arial"/>
          <w:color w:val="000000"/>
          <w:sz w:val="20"/>
          <w:lang w:val="en-US" w:eastAsia="en-US" w:bidi="ar-SA"/>
        </w:rPr>
        <w:t xml:space="preserve"> at p. 150. The High Court of Australia drew a helpful delineation in </w:t>
      </w:r>
      <w:r>
        <w:rPr>
          <w:rFonts w:ascii="arial" w:eastAsia="arial" w:hAnsi="arial" w:cs="arial"/>
          <w:i/>
          <w:color w:val="000000"/>
          <w:sz w:val="20"/>
          <w:lang w:val="en-US" w:eastAsia="en-US" w:bidi="ar-SA"/>
        </w:rPr>
        <w:t>Thompson v. ACTV</w:t>
      </w:r>
      <w:r>
        <w:rPr>
          <w:rFonts w:ascii="arial" w:eastAsia="arial" w:hAnsi="arial" w:cs="arial"/>
          <w:color w:val="000000"/>
          <w:sz w:val="20"/>
          <w:lang w:val="en-US" w:eastAsia="en-US" w:bidi="ar-SA"/>
        </w:rPr>
        <w:t xml:space="preserve"> (1996), 186 CLR 574 at 580-1:</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difference between joint tortfeasors and several tortfeasors is that the former are responsible for the same tort whereas the latter are responsible only for the same damage.</w:t>
      </w:r>
    </w:p>
    <w:p>
      <w:pPr>
        <w:spacing w:before="120"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C. Several Tortfeasors causing different damages -- Several Liability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w:t>
      </w:r>
      <w:r>
        <w:rPr>
          <w:rFonts w:ascii="arial" w:eastAsia="arial" w:hAnsi="arial" w:cs="arial"/>
          <w:color w:val="000000"/>
          <w:sz w:val="20"/>
          <w:lang w:val="en-US" w:eastAsia="en-US" w:bidi="ar-SA"/>
        </w:rPr>
        <w:t>  The third related category that arises in cases where there are multiple people involved in an event or a case is that of several tortfeasors causing different damage. In this instance each tortfeasor is liable only for the damage which he has caused by himself.</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D. Procuring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w:t>
      </w:r>
      <w:r>
        <w:rPr>
          <w:rFonts w:ascii="arial" w:eastAsia="arial" w:hAnsi="arial" w:cs="arial"/>
          <w:color w:val="000000"/>
          <w:sz w:val="20"/>
          <w:lang w:val="en-US" w:eastAsia="en-US" w:bidi="ar-SA"/>
        </w:rPr>
        <w:t xml:space="preserve">  Not dealt with by Williams is the possibility of joint liability arising out of procuring a tort through inducement, enticement or persuasion. The Supreme Court of Canada allowed for this possibility in </w:t>
      </w:r>
      <w:r>
        <w:rPr>
          <w:rFonts w:ascii="arial" w:eastAsia="arial" w:hAnsi="arial" w:cs="arial"/>
          <w:i/>
          <w:color w:val="000000"/>
          <w:sz w:val="20"/>
          <w:lang w:val="en-US" w:eastAsia="en-US" w:bidi="ar-SA"/>
        </w:rPr>
        <w:t>Fullowka v. Pinkerton's of Canada Ltd.,</w:t>
      </w:r>
      <w:r>
        <w:rPr>
          <w:rFonts w:ascii="arial" w:eastAsia="arial" w:hAnsi="arial" w:cs="arial"/>
          <w:color w:val="000000"/>
          <w:sz w:val="20"/>
          <w:lang w:val="en-US" w:eastAsia="en-US" w:bidi="ar-SA"/>
        </w:rPr>
        <w:t xml:space="preserve"> </w:t>
      </w:r>
      <w:hyperlink r:id="rId46" w:history="1">
        <w:r>
          <w:rPr>
            <w:rFonts w:ascii="arial" w:eastAsia="arial" w:hAnsi="arial" w:cs="arial"/>
            <w:i/>
            <w:color w:val="0077CC"/>
            <w:sz w:val="20"/>
            <w:u w:val="single"/>
            <w:shd w:val="clear" w:color="auto" w:fill="FFFFFF"/>
            <w:lang w:val="en-US" w:eastAsia="en-US" w:bidi="ar-SA"/>
          </w:rPr>
          <w:t>2010 SCC 5</w:t>
        </w:r>
      </w:hyperlink>
      <w:r>
        <w:rPr>
          <w:rFonts w:ascii="arial" w:eastAsia="arial" w:hAnsi="arial" w:cs="arial"/>
          <w:color w:val="000000"/>
          <w:sz w:val="20"/>
          <w:lang w:val="en-US" w:eastAsia="en-US" w:bidi="ar-SA"/>
        </w:rPr>
        <w:t xml:space="preserve"> at para. 152. The English House of Lords and Supreme Court also allowed for this in </w:t>
      </w:r>
      <w:r>
        <w:rPr>
          <w:rFonts w:ascii="arial" w:eastAsia="arial" w:hAnsi="arial" w:cs="arial"/>
          <w:i/>
          <w:color w:val="000000"/>
          <w:sz w:val="20"/>
          <w:lang w:val="en-US" w:eastAsia="en-US" w:bidi="ar-SA"/>
        </w:rPr>
        <w:t>CBS Songs Ltd v Amstrad Consumer Electronics PLC</w:t>
      </w:r>
      <w:r>
        <w:rPr>
          <w:rFonts w:ascii="arial" w:eastAsia="arial" w:hAnsi="arial" w:cs="arial"/>
          <w:color w:val="000000"/>
          <w:sz w:val="20"/>
          <w:lang w:val="en-US" w:eastAsia="en-US" w:bidi="ar-SA"/>
        </w:rPr>
        <w:t xml:space="preserve"> [1988] 1 A.C. 1013 (U.K.H.L.) at p 1058, per Lord Templeman and </w:t>
      </w:r>
      <w:r>
        <w:rPr>
          <w:rFonts w:ascii="arial" w:eastAsia="arial" w:hAnsi="arial" w:cs="arial"/>
          <w:i/>
          <w:color w:val="000000"/>
          <w:sz w:val="20"/>
          <w:lang w:val="en-US" w:eastAsia="en-US" w:bidi="ar-SA"/>
        </w:rPr>
        <w:t>Sea Shepherd UK v Fish &amp; Fish Limited</w:t>
      </w:r>
      <w:r>
        <w:rPr>
          <w:rFonts w:ascii="arial" w:eastAsia="arial" w:hAnsi="arial" w:cs="arial"/>
          <w:color w:val="000000"/>
          <w:sz w:val="20"/>
          <w:lang w:val="en-US" w:eastAsia="en-US" w:bidi="ar-SA"/>
        </w:rPr>
        <w:t xml:space="preserve"> [2015] UKSC 10 per Lord Toulson at para. 19. In none of these cases was liability found on that basis. In fact, counsel for ICBC cited no case in which a defendant has been found jointly liable for a tort by having incited it.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w:t>
      </w:r>
      <w:r>
        <w:rPr>
          <w:rFonts w:ascii="arial" w:eastAsia="arial" w:hAnsi="arial" w:cs="arial"/>
          <w:color w:val="000000"/>
          <w:sz w:val="20"/>
          <w:lang w:val="en-US" w:eastAsia="en-US" w:bidi="ar-SA"/>
        </w:rPr>
        <w:t xml:space="preserve">  It is important to note that the criminal law principles applicable to aiding and abetting are not applicable to inducing or procuring a tort: </w:t>
      </w:r>
      <w:r>
        <w:rPr>
          <w:rFonts w:ascii="arial" w:eastAsia="arial" w:hAnsi="arial" w:cs="arial"/>
          <w:i/>
          <w:color w:val="000000"/>
          <w:sz w:val="20"/>
          <w:lang w:val="en-US" w:eastAsia="en-US" w:bidi="ar-SA"/>
        </w:rPr>
        <w:t>Sea Shepherd</w:t>
      </w:r>
      <w:r>
        <w:rPr>
          <w:rFonts w:ascii="arial" w:eastAsia="arial" w:hAnsi="arial" w:cs="arial"/>
          <w:color w:val="000000"/>
          <w:sz w:val="20"/>
          <w:lang w:val="en-US" w:eastAsia="en-US" w:bidi="ar-SA"/>
        </w:rPr>
        <w:t xml:space="preserve"> at para. 20 per Lord Toulson and Lord Sumption at para. 39. (Lord Sumption dissented in the result of the case but not in the legal analysis.) It is of further note that there is no tort of assistance or inducement to commit a tort -- the question is whether the actions of the defendant are such as to make him a joint tortfeasor and that is normally approached through the question of having acted pursuant to a common design: see for example, Lord Sumption in </w:t>
      </w:r>
      <w:r>
        <w:rPr>
          <w:rFonts w:ascii="arial" w:eastAsia="arial" w:hAnsi="arial" w:cs="arial"/>
          <w:i/>
          <w:color w:val="000000"/>
          <w:sz w:val="20"/>
          <w:lang w:val="en-US" w:eastAsia="en-US" w:bidi="ar-SA"/>
        </w:rPr>
        <w:t>Sea Shepherd</w:t>
      </w:r>
      <w:r>
        <w:rPr>
          <w:rFonts w:ascii="arial" w:eastAsia="arial" w:hAnsi="arial" w:cs="arial"/>
          <w:color w:val="000000"/>
          <w:sz w:val="20"/>
          <w:lang w:val="en-US" w:eastAsia="en-US" w:bidi="ar-SA"/>
        </w:rPr>
        <w:t xml:space="preserve"> at para. 38 and the trial judgment at para. 23, quoted at para. 12 of the Supreme Court's decision:</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As explained by Hobhouse LJ in his judgment in </w:t>
      </w:r>
      <w:r>
        <w:rPr>
          <w:rFonts w:ascii="arial" w:eastAsia="arial" w:hAnsi="arial" w:cs="arial"/>
          <w:i/>
          <w:color w:val="000000"/>
          <w:sz w:val="20"/>
          <w:lang w:val="en-US" w:eastAsia="en-US" w:bidi="ar-SA"/>
        </w:rPr>
        <w:t>Credit Lyonnais v ECGD</w:t>
      </w:r>
      <w:r>
        <w:rPr>
          <w:rFonts w:ascii="arial" w:eastAsia="arial" w:hAnsi="arial" w:cs="arial"/>
          <w:color w:val="000000"/>
          <w:sz w:val="20"/>
          <w:lang w:val="en-US" w:eastAsia="en-US" w:bidi="ar-SA"/>
        </w:rPr>
        <w:t xml:space="preserve"> [1998] 1 Lloyd's Rep 19 there is no tortious liability for aiding and abetting or facilitating the commission of a tort, even knowingly. There may, however, be such a liability if that is done pursuant to a common design. He treated this as an example of liability based on agency.</w:t>
      </w:r>
    </w:p>
    <w:p>
      <w:pPr>
        <w:spacing w:before="120"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E. The element of concerted action or common design as a foundation for joint liability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w:t>
      </w:r>
      <w:r>
        <w:rPr>
          <w:rFonts w:ascii="arial" w:eastAsia="arial" w:hAnsi="arial" w:cs="arial"/>
          <w:color w:val="000000"/>
          <w:sz w:val="20"/>
          <w:lang w:val="en-US" w:eastAsia="en-US" w:bidi="ar-SA"/>
        </w:rPr>
        <w:t xml:space="preserve">  The terms "concerted action", "acting pursuant to a common design" and similar variants have been used by the courts interchangeably. I will elaborate on the concept, primarily through reference to the </w:t>
      </w:r>
      <w:r>
        <w:rPr>
          <w:rFonts w:ascii="arial" w:eastAsia="arial" w:hAnsi="arial" w:cs="arial"/>
          <w:i/>
          <w:color w:val="000000"/>
          <w:sz w:val="20"/>
          <w:lang w:val="en-US" w:eastAsia="en-US" w:bidi="ar-SA"/>
        </w:rPr>
        <w:t>Sea Shepherd</w:t>
      </w:r>
      <w:r>
        <w:rPr>
          <w:rFonts w:ascii="arial" w:eastAsia="arial" w:hAnsi="arial" w:cs="arial"/>
          <w:color w:val="000000"/>
          <w:sz w:val="20"/>
          <w:lang w:val="en-US" w:eastAsia="en-US" w:bidi="ar-SA"/>
        </w:rPr>
        <w:t xml:space="preserve"> decision because it is a recent high-level decision that considered the matter in some depth. I recognise that the </w:t>
      </w:r>
      <w:r>
        <w:rPr>
          <w:rFonts w:ascii="arial" w:eastAsia="arial" w:hAnsi="arial" w:cs="arial"/>
          <w:i/>
          <w:color w:val="000000"/>
          <w:sz w:val="20"/>
          <w:lang w:val="en-US" w:eastAsia="en-US" w:bidi="ar-SA"/>
        </w:rPr>
        <w:t>Sea Shepherd</w:t>
      </w:r>
      <w:r>
        <w:rPr>
          <w:rFonts w:ascii="arial" w:eastAsia="arial" w:hAnsi="arial" w:cs="arial"/>
          <w:color w:val="000000"/>
          <w:sz w:val="20"/>
          <w:lang w:val="en-US" w:eastAsia="en-US" w:bidi="ar-SA"/>
        </w:rPr>
        <w:t xml:space="preserve"> case on its facts is not directly applicable to a riot situation where all the participants to the tort are actually "on the ground". Nevertheless, it fully enunciates the legal principles in issue.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Sea Shepherd</w:t>
      </w:r>
      <w:r>
        <w:rPr>
          <w:rFonts w:ascii="arial" w:eastAsia="arial" w:hAnsi="arial" w:cs="arial"/>
          <w:color w:val="000000"/>
          <w:sz w:val="20"/>
          <w:lang w:val="en-US" w:eastAsia="en-US" w:bidi="ar-SA"/>
        </w:rPr>
        <w:t>, the Sea Shepherd Conservation Society caused damage to a fishing vessel as part of an environmental protest. The defendant, Sea Shepherd UK, was a United Kingdom charity whose objective was to raise and provide funds to support the Sea Shepherd Conservation Society. The issue was whether the UK charity was a joint tortfeasor with the Conservation Society because it had done things such as a mail-out informing members of the scheduled protest. The mailing did not refer to any prospective tortious activity.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w:t>
      </w:r>
      <w:r>
        <w:rPr>
          <w:rFonts w:ascii="arial" w:eastAsia="arial" w:hAnsi="arial" w:cs="arial"/>
          <w:color w:val="000000"/>
          <w:sz w:val="20"/>
          <w:lang w:val="en-US" w:eastAsia="en-US" w:bidi="ar-SA"/>
        </w:rPr>
        <w:t>  All five members of the panel gave decisions, two of them dissenting. However, they were clear that there was no disagreement as to the legal principles at stake; rather, the disagreement was as to the application of those principles to the facts.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w:t>
      </w:r>
      <w:r>
        <w:rPr>
          <w:rFonts w:ascii="arial" w:eastAsia="arial" w:hAnsi="arial" w:cs="arial"/>
          <w:color w:val="000000"/>
          <w:sz w:val="20"/>
          <w:lang w:val="en-US" w:eastAsia="en-US" w:bidi="ar-SA"/>
        </w:rPr>
        <w:t>  Lord Neuberger referred to the Conservation Society as the primary tortfeasor and noted that the claimant contended that the UK charity was jointly liable because it assisted the primary tortfeasor to commit the tort. Lord Neuberger set out three conditions for joint liability to be established in the circumstances:</w:t>
      </w:r>
      <w:r>
        <w:rPr>
          <w:rFonts w:ascii="arial" w:eastAsia="arial" w:hAnsi="arial" w:cs="arial"/>
          <w:sz w:val="20"/>
          <w:lang w:val="en-US" w:eastAsia="en-US" w:bidi="ar-SA"/>
        </w:rPr>
        <w:cr/>
      </w:r>
    </w:p>
    <w:p>
      <w:pPr>
        <w:numPr>
          <w:numId w:val="12"/>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It seems to me that, in order for the defendant to be liable to the claimant in such circumstances, three conditions must be satisfied. First, the defendant must have assisted the commission of an act by the primary tortfeasor; secondly, the assistance must have been pursuant to a common design on the part of the defendant and the primary tortfeasor that the act be committed; and, thirdly, the act must constitute a tort as against the claimant. As Lord Toulson says, this analysis is accurately reflected in the statement of the law in </w:t>
      </w:r>
      <w:r>
        <w:rPr>
          <w:rFonts w:ascii="arial" w:eastAsia="arial" w:hAnsi="arial" w:cs="arial"/>
          <w:i/>
          <w:color w:val="000000"/>
          <w:sz w:val="20"/>
          <w:lang w:val="en-US" w:eastAsia="en-US" w:bidi="ar-SA"/>
        </w:rPr>
        <w:t>Clerk and Lindsell on Torts</w:t>
      </w:r>
      <w:r>
        <w:rPr>
          <w:rFonts w:ascii="arial" w:eastAsia="arial" w:hAnsi="arial" w:cs="arial"/>
          <w:color w:val="000000"/>
          <w:sz w:val="20"/>
          <w:lang w:val="en-US" w:eastAsia="en-US" w:bidi="ar-SA"/>
        </w:rPr>
        <w:t xml:space="preserve">, 7th ed, p 59, cited by all members of the Court of Appeal in </w:t>
      </w:r>
      <w:r>
        <w:rPr>
          <w:rFonts w:ascii="arial" w:eastAsia="arial" w:hAnsi="arial" w:cs="arial"/>
          <w:i/>
          <w:color w:val="000000"/>
          <w:sz w:val="20"/>
          <w:lang w:val="en-US" w:eastAsia="en-US" w:bidi="ar-SA"/>
        </w:rPr>
        <w:t>The Koursk</w:t>
      </w:r>
      <w:r>
        <w:rPr>
          <w:rFonts w:ascii="arial" w:eastAsia="arial" w:hAnsi="arial" w:cs="arial"/>
          <w:color w:val="000000"/>
          <w:sz w:val="20"/>
          <w:lang w:val="en-US" w:eastAsia="en-US" w:bidi="ar-SA"/>
        </w:rPr>
        <w:t xml:space="preserve"> [1924] P 140, 151, 156, 159.</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w:t>
      </w:r>
      <w:r>
        <w:rPr>
          <w:rFonts w:ascii="arial" w:eastAsia="arial" w:hAnsi="arial" w:cs="arial"/>
          <w:color w:val="000000"/>
          <w:sz w:val="20"/>
          <w:lang w:val="en-US" w:eastAsia="en-US" w:bidi="ar-SA"/>
        </w:rPr>
        <w:t>  With respect to the first condition, assistance, Lord Neuberger and the other judges held that the assistance must be substantial and not trivial.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w:t>
      </w:r>
      <w:r>
        <w:rPr>
          <w:rFonts w:ascii="arial" w:eastAsia="arial" w:hAnsi="arial" w:cs="arial"/>
          <w:color w:val="000000"/>
          <w:sz w:val="20"/>
          <w:lang w:val="en-US" w:eastAsia="en-US" w:bidi="ar-SA"/>
        </w:rPr>
        <w:t xml:space="preserve">  Lord Sumption at para. 37 and Lord Neuberger at para. 55, adopted the following statement from </w:t>
      </w:r>
      <w:r>
        <w:rPr>
          <w:rFonts w:ascii="arial" w:eastAsia="arial" w:hAnsi="arial" w:cs="arial"/>
          <w:i/>
          <w:color w:val="000000"/>
          <w:sz w:val="20"/>
          <w:lang w:val="en-US" w:eastAsia="en-US" w:bidi="ar-SA"/>
        </w:rPr>
        <w:t>Clerk and Lindsell on Torts</w:t>
      </w:r>
      <w:r>
        <w:rPr>
          <w:rFonts w:ascii="arial" w:eastAsia="arial" w:hAnsi="arial" w:cs="arial"/>
          <w:color w:val="000000"/>
          <w:sz w:val="20"/>
          <w:lang w:val="en-US" w:eastAsia="en-US" w:bidi="ar-SA"/>
        </w:rPr>
        <w:t xml:space="preserve">, 7th ed, p 59, which had been quoted by Scrutton L.J. in </w:t>
      </w:r>
      <w:r>
        <w:rPr>
          <w:rFonts w:ascii="arial" w:eastAsia="arial" w:hAnsi="arial" w:cs="arial"/>
          <w:i/>
          <w:color w:val="000000"/>
          <w:sz w:val="20"/>
          <w:lang w:val="en-US" w:eastAsia="en-US" w:bidi="ar-SA"/>
        </w:rPr>
        <w:t>The Koursk</w:t>
      </w:r>
      <w:r>
        <w:rPr>
          <w:rFonts w:ascii="arial" w:eastAsia="arial" w:hAnsi="arial" w:cs="arial"/>
          <w:color w:val="000000"/>
          <w:sz w:val="20"/>
          <w:lang w:val="en-US" w:eastAsia="en-US" w:bidi="ar-SA"/>
        </w:rPr>
        <w: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Persons are said to be joint tortfeasors when their respective shares in the commission of the tort are done in furtherance of a common design ... but </w:t>
      </w:r>
      <w:r>
        <w:rPr>
          <w:rFonts w:ascii="arial" w:eastAsia="arial" w:hAnsi="arial" w:cs="arial"/>
          <w:color w:val="000000"/>
          <w:sz w:val="20"/>
          <w:u w:val="single"/>
          <w:lang w:val="en-US" w:eastAsia="en-US" w:bidi="ar-SA"/>
        </w:rPr>
        <w:t>mere similarity of design on the part of independent actors, causing independent damage, is not enough; there must be concerted action to a common end</w:t>
      </w:r>
      <w:r>
        <w:rPr>
          <w:rFonts w:ascii="arial" w:eastAsia="arial" w:hAnsi="arial" w:cs="arial"/>
          <w:color w:val="000000"/>
          <w:sz w:val="20"/>
          <w:lang w:val="en-US" w:eastAsia="en-US" w:bidi="ar-SA"/>
        </w:rPr>
        <w:t>. [Emphasis added.]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w:t>
      </w:r>
      <w:r>
        <w:rPr>
          <w:rFonts w:ascii="arial" w:eastAsia="arial" w:hAnsi="arial" w:cs="arial"/>
          <w:color w:val="000000"/>
          <w:sz w:val="20"/>
          <w:lang w:val="en-US" w:eastAsia="en-US" w:bidi="ar-SA"/>
        </w:rPr>
        <w:t xml:space="preserve">  The Supreme Court of Canada in </w:t>
      </w:r>
      <w:r>
        <w:rPr>
          <w:rFonts w:ascii="arial" w:eastAsia="arial" w:hAnsi="arial" w:cs="arial"/>
          <w:i/>
          <w:color w:val="000000"/>
          <w:sz w:val="20"/>
          <w:lang w:val="en-US" w:eastAsia="en-US" w:bidi="ar-SA"/>
        </w:rPr>
        <w:t>Fullowka</w:t>
      </w:r>
      <w:r>
        <w:rPr>
          <w:rFonts w:ascii="arial" w:eastAsia="arial" w:hAnsi="arial" w:cs="arial"/>
          <w:color w:val="000000"/>
          <w:sz w:val="20"/>
          <w:lang w:val="en-US" w:eastAsia="en-US" w:bidi="ar-SA"/>
        </w:rPr>
        <w:t xml:space="preserve"> dealt with the matter similarly. It said: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154 As for the law, concerted action liability may be imposed where the alleged wrongdoers acted in furtherance of a common design: see, e.g., </w:t>
      </w:r>
      <w:r>
        <w:rPr>
          <w:rFonts w:ascii="arial" w:eastAsia="arial" w:hAnsi="arial" w:cs="arial"/>
          <w:i/>
          <w:color w:val="000000"/>
          <w:sz w:val="20"/>
          <w:lang w:val="en-US" w:eastAsia="en-US" w:bidi="ar-SA"/>
        </w:rPr>
        <w:t>Botiuk v. Toronto Free Press Publications Ltd.</w:t>
      </w:r>
      <w:r>
        <w:rPr>
          <w:rFonts w:ascii="arial" w:eastAsia="arial" w:hAnsi="arial" w:cs="arial"/>
          <w:color w:val="000000"/>
          <w:sz w:val="20"/>
          <w:lang w:val="en-US" w:eastAsia="en-US" w:bidi="ar-SA"/>
        </w:rPr>
        <w:t xml:space="preserve">, </w:t>
      </w:r>
      <w:hyperlink r:id="rId1024" w:history="1">
        <w:r>
          <w:rPr>
            <w:rFonts w:ascii="arial" w:eastAsia="arial" w:hAnsi="arial" w:cs="arial"/>
            <w:i/>
            <w:color w:val="0077CC"/>
            <w:sz w:val="20"/>
            <w:u w:val="single"/>
            <w:shd w:val="clear" w:color="auto" w:fill="FFFFFF"/>
            <w:lang w:val="en-US" w:eastAsia="en-US" w:bidi="ar-SA"/>
          </w:rPr>
          <w:t>[1995] 3 S.C.R. 3</w:t>
        </w:r>
      </w:hyperlink>
      <w:r>
        <w:rPr>
          <w:rFonts w:ascii="arial" w:eastAsia="arial" w:hAnsi="arial" w:cs="arial"/>
          <w:color w:val="000000"/>
          <w:sz w:val="20"/>
          <w:lang w:val="en-US" w:eastAsia="en-US" w:bidi="ar-SA"/>
        </w:rPr>
        <w:t xml:space="preserve">, at para. 74, citing with approval John G. Fleming, </w:t>
      </w:r>
      <w:r>
        <w:rPr>
          <w:rFonts w:ascii="arial" w:eastAsia="arial" w:hAnsi="arial" w:cs="arial"/>
          <w:i/>
          <w:color w:val="000000"/>
          <w:sz w:val="20"/>
          <w:lang w:val="en-US" w:eastAsia="en-US" w:bidi="ar-SA"/>
        </w:rPr>
        <w:t>The Law of Torts</w:t>
      </w:r>
      <w:r>
        <w:rPr>
          <w:rFonts w:ascii="arial" w:eastAsia="arial" w:hAnsi="arial" w:cs="arial"/>
          <w:color w:val="000000"/>
          <w:sz w:val="20"/>
          <w:lang w:val="en-US" w:eastAsia="en-US" w:bidi="ar-SA"/>
        </w:rPr>
        <w:t xml:space="preserve"> (8th ed. 1992), at p. 255. While the required connection between the common design and the tort actually committed has been expressed in different ways in the authorities, the cases relied on by the appellants stand for the proposition that the tort, in this case the murders, must be committed in direct furtherance of the common design. As Fleming expressed it, this means that all participants must act in furtherance of the wrong: </w:t>
      </w:r>
      <w:r>
        <w:rPr>
          <w:rFonts w:ascii="arial" w:eastAsia="arial" w:hAnsi="arial" w:cs="arial"/>
          <w:i/>
          <w:color w:val="000000"/>
          <w:sz w:val="20"/>
          <w:lang w:val="en-US" w:eastAsia="en-US" w:bidi="ar-SA"/>
        </w:rPr>
        <w:t>Botiuk</w:t>
      </w:r>
      <w:r>
        <w:rPr>
          <w:rFonts w:ascii="arial" w:eastAsia="arial" w:hAnsi="arial" w:cs="arial"/>
          <w:color w:val="000000"/>
          <w:sz w:val="20"/>
          <w:lang w:val="en-US" w:eastAsia="en-US" w:bidi="ar-SA"/>
        </w:rPr>
        <w:t xml:space="preserve">, at para. 74; </w:t>
      </w:r>
      <w:r>
        <w:rPr>
          <w:rFonts w:ascii="arial" w:eastAsia="arial" w:hAnsi="arial" w:cs="arial"/>
          <w:i/>
          <w:color w:val="000000"/>
          <w:sz w:val="20"/>
          <w:lang w:val="en-US" w:eastAsia="en-US" w:bidi="ar-SA"/>
        </w:rPr>
        <w:t>Newcastle (Town) v. Mattatall</w:t>
      </w:r>
      <w:r>
        <w:rPr>
          <w:rFonts w:ascii="arial" w:eastAsia="arial" w:hAnsi="arial" w:cs="arial"/>
          <w:color w:val="000000"/>
          <w:sz w:val="20"/>
          <w:lang w:val="en-US" w:eastAsia="en-US" w:bidi="ar-SA"/>
        </w:rPr>
        <w:t xml:space="preserve"> </w:t>
      </w:r>
      <w:hyperlink r:id="rId1025" w:history="1">
        <w:r>
          <w:rPr>
            <w:rFonts w:ascii="arial" w:eastAsia="arial" w:hAnsi="arial" w:cs="arial"/>
            <w:i/>
            <w:color w:val="0077CC"/>
            <w:sz w:val="20"/>
            <w:u w:val="single"/>
            <w:shd w:val="clear" w:color="auto" w:fill="FFFFFF"/>
            <w:lang w:val="en-US" w:eastAsia="en-US" w:bidi="ar-SA"/>
          </w:rPr>
          <w:t>(1987), 78 N.B.R. (2d) 236</w:t>
        </w:r>
      </w:hyperlink>
      <w:r>
        <w:rPr>
          <w:rFonts w:ascii="arial" w:eastAsia="arial" w:hAnsi="arial" w:cs="arial"/>
          <w:color w:val="000000"/>
          <w:sz w:val="20"/>
          <w:lang w:val="en-US" w:eastAsia="en-US" w:bidi="ar-SA"/>
        </w:rPr>
        <w:t xml:space="preserve"> (Q.B.), aff'd </w:t>
      </w:r>
      <w:hyperlink r:id="rId1026" w:history="1">
        <w:r>
          <w:rPr>
            <w:rFonts w:ascii="arial" w:eastAsia="arial" w:hAnsi="arial" w:cs="arial"/>
            <w:i/>
            <w:color w:val="0077CC"/>
            <w:sz w:val="20"/>
            <w:u w:val="single"/>
            <w:shd w:val="clear" w:color="auto" w:fill="FFFFFF"/>
            <w:lang w:val="en-US" w:eastAsia="en-US" w:bidi="ar-SA"/>
          </w:rPr>
          <w:t>(1988), 87 N.B.R. (2d) 238</w:t>
        </w:r>
      </w:hyperlink>
      <w:r>
        <w:rPr>
          <w:rFonts w:ascii="arial" w:eastAsia="arial" w:hAnsi="arial" w:cs="arial"/>
          <w:color w:val="000000"/>
          <w:sz w:val="20"/>
          <w:lang w:val="en-US" w:eastAsia="en-US" w:bidi="ar-SA"/>
        </w:rPr>
        <w:t xml:space="preserve"> (C.A.), at paras. 27-43; </w:t>
      </w:r>
      <w:r>
        <w:rPr>
          <w:rFonts w:ascii="arial" w:eastAsia="arial" w:hAnsi="arial" w:cs="arial"/>
          <w:i/>
          <w:color w:val="000000"/>
          <w:sz w:val="20"/>
          <w:lang w:val="en-US" w:eastAsia="en-US" w:bidi="ar-SA"/>
        </w:rPr>
        <w:t>The Koursk</w:t>
      </w:r>
      <w:r>
        <w:rPr>
          <w:rFonts w:ascii="arial" w:eastAsia="arial" w:hAnsi="arial" w:cs="arial"/>
          <w:color w:val="000000"/>
          <w:sz w:val="20"/>
          <w:lang w:val="en-US" w:eastAsia="en-US" w:bidi="ar-SA"/>
        </w:rPr>
        <w:t xml:space="preserve">, </w:t>
      </w:r>
      <w:hyperlink r:id="rId1023" w:history="1">
        <w:r>
          <w:rPr>
            <w:rFonts w:ascii="arial" w:eastAsia="arial" w:hAnsi="arial" w:cs="arial"/>
            <w:i/>
            <w:color w:val="0077CC"/>
            <w:sz w:val="20"/>
            <w:u w:val="single"/>
            <w:shd w:val="clear" w:color="auto" w:fill="FFFFFF"/>
            <w:lang w:val="en-US" w:eastAsia="en-US" w:bidi="ar-SA"/>
          </w:rPr>
          <w:t>[1924] P. 140</w:t>
        </w:r>
      </w:hyperlink>
      <w:r>
        <w:rPr>
          <w:rFonts w:ascii="arial" w:eastAsia="arial" w:hAnsi="arial" w:cs="arial"/>
          <w:sz w:val="20"/>
          <w:lang w:val="en-US" w:eastAsia="en-US" w:bidi="ar-SA"/>
        </w:rPr>
        <w:t xml:space="preserve"> </w:t>
      </w:r>
      <w:r>
        <w:pict>
          <v:shape id="_x0000_i1254" type="#_x0000_t75" style="width:11pt;height:10pt">
            <v:imagedata r:id="rId188" o:title=""/>
          </v:shape>
        </w:pict>
      </w:r>
      <w:r>
        <w:rPr>
          <w:rFonts w:ascii="arial" w:eastAsia="arial" w:hAnsi="arial" w:cs="arial"/>
          <w:color w:val="000000"/>
          <w:sz w:val="20"/>
          <w:lang w:val="en-US" w:eastAsia="en-US" w:bidi="ar-SA"/>
        </w:rPr>
        <w:t xml:space="preserve"> (C.A.); </w:t>
      </w:r>
      <w:r>
        <w:rPr>
          <w:rFonts w:ascii="arial" w:eastAsia="arial" w:hAnsi="arial" w:cs="arial"/>
          <w:i/>
          <w:color w:val="000000"/>
          <w:sz w:val="20"/>
          <w:lang w:val="en-US" w:eastAsia="en-US" w:bidi="ar-SA"/>
        </w:rPr>
        <w:t>Mainland Sawmills</w:t>
      </w:r>
      <w:r>
        <w:rPr>
          <w:rFonts w:ascii="arial" w:eastAsia="arial" w:hAnsi="arial" w:cs="arial"/>
          <w:color w:val="000000"/>
          <w:sz w:val="20"/>
          <w:lang w:val="en-US" w:eastAsia="en-US" w:bidi="ar-SA"/>
        </w:rPr>
        <w:t xml:space="preserve">, at paras. 167-81; G.H. Fridman, </w:t>
      </w:r>
      <w:r>
        <w:rPr>
          <w:rFonts w:ascii="arial" w:eastAsia="arial" w:hAnsi="arial" w:cs="arial"/>
          <w:i/>
          <w:color w:val="000000"/>
          <w:sz w:val="20"/>
          <w:lang w:val="en-US" w:eastAsia="en-US" w:bidi="ar-SA"/>
        </w:rPr>
        <w:t>The Law of Torts in Canada</w:t>
      </w:r>
      <w:r>
        <w:rPr>
          <w:rFonts w:ascii="arial" w:eastAsia="arial" w:hAnsi="arial" w:cs="arial"/>
          <w:color w:val="000000"/>
          <w:sz w:val="20"/>
          <w:lang w:val="en-US" w:eastAsia="en-US" w:bidi="ar-SA"/>
        </w:rPr>
        <w:t xml:space="preserve"> (2nd ed. 2002), at pp. 888-89; L. Klar, </w:t>
      </w:r>
      <w:r>
        <w:rPr>
          <w:rFonts w:ascii="arial" w:eastAsia="arial" w:hAnsi="arial" w:cs="arial"/>
          <w:i/>
          <w:color w:val="000000"/>
          <w:sz w:val="20"/>
          <w:lang w:val="en-US" w:eastAsia="en-US" w:bidi="ar-SA"/>
        </w:rPr>
        <w:t>Tort Law</w:t>
      </w:r>
      <w:r>
        <w:rPr>
          <w:rFonts w:ascii="arial" w:eastAsia="arial" w:hAnsi="arial" w:cs="arial"/>
          <w:color w:val="000000"/>
          <w:sz w:val="20"/>
          <w:lang w:val="en-US" w:eastAsia="en-US" w:bidi="ar-SA"/>
        </w:rPr>
        <w:t xml:space="preserve"> (3rd ed. 2003), at p. 488.</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w:t>
      </w:r>
      <w:r>
        <w:rPr>
          <w:rFonts w:ascii="arial" w:eastAsia="arial" w:hAnsi="arial" w:cs="arial"/>
          <w:color w:val="000000"/>
          <w:sz w:val="20"/>
          <w:lang w:val="en-US" w:eastAsia="en-US" w:bidi="ar-SA"/>
        </w:rPr>
        <w:t xml:space="preserve">  An earlier British Columbia case setting out the same principle is </w:t>
      </w:r>
      <w:r>
        <w:rPr>
          <w:rFonts w:ascii="arial" w:eastAsia="arial" w:hAnsi="arial" w:cs="arial"/>
          <w:i/>
          <w:color w:val="000000"/>
          <w:sz w:val="20"/>
          <w:lang w:val="en-US" w:eastAsia="en-US" w:bidi="ar-SA"/>
        </w:rPr>
        <w:t>Bains v. Hofs</w:t>
      </w:r>
      <w:r>
        <w:rPr>
          <w:rFonts w:ascii="arial" w:eastAsia="arial" w:hAnsi="arial" w:cs="arial"/>
          <w:color w:val="000000"/>
          <w:sz w:val="20"/>
          <w:lang w:val="en-US" w:eastAsia="en-US" w:bidi="ar-SA"/>
        </w:rPr>
        <w:t xml:space="preserve"> </w:t>
      </w:r>
      <w:hyperlink r:id="rId1027" w:history="1">
        <w:r>
          <w:rPr>
            <w:rFonts w:ascii="arial" w:eastAsia="arial" w:hAnsi="arial" w:cs="arial"/>
            <w:i/>
            <w:color w:val="0077CC"/>
            <w:sz w:val="20"/>
            <w:u w:val="single"/>
            <w:shd w:val="clear" w:color="auto" w:fill="FFFFFF"/>
            <w:lang w:val="en-US" w:eastAsia="en-US" w:bidi="ar-SA"/>
          </w:rPr>
          <w:t>(1992), 76 B.C.L.R. (2d) 98</w:t>
        </w:r>
      </w:hyperlink>
      <w:r>
        <w:rPr>
          <w:rFonts w:ascii="arial" w:eastAsia="arial" w:hAnsi="arial" w:cs="arial"/>
          <w:color w:val="000000"/>
          <w:sz w:val="20"/>
          <w:lang w:val="en-US" w:eastAsia="en-US" w:bidi="ar-SA"/>
        </w:rPr>
        <w:t xml:space="preserve"> (S.C.), which quoted the same passage from Fleming. I will return to this case later.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w:t>
      </w:r>
      <w:r>
        <w:rPr>
          <w:rFonts w:ascii="arial" w:eastAsia="arial" w:hAnsi="arial" w:cs="arial"/>
          <w:color w:val="000000"/>
          <w:sz w:val="20"/>
          <w:lang w:val="en-US" w:eastAsia="en-US" w:bidi="ar-SA"/>
        </w:rPr>
        <w:t>  Lord Neuberger, at para. 56, noted that this basis of tortious liability had to be kept within reasonable bounds. Similarly, Lord Sumption said, at para. 39:</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principal concern of the law in this area is to recognise a liability for assisting the commission by the primary actor of a tort, while ensuring that the mere facilitation of the tort will not give rise to such a liability, even when combined with knowledge of the primary actor's intention. ...</w:t>
      </w:r>
    </w:p>
    <w:p>
      <w:pPr>
        <w:spacing w:before="120"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F. Common course of participating in an illegal riot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w:t>
      </w:r>
      <w:r>
        <w:rPr>
          <w:rFonts w:ascii="arial" w:eastAsia="arial" w:hAnsi="arial" w:cs="arial"/>
          <w:color w:val="000000"/>
          <w:sz w:val="20"/>
          <w:lang w:val="en-US" w:eastAsia="en-US" w:bidi="ar-SA"/>
        </w:rPr>
        <w:t>  In its notice of civil claim, ICBC pleaded:</w:t>
      </w:r>
      <w:r>
        <w:rPr>
          <w:rFonts w:ascii="arial" w:eastAsia="arial" w:hAnsi="arial" w:cs="arial"/>
          <w:sz w:val="20"/>
          <w:lang w:val="en-US" w:eastAsia="en-US" w:bidi="ar-SA"/>
        </w:rPr>
        <w:cr/>
      </w:r>
    </w:p>
    <w:p>
      <w:pPr>
        <w:numPr>
          <w:numId w:val="13"/>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Each and all of the Defendants, named and unnamed, having participated in the Riot, are joint tortfeasors, along with others who participated in the Riot, and who joined in a common unlawful purpose of rioting contrary to criminal and common law, and thereby caused or contributed to the losses of the Plaintiff, and are liable to the Plaintiff for any or all of the damages caused by the Plaintiff herein.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The proposition is that the unlawful riot was a common design. Every one who participated in it is a joint tortfeasor and therefore liable for all the damage done in the riot.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w:t>
      </w:r>
      <w:r>
        <w:rPr>
          <w:rFonts w:ascii="arial" w:eastAsia="arial" w:hAnsi="arial" w:cs="arial"/>
          <w:color w:val="000000"/>
          <w:sz w:val="20"/>
          <w:lang w:val="en-US" w:eastAsia="en-US" w:bidi="ar-SA"/>
        </w:rPr>
        <w:t>  It is to be borne in mind that this was not a planned or deliberate riot. There was no ringleader; it was not instigated by a person or group of people. It was spontaneous. Under these circumstances, it appears to me ICBC's proposition is too broad.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w:t>
      </w:r>
      <w:r>
        <w:rPr>
          <w:rFonts w:ascii="arial" w:eastAsia="arial" w:hAnsi="arial" w:cs="arial"/>
          <w:color w:val="000000"/>
          <w:sz w:val="20"/>
          <w:lang w:val="en-US" w:eastAsia="en-US" w:bidi="ar-SA"/>
        </w:rPr>
        <w:t>  First, it is too broad on a geographical level: every one participating in the riot on Seymour Street would be jointly liable for damage done by participants on Howe Street.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34</w:t>
      </w:r>
      <w:r>
        <w:rPr>
          <w:rFonts w:ascii="arial" w:eastAsia="arial" w:hAnsi="arial" w:cs="arial"/>
          <w:color w:val="000000"/>
          <w:sz w:val="20"/>
          <w:lang w:val="en-US" w:eastAsia="en-US" w:bidi="ar-SA"/>
        </w:rPr>
        <w:t>  Second, it is too broad from a conduct point of view. For example, someone who has refused to leave the riot in order to take photographs would be equally liable for the destruction of a vehicle by someone else even if they never encouraged that destruction, much less laid hands on the vehicle.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35</w:t>
      </w:r>
      <w:r>
        <w:rPr>
          <w:rFonts w:ascii="arial" w:eastAsia="arial" w:hAnsi="arial" w:cs="arial"/>
          <w:color w:val="000000"/>
          <w:sz w:val="20"/>
          <w:lang w:val="en-US" w:eastAsia="en-US" w:bidi="ar-SA"/>
        </w:rPr>
        <w:t>  Third, it is too broad because it does not recognise that the assistance rendered to the principal tortfeasor must be substantial.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36</w:t>
      </w:r>
      <w:r>
        <w:rPr>
          <w:rFonts w:ascii="arial" w:eastAsia="arial" w:hAnsi="arial" w:cs="arial"/>
          <w:color w:val="000000"/>
          <w:sz w:val="20"/>
          <w:lang w:val="en-US" w:eastAsia="en-US" w:bidi="ar-SA"/>
        </w:rPr>
        <w:t>  Fourth, it begs the difficult factual distinction between whether there was one riot or several. (Although the riot has been referred to in the singular, and I will continue to use the term, it is imprecise for the purposes of determining joint liability for a tort.)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37</w:t>
      </w:r>
      <w:r>
        <w:rPr>
          <w:rFonts w:ascii="arial" w:eastAsia="arial" w:hAnsi="arial" w:cs="arial"/>
          <w:color w:val="000000"/>
          <w:sz w:val="20"/>
          <w:lang w:val="en-US" w:eastAsia="en-US" w:bidi="ar-SA"/>
        </w:rPr>
        <w:t xml:space="preserve">  The cases cited by ICBC regarding joint liability arising out of a tort committed during the course of carrying out a criminal activity are more limited in scope. </w:t>
      </w:r>
      <w:r>
        <w:rPr>
          <w:rFonts w:ascii="arial" w:eastAsia="arial" w:hAnsi="arial" w:cs="arial"/>
          <w:i/>
          <w:color w:val="000000"/>
          <w:sz w:val="20"/>
          <w:lang w:val="en-US" w:eastAsia="en-US" w:bidi="ar-SA"/>
        </w:rPr>
        <w:t>Mainland Sawmills Ltd. v. USW Union Local -- 1-3567</w:t>
      </w:r>
      <w:r>
        <w:rPr>
          <w:rFonts w:ascii="arial" w:eastAsia="arial" w:hAnsi="arial" w:cs="arial"/>
          <w:color w:val="000000"/>
          <w:sz w:val="20"/>
          <w:lang w:val="en-US" w:eastAsia="en-US" w:bidi="ar-SA"/>
        </w:rPr>
        <w:t xml:space="preserve">, </w:t>
      </w:r>
      <w:hyperlink r:id="rId1028" w:history="1">
        <w:r>
          <w:rPr>
            <w:rFonts w:ascii="arial" w:eastAsia="arial" w:hAnsi="arial" w:cs="arial"/>
            <w:i/>
            <w:color w:val="0077CC"/>
            <w:sz w:val="20"/>
            <w:u w:val="single"/>
            <w:shd w:val="clear" w:color="auto" w:fill="FFFFFF"/>
            <w:lang w:val="en-US" w:eastAsia="en-US" w:bidi="ar-SA"/>
          </w:rPr>
          <w:t>2007 BCSC 1433</w:t>
        </w:r>
      </w:hyperlink>
      <w:r>
        <w:rPr>
          <w:rFonts w:ascii="arial" w:eastAsia="arial" w:hAnsi="arial" w:cs="arial"/>
          <w:color w:val="000000"/>
          <w:sz w:val="20"/>
          <w:lang w:val="en-US" w:eastAsia="en-US" w:bidi="ar-SA"/>
        </w:rPr>
        <w:t>, is a good example of this and the facts are the most similiar to the case at bar.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38</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Mainland</w:t>
      </w:r>
      <w:r>
        <w:rPr>
          <w:rFonts w:ascii="arial" w:eastAsia="arial" w:hAnsi="arial" w:cs="arial"/>
          <w:color w:val="000000"/>
          <w:sz w:val="20"/>
          <w:lang w:val="en-US" w:eastAsia="en-US" w:bidi="ar-SA"/>
        </w:rPr>
        <w:t>, Fisher J. held a union local and several union members jointly liable for several torts committed during the course of picketing. The torts included assault and battery. Fisher J. found that all the defendants acted in concert to shut down Mainland's sawmill (para. 179). The individual defendants were acting at the direction of the Local given by the Local's president. Once the defendants were at Mainland's site, they formed the common purpose to force the Mainland workers out by trespassing and using threats of force (para. 182).</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39</w:t>
      </w:r>
      <w:r>
        <w:rPr>
          <w:rFonts w:ascii="arial" w:eastAsia="arial" w:hAnsi="arial" w:cs="arial"/>
          <w:color w:val="000000"/>
          <w:sz w:val="20"/>
          <w:lang w:val="en-US" w:eastAsia="en-US" w:bidi="ar-SA"/>
        </w:rPr>
        <w:t>  I contrast that with the defendants here, who generally travelled to the Live Site or the downtown area on their own or with friends who were not shown to me to be rioters. The defendants acted under no one's direction and their wrongful actions, although taken with others, were spontaneous. To take the term "acting in concert" literally, there was no conductor and the rioters were not performing from a common score.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40</w:t>
      </w:r>
      <w:r>
        <w:rPr>
          <w:rFonts w:ascii="arial" w:eastAsia="arial" w:hAnsi="arial" w:cs="arial"/>
          <w:color w:val="000000"/>
          <w:sz w:val="20"/>
          <w:lang w:val="en-US" w:eastAsia="en-US" w:bidi="ar-SA"/>
        </w:rPr>
        <w:t>  </w:t>
      </w:r>
      <w:r>
        <w:rPr>
          <w:rFonts w:ascii="arial" w:eastAsia="arial" w:hAnsi="arial" w:cs="arial"/>
          <w:i/>
          <w:color w:val="000000"/>
          <w:sz w:val="20"/>
          <w:lang w:val="en-US" w:eastAsia="en-US" w:bidi="ar-SA"/>
        </w:rPr>
        <w:t>Mainland</w:t>
      </w:r>
      <w:r>
        <w:rPr>
          <w:rFonts w:ascii="arial" w:eastAsia="arial" w:hAnsi="arial" w:cs="arial"/>
          <w:color w:val="000000"/>
          <w:sz w:val="20"/>
          <w:lang w:val="en-US" w:eastAsia="en-US" w:bidi="ar-SA"/>
        </w:rPr>
        <w:t xml:space="preserve"> and the other cases cited by the plaintiff are in essence cases applying the concept of joint liability through the carrying out of a common design. They do not enunciate a separate principle. This was explicitly recognised in </w:t>
      </w:r>
      <w:r>
        <w:rPr>
          <w:rFonts w:ascii="arial" w:eastAsia="arial" w:hAnsi="arial" w:cs="arial"/>
          <w:i/>
          <w:color w:val="000000"/>
          <w:sz w:val="20"/>
          <w:lang w:val="en-US" w:eastAsia="en-US" w:bidi="ar-SA"/>
        </w:rPr>
        <w:t>Bains</w:t>
      </w:r>
      <w:r>
        <w:rPr>
          <w:rFonts w:ascii="arial" w:eastAsia="arial" w:hAnsi="arial" w:cs="arial"/>
          <w:color w:val="000000"/>
          <w:sz w:val="20"/>
          <w:lang w:val="en-US" w:eastAsia="en-US" w:bidi="ar-SA"/>
        </w:rPr>
        <w:t xml:space="preserve"> at p. 103 where Boyd J. stated: "It is the question of concerted action that arises in the case at bar." (She did go on to quote Fleming who suggested that the principle may correspond with the principles of criminal law. As I mentioned above that has been decisively repudiated in England.)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41</w:t>
      </w:r>
      <w:r>
        <w:rPr>
          <w:rFonts w:ascii="arial" w:eastAsia="arial" w:hAnsi="arial" w:cs="arial"/>
          <w:color w:val="000000"/>
          <w:sz w:val="20"/>
          <w:lang w:val="en-US" w:eastAsia="en-US" w:bidi="ar-SA"/>
        </w:rPr>
        <w:t xml:space="preserve">  ICBC also cited from a number of criminal cases dealing with the riots, which recognise what I will call the collective responsibility for the riots. For example, </w:t>
      </w:r>
      <w:r>
        <w:rPr>
          <w:rFonts w:ascii="arial" w:eastAsia="arial" w:hAnsi="arial" w:cs="arial"/>
          <w:i/>
          <w:color w:val="000000"/>
          <w:sz w:val="20"/>
          <w:lang w:val="en-US" w:eastAsia="en-US" w:bidi="ar-SA"/>
        </w:rPr>
        <w:t>R. v Caird</w:t>
      </w:r>
      <w:r>
        <w:rPr>
          <w:rFonts w:ascii="arial" w:eastAsia="arial" w:hAnsi="arial" w:cs="arial"/>
          <w:color w:val="000000"/>
          <w:sz w:val="20"/>
          <w:lang w:val="en-US" w:eastAsia="en-US" w:bidi="ar-SA"/>
        </w:rPr>
        <w:t xml:space="preserve"> (1970), 54 Cr. App. R. 499, was a case dealing with a riot in England. Sachs L.J. said at p. 505:</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It is the law--and, indeed, in common sense it should be the case--that any person who actively encourages or promotes an unlawful assembly or riot, whether by words, by signs or by actions, or who participates in it, is guilty of an offence which derives its great gravity from the simple fact that the persons concerned were acting in numbers and using those numbers to achieve their purpose.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And, at p. 506-7, Sachs L.J. addressed what he referred to as the "Why pick on me argument?":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next point to be mentioned is what might be called the "Why pick on me?" argument. It has been suggested that there is something wrong in giving an appropriate sentence to one convicted of an offence because there are considerable numbers of others who were at the same time committing the same offence, some of whom indeed, if identified and arrested and established as having taken a more serious part, could have received heavier sentences. This is a plea which is almost invariably put forward where the offence is one of those classed as disturbances of the public peace--such as riots, unlawful assemblies and affrays. It indicates a failure to appreciate that on these confused and tumultuous occasions each individual who takes an active part by deed or encouragement is guilty of a really grave offence by being one of the number engaged in a crime against the peace.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42</w:t>
      </w:r>
      <w:r>
        <w:rPr>
          <w:rFonts w:ascii="arial" w:eastAsia="arial" w:hAnsi="arial" w:cs="arial"/>
          <w:color w:val="000000"/>
          <w:sz w:val="20"/>
          <w:lang w:val="en-US" w:eastAsia="en-US" w:bidi="ar-SA"/>
        </w:rPr>
        <w:t>  These comments cannot be transposed to establish joint liability in this case. As I said in paragraph 2, this is not a case of criminal liability. This is a civil case dealing with claims of individual car owners in whose shoes ICBC stands as their insurer. ICBC does not stand as prosecutor for the riot as a whole. The issue is the defendants' liability in tort to the individual vehicle owners. (All the Active Defendants have been convicted and sentenced for their involvement in the riot.)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43</w:t>
      </w:r>
      <w:r>
        <w:rPr>
          <w:rFonts w:ascii="arial" w:eastAsia="arial" w:hAnsi="arial" w:cs="arial"/>
          <w:color w:val="000000"/>
          <w:sz w:val="20"/>
          <w:lang w:val="en-US" w:eastAsia="en-US" w:bidi="ar-SA"/>
        </w:rPr>
        <w:t>  Put at its simplest, it cannot be said that all the rioters -- whether defined as those who did some illegal physical act or who simply remained in the riot zone after being asked to leave -- had the common purpose of destroying vehicles, much less assisted in the destruction.</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G. Conclusion on applicable legal principals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44</w:t>
      </w:r>
      <w:r>
        <w:rPr>
          <w:rFonts w:ascii="arial" w:eastAsia="arial" w:hAnsi="arial" w:cs="arial"/>
          <w:color w:val="000000"/>
          <w:sz w:val="20"/>
          <w:lang w:val="en-US" w:eastAsia="en-US" w:bidi="ar-SA"/>
        </w:rPr>
        <w:t xml:space="preserve">  As I stated, this was not a directed or coordinated riot. Nor did it involve gangs spontaneously coalescing and then moving from location to location in unison. As I set out above, I do not accept that participation in the riot, in itself, establishes joint and several liability for torts committed during the riot. As noted by Lords Neuberger and Sumption in </w:t>
      </w:r>
      <w:r>
        <w:rPr>
          <w:rFonts w:ascii="arial" w:eastAsia="arial" w:hAnsi="arial" w:cs="arial"/>
          <w:i/>
          <w:color w:val="000000"/>
          <w:sz w:val="20"/>
          <w:lang w:val="en-US" w:eastAsia="en-US" w:bidi="ar-SA"/>
        </w:rPr>
        <w:t>Sea Shepherd</w:t>
      </w:r>
      <w:r>
        <w:rPr>
          <w:rFonts w:ascii="arial" w:eastAsia="arial" w:hAnsi="arial" w:cs="arial"/>
          <w:color w:val="000000"/>
          <w:sz w:val="20"/>
          <w:lang w:val="en-US" w:eastAsia="en-US" w:bidi="ar-SA"/>
        </w:rPr>
        <w:t>, joint tortious liability must be kept within reasonable bounds. The analysis must be more fine-tuned than looking at the riot as a whole. For most of the defendants, the question that must be asked is whether they acted in concert with the common end of destroying a vehicle and whether the destruction occurred as a result (above, para. 27).</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45</w:t>
      </w:r>
      <w:r>
        <w:rPr>
          <w:rFonts w:ascii="arial" w:eastAsia="arial" w:hAnsi="arial" w:cs="arial"/>
          <w:color w:val="000000"/>
          <w:sz w:val="20"/>
          <w:lang w:val="en-US" w:eastAsia="en-US" w:bidi="ar-SA"/>
        </w:rPr>
        <w:t>  Another way of expressing the question is to ask whether a defendant was part of the group that destroyed the vehicle and was his participation more than trivial. That has to be examined vehicle by vehicle, defendant by defendant. A defendant may be liable for damage to more than one vehicle if he took part in damaging those vehicles; that does not make him liable for all of the vehicles.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46</w:t>
      </w:r>
      <w:r>
        <w:rPr>
          <w:rFonts w:ascii="arial" w:eastAsia="arial" w:hAnsi="arial" w:cs="arial"/>
          <w:color w:val="000000"/>
          <w:sz w:val="20"/>
          <w:lang w:val="en-US" w:eastAsia="en-US" w:bidi="ar-SA"/>
        </w:rPr>
        <w:t>  Several people spontaneously arriving at a vehicle and some of them cheering when another damages the vehicle does not amount to a common design. There is no case where the law has gone that far. Cheering or observing is not sufficient participation upon which to found joint liability.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47</w:t>
      </w:r>
      <w:r>
        <w:rPr>
          <w:rFonts w:ascii="arial" w:eastAsia="arial" w:hAnsi="arial" w:cs="arial"/>
          <w:color w:val="000000"/>
          <w:sz w:val="20"/>
          <w:lang w:val="en-US" w:eastAsia="en-US" w:bidi="ar-SA"/>
        </w:rPr>
        <w:t xml:space="preserve">  People "piling on" a vehicle in order to damage or destroy it may be joint tortfeasors if it is apparent they acted together pursuant to a common design to do the damage. In a riot context, I do not think it necessary that the plan be explicitly laid in advance between them. They may also be concurrent tortfeasors if the damage they caused is impossible to apportion. In that case, each is liable for the full amount of the loss. They may also both be liable as principal tortfeasors (per Lord Toulson at para. 19 of </w:t>
      </w:r>
      <w:r>
        <w:rPr>
          <w:rFonts w:ascii="arial" w:eastAsia="arial" w:hAnsi="arial" w:cs="arial"/>
          <w:i/>
          <w:color w:val="000000"/>
          <w:sz w:val="20"/>
          <w:lang w:val="en-US" w:eastAsia="en-US" w:bidi="ar-SA"/>
        </w:rPr>
        <w:t>Sea Shepherd</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48</w:t>
      </w:r>
      <w:r>
        <w:rPr>
          <w:rFonts w:ascii="arial" w:eastAsia="arial" w:hAnsi="arial" w:cs="arial"/>
          <w:color w:val="000000"/>
          <w:sz w:val="20"/>
          <w:lang w:val="en-US" w:eastAsia="en-US" w:bidi="ar-SA"/>
        </w:rPr>
        <w:t xml:space="preserve">  There are several instances where a defendant did something to a vehicle that did </w:t>
      </w:r>
      <w:r>
        <w:rPr>
          <w:rFonts w:ascii="arial" w:eastAsia="arial" w:hAnsi="arial" w:cs="arial"/>
          <w:color w:val="000000"/>
          <w:sz w:val="20"/>
          <w:u w:val="single"/>
          <w:lang w:val="en-US" w:eastAsia="en-US" w:bidi="ar-SA"/>
        </w:rPr>
        <w:t>not</w:t>
      </w:r>
      <w:r>
        <w:rPr>
          <w:rFonts w:ascii="arial" w:eastAsia="arial" w:hAnsi="arial" w:cs="arial"/>
          <w:color w:val="000000"/>
          <w:sz w:val="20"/>
          <w:lang w:val="en-US" w:eastAsia="en-US" w:bidi="ar-SA"/>
        </w:rPr>
        <w:t xml:space="preserve"> harm it (for example, attempting to remove a gas tank cover) and the vehicle was destroyed at a later point, there being no evidence as to the link between the defendant's initial action and the ultimate destruction. In that case, I do not think there can be any liability. That can be viewed as an instance where, to use Lord Neuberger's framework (above, para. 25), no assistance was provided to the tortfeasors who are primarily liable; </w:t>
      </w:r>
      <w:r>
        <w:rPr>
          <w:rFonts w:ascii="arial" w:eastAsia="arial" w:hAnsi="arial" w:cs="arial"/>
          <w:i/>
          <w:color w:val="000000"/>
          <w:sz w:val="20"/>
          <w:lang w:val="en-US" w:eastAsia="en-US" w:bidi="ar-SA"/>
        </w:rPr>
        <w:t>i.e.</w:t>
      </w:r>
      <w:r>
        <w:rPr>
          <w:rFonts w:ascii="arial" w:eastAsia="arial" w:hAnsi="arial" w:cs="arial"/>
          <w:color w:val="000000"/>
          <w:sz w:val="20"/>
          <w:lang w:val="en-US" w:eastAsia="en-US" w:bidi="ar-SA"/>
        </w:rPr>
        <w:t xml:space="preserve">, those who caused the damage. It can also be viewed as the defendant having only a similarity in design but being an independent actor not causing damage per Scrutton L.J. in </w:t>
      </w:r>
      <w:r>
        <w:rPr>
          <w:rFonts w:ascii="arial" w:eastAsia="arial" w:hAnsi="arial" w:cs="arial"/>
          <w:i/>
          <w:color w:val="000000"/>
          <w:sz w:val="20"/>
          <w:lang w:val="en-US" w:eastAsia="en-US" w:bidi="ar-SA"/>
        </w:rPr>
        <w:t>The Koursk</w:t>
      </w:r>
      <w:r>
        <w:rPr>
          <w:rFonts w:ascii="arial" w:eastAsia="arial" w:hAnsi="arial" w:cs="arial"/>
          <w:color w:val="000000"/>
          <w:sz w:val="20"/>
          <w:lang w:val="en-US" w:eastAsia="en-US" w:bidi="ar-SA"/>
        </w:rPr>
        <w:t xml:space="preserve"> (above para. 27).</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49</w:t>
      </w:r>
      <w:r>
        <w:rPr>
          <w:rFonts w:ascii="arial" w:eastAsia="arial" w:hAnsi="arial" w:cs="arial"/>
          <w:color w:val="000000"/>
          <w:sz w:val="20"/>
          <w:lang w:val="en-US" w:eastAsia="en-US" w:bidi="ar-SA"/>
        </w:rPr>
        <w:t>  Applying these principles I will deal with the potential liability of each defendant.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III. THE LIABILITY OF THE DEFENDANTS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50</w:t>
      </w:r>
      <w:r>
        <w:rPr>
          <w:rFonts w:ascii="arial" w:eastAsia="arial" w:hAnsi="arial" w:cs="arial"/>
          <w:color w:val="000000"/>
          <w:sz w:val="20"/>
          <w:lang w:val="en-US" w:eastAsia="en-US" w:bidi="ar-SA"/>
        </w:rPr>
        <w:t>  The facts concerning the defendants come largely from video evidence, which was canvassed with them in examinations for discovery, other questions put to them in those discoveries and admissions made by them in their criminal cases. Several of the Active Defendants testified.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51</w:t>
      </w:r>
      <w:r>
        <w:rPr>
          <w:rFonts w:ascii="arial" w:eastAsia="arial" w:hAnsi="arial" w:cs="arial"/>
          <w:color w:val="000000"/>
          <w:sz w:val="20"/>
          <w:lang w:val="en-US" w:eastAsia="en-US" w:bidi="ar-SA"/>
        </w:rPr>
        <w:t>  Some of the vehicles the defendants damaged were not insured by ICBC and do not form part of its claim. They are not identified by vehicle numbers. The ICBC-insured vehicles are identified by numbers and to enable easy cross-referencing of the vehicles between various defendants, I have bolded those numbers.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A. Liability for all damage in the Parkwell Plaza Parkade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52</w:t>
      </w:r>
      <w:r>
        <w:rPr>
          <w:rFonts w:ascii="arial" w:eastAsia="arial" w:hAnsi="arial" w:cs="arial"/>
          <w:color w:val="000000"/>
          <w:sz w:val="20"/>
          <w:lang w:val="en-US" w:eastAsia="en-US" w:bidi="ar-SA"/>
        </w:rPr>
        <w:t>  Before I address the potential liability of the individual defendants, I will address an overriding argument with respect to the defendants who were at the Parkwell Plaza Parkade. ICBC argues they should be held jointly liable for all the damage there irrespective of whether they damaged a particular vehicle. This is so because they were "central players" to what took place there or were "inextricably linked" to it.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53</w:t>
      </w:r>
      <w:r>
        <w:rPr>
          <w:rFonts w:ascii="arial" w:eastAsia="arial" w:hAnsi="arial" w:cs="arial"/>
          <w:color w:val="000000"/>
          <w:sz w:val="20"/>
          <w:lang w:val="en-US" w:eastAsia="en-US" w:bidi="ar-SA"/>
        </w:rPr>
        <w:t>  This is an argument that must fail on its facts. Just as there were no roving gangs in the riot -- or at least none that were shown to me -- the same applies to the Parkade. Once again, it appeared as if the individuals randomly coalesced into groups around different vehicles at different times. I do not think any "central players" can be found and potential liability has to be examined vehicle by vehicle.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B. Travis Alexander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54</w:t>
      </w:r>
      <w:r>
        <w:rPr>
          <w:rFonts w:ascii="arial" w:eastAsia="arial" w:hAnsi="arial" w:cs="arial"/>
          <w:color w:val="000000"/>
          <w:sz w:val="20"/>
          <w:lang w:val="en-US" w:eastAsia="en-US" w:bidi="ar-SA"/>
        </w:rPr>
        <w:t>  Mr. Alexander was 20 years old at the time of the riot. He was at the Live Site when the riot began and was drunk. Prior to coming downtown, he posted on Facebook, "If we lose and I'm not downtown, I am starting a riot in Lynn Valley." He was convicted of participation in a riot and sentenced to four months in prison.</w:t>
      </w:r>
      <w:r>
        <w:rPr>
          <w:rFonts w:ascii="arial" w:eastAsia="arial" w:hAnsi="arial" w:cs="arial"/>
          <w:sz w:val="20"/>
          <w:lang w:val="en-US" w:eastAsia="en-US" w:bidi="ar-SA"/>
        </w:rPr>
        <w:cr/>
      </w:r>
    </w:p>
    <w:p>
      <w:pPr>
        <w:spacing w:line="260" w:lineRule="atLeast"/>
        <w:ind w:left="1080"/>
        <w:rPr>
          <w:rFonts w:ascii="arial" w:eastAsia="arial" w:hAnsi="arial" w:cs="arial"/>
          <w:sz w:val="20"/>
          <w:lang w:val="en-US" w:eastAsia="en-US" w:bidi="ar-SA"/>
        </w:rPr>
      </w:pPr>
      <w:r>
        <w:rPr>
          <w:rFonts w:ascii="arial" w:eastAsia="arial" w:hAnsi="arial" w:cs="arial"/>
          <w:b/>
          <w:color w:val="000000"/>
          <w:sz w:val="20"/>
          <w:lang w:val="en-US" w:eastAsia="en-US" w:bidi="ar-SA"/>
        </w:rPr>
        <w:t>Vehicle 4</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55</w:t>
      </w:r>
      <w:r>
        <w:rPr>
          <w:rFonts w:ascii="arial" w:eastAsia="arial" w:hAnsi="arial" w:cs="arial"/>
          <w:color w:val="000000"/>
          <w:sz w:val="20"/>
          <w:lang w:val="en-US" w:eastAsia="en-US" w:bidi="ar-SA"/>
        </w:rPr>
        <w:t>  </w:t>
      </w:r>
      <w:r>
        <w:rPr>
          <w:rFonts w:ascii="arial" w:eastAsia="arial" w:hAnsi="arial" w:cs="arial"/>
          <w:b/>
          <w:color w:val="000000"/>
          <w:sz w:val="20"/>
          <w:lang w:val="en-US" w:eastAsia="en-US" w:bidi="ar-SA"/>
        </w:rPr>
        <w:t>Vehicle 4</w:t>
      </w:r>
      <w:r>
        <w:rPr>
          <w:rFonts w:ascii="arial" w:eastAsia="arial" w:hAnsi="arial" w:cs="arial"/>
          <w:color w:val="000000"/>
          <w:sz w:val="20"/>
          <w:lang w:val="en-US" w:eastAsia="en-US" w:bidi="ar-SA"/>
        </w:rPr>
        <w:t>, a Nissan Versa, was parked outside the Canada Post building on the north side of Georgia Street between Homer and Hamilton Streets across the street from the Live Site. Several people jumped on top of it, Mr. Alexander being the third. He jumped on the roof five times and then jumped off. After that, he:</w:t>
      </w:r>
      <w:r>
        <w:rPr>
          <w:rFonts w:ascii="arial" w:eastAsia="arial" w:hAnsi="arial" w:cs="arial"/>
          <w:sz w:val="20"/>
          <w:lang w:val="en-US" w:eastAsia="en-US" w:bidi="ar-SA"/>
        </w:rPr>
        <w:cr/>
      </w:r>
    </w:p>
    <w:p>
      <w:pPr>
        <w:numPr>
          <w:numId w:val="1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struck the rear driver's side of the Versa with his forearm;</w:t>
      </w:r>
    </w:p>
    <w:p>
      <w:pPr>
        <w:numPr>
          <w:numId w:val="1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gestured and encouraged others around him to assist in overturning the Versa;</w:t>
      </w:r>
    </w:p>
    <w:p>
      <w:pPr>
        <w:numPr>
          <w:numId w:val="1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with other rioters flipped the Versa onto its side;</w:t>
      </w:r>
    </w:p>
    <w:p>
      <w:pPr>
        <w:numPr>
          <w:numId w:val="1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raised his arms in celebration;</w:t>
      </w:r>
    </w:p>
    <w:p>
      <w:pPr>
        <w:numPr>
          <w:numId w:val="1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with others flipped the Versa onto its roof;</w:t>
      </w:r>
    </w:p>
    <w:p>
      <w:pPr>
        <w:numPr>
          <w:numId w:val="19"/>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jumped up and down on the overturned car;</w:t>
      </w:r>
    </w:p>
    <w:p>
      <w:pPr>
        <w:numPr>
          <w:numId w:val="20"/>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kicked the driver's side three times;</w:t>
      </w:r>
    </w:p>
    <w:p>
      <w:pPr>
        <w:numPr>
          <w:numId w:val="2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struck the back of the overturned Versa tail light area four times with a step ladder;</w:t>
      </w:r>
    </w:p>
    <w:p>
      <w:pPr>
        <w:numPr>
          <w:numId w:val="2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attempted to hit the driver's side of the Versa with its own torn off bumper; and</w:t>
      </w:r>
    </w:p>
    <w:p>
      <w:pPr>
        <w:numPr>
          <w:numId w:val="2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picked up the lawn chair and struck the rear of the Versa with it.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56</w:t>
      </w:r>
      <w:r>
        <w:rPr>
          <w:rFonts w:ascii="arial" w:eastAsia="arial" w:hAnsi="arial" w:cs="arial"/>
          <w:color w:val="000000"/>
          <w:sz w:val="20"/>
          <w:lang w:val="en-US" w:eastAsia="en-US" w:bidi="ar-SA"/>
        </w:rPr>
        <w:t>  The Versa was destroyed by fire. It is not in evidence who set it alight.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57</w:t>
      </w:r>
      <w:r>
        <w:rPr>
          <w:rFonts w:ascii="arial" w:eastAsia="arial" w:hAnsi="arial" w:cs="arial"/>
          <w:color w:val="000000"/>
          <w:sz w:val="20"/>
          <w:lang w:val="en-US" w:eastAsia="en-US" w:bidi="ar-SA"/>
        </w:rPr>
        <w:t xml:space="preserve">  Mr. Alexander must be held jointly liable for </w:t>
      </w:r>
      <w:r>
        <w:rPr>
          <w:rFonts w:ascii="arial" w:eastAsia="arial" w:hAnsi="arial" w:cs="arial"/>
          <w:b/>
          <w:color w:val="000000"/>
          <w:sz w:val="20"/>
          <w:lang w:val="en-US" w:eastAsia="en-US" w:bidi="ar-SA"/>
        </w:rPr>
        <w:t>vehicle 4</w:t>
      </w:r>
      <w:r>
        <w:rPr>
          <w:rFonts w:ascii="arial" w:eastAsia="arial" w:hAnsi="arial" w:cs="arial"/>
          <w:color w:val="000000"/>
          <w:sz w:val="20"/>
          <w:lang w:val="en-US" w:eastAsia="en-US" w:bidi="ar-SA"/>
        </w:rPr>
        <w:t>, because he participated in flipping it over, which rendered it a total loss, or near total loss even before it was set on fire. He was part of a common enterprise or design to destroy the vehicle or was a concurrent tortfeasor causing indivisible damage. He is jointly liable for the destruction.</w:t>
      </w:r>
      <w:r>
        <w:rPr>
          <w:rFonts w:ascii="arial" w:eastAsia="arial" w:hAnsi="arial" w:cs="arial"/>
          <w:sz w:val="20"/>
          <w:lang w:val="en-US" w:eastAsia="en-US" w:bidi="ar-SA"/>
        </w:rPr>
        <w:cr/>
      </w:r>
    </w:p>
    <w:p>
      <w:pPr>
        <w:spacing w:line="260" w:lineRule="atLeast"/>
        <w:ind w:left="1080"/>
        <w:rPr>
          <w:rFonts w:ascii="arial" w:eastAsia="arial" w:hAnsi="arial" w:cs="arial"/>
          <w:sz w:val="20"/>
          <w:lang w:val="en-US" w:eastAsia="en-US" w:bidi="ar-SA"/>
        </w:rPr>
      </w:pPr>
      <w:r>
        <w:rPr>
          <w:rFonts w:ascii="arial" w:eastAsia="arial" w:hAnsi="arial" w:cs="arial"/>
          <w:b/>
          <w:color w:val="000000"/>
          <w:sz w:val="20"/>
          <w:lang w:val="en-US" w:eastAsia="en-US" w:bidi="ar-SA"/>
        </w:rPr>
        <w:t>Vehicle 1</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58</w:t>
      </w:r>
      <w:r>
        <w:rPr>
          <w:rFonts w:ascii="arial" w:eastAsia="arial" w:hAnsi="arial" w:cs="arial"/>
          <w:color w:val="000000"/>
          <w:sz w:val="20"/>
          <w:lang w:val="en-US" w:eastAsia="en-US" w:bidi="ar-SA"/>
        </w:rPr>
        <w:t xml:space="preserve">  Also outside the Canada Post building was </w:t>
      </w:r>
      <w:r>
        <w:rPr>
          <w:rFonts w:ascii="arial" w:eastAsia="arial" w:hAnsi="arial" w:cs="arial"/>
          <w:b/>
          <w:color w:val="000000"/>
          <w:sz w:val="20"/>
          <w:lang w:val="en-US" w:eastAsia="en-US" w:bidi="ar-SA"/>
        </w:rPr>
        <w:t>vehicle 1</w:t>
      </w:r>
      <w:r>
        <w:rPr>
          <w:rFonts w:ascii="arial" w:eastAsia="arial" w:hAnsi="arial" w:cs="arial"/>
          <w:color w:val="000000"/>
          <w:sz w:val="20"/>
          <w:lang w:val="en-US" w:eastAsia="en-US" w:bidi="ar-SA"/>
        </w:rPr>
        <w:t>, a 1996 GMC pickup truck. With several others, Mr. Alexander rocked the truck in an unsuccessful attempt to overturn it. Others took over and he was present when they succeeded in flipping it. It was later destroyed by fire. It was, of course, treated as a total loss. Flipping the vehicle in and of itself would have made it a total loss given that the amount paid out by ICBC was only $3,172.</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59</w:t>
      </w:r>
      <w:r>
        <w:rPr>
          <w:rFonts w:ascii="arial" w:eastAsia="arial" w:hAnsi="arial" w:cs="arial"/>
          <w:color w:val="000000"/>
          <w:sz w:val="20"/>
          <w:lang w:val="en-US" w:eastAsia="en-US" w:bidi="ar-SA"/>
        </w:rPr>
        <w:t>  Mr. Alexander was engaged in a common enterprise or design to destroy this vehicle. When he did not succeed in flipping it, others took over and he remained present. He was an active participant in the group that destroyed the vehicle and is therefore jointly liable for that.</w:t>
      </w:r>
      <w:r>
        <w:rPr>
          <w:rFonts w:ascii="arial" w:eastAsia="arial" w:hAnsi="arial" w:cs="arial"/>
          <w:sz w:val="20"/>
          <w:lang w:val="en-US" w:eastAsia="en-US" w:bidi="ar-SA"/>
        </w:rPr>
        <w:cr/>
      </w:r>
    </w:p>
    <w:p>
      <w:pPr>
        <w:spacing w:line="260" w:lineRule="atLeast"/>
        <w:ind w:left="1080"/>
        <w:rPr>
          <w:rFonts w:ascii="arial" w:eastAsia="arial" w:hAnsi="arial" w:cs="arial"/>
          <w:sz w:val="20"/>
          <w:lang w:val="en-US" w:eastAsia="en-US" w:bidi="ar-SA"/>
        </w:rPr>
      </w:pPr>
      <w:r>
        <w:rPr>
          <w:rFonts w:ascii="arial" w:eastAsia="arial" w:hAnsi="arial" w:cs="arial"/>
          <w:b/>
          <w:color w:val="000000"/>
          <w:sz w:val="20"/>
          <w:lang w:val="en-US" w:eastAsia="en-US" w:bidi="ar-SA"/>
        </w:rPr>
        <w:t>Vehicle 6</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60</w:t>
      </w:r>
      <w:r>
        <w:rPr>
          <w:rFonts w:ascii="arial" w:eastAsia="arial" w:hAnsi="arial" w:cs="arial"/>
          <w:color w:val="000000"/>
          <w:sz w:val="20"/>
          <w:lang w:val="en-US" w:eastAsia="en-US" w:bidi="ar-SA"/>
        </w:rPr>
        <w:t xml:space="preserve">  Mr. Alexander walked west on Georgia Street doing things such as encouraging others to break a window at Budget Rent-A-Car. He arrived at the Plaza Parkade. Adjacent to the Parkade building there is an outdoor parking lot, where </w:t>
      </w:r>
      <w:r>
        <w:rPr>
          <w:rFonts w:ascii="arial" w:eastAsia="arial" w:hAnsi="arial" w:cs="arial"/>
          <w:b/>
          <w:color w:val="000000"/>
          <w:sz w:val="20"/>
          <w:lang w:val="en-US" w:eastAsia="en-US" w:bidi="ar-SA"/>
        </w:rPr>
        <w:t>vehicle 6</w:t>
      </w:r>
      <w:r>
        <w:rPr>
          <w:rFonts w:ascii="arial" w:eastAsia="arial" w:hAnsi="arial" w:cs="arial"/>
          <w:color w:val="000000"/>
          <w:sz w:val="20"/>
          <w:lang w:val="en-US" w:eastAsia="en-US" w:bidi="ar-SA"/>
        </w:rPr>
        <w:t>, a Nissan Sentra, was parked. With others, Mr. Alexander flipped the vehicle. It was declared a total loss.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61</w:t>
      </w:r>
      <w:r>
        <w:rPr>
          <w:rFonts w:ascii="arial" w:eastAsia="arial" w:hAnsi="arial" w:cs="arial"/>
          <w:color w:val="000000"/>
          <w:sz w:val="20"/>
          <w:lang w:val="en-US" w:eastAsia="en-US" w:bidi="ar-SA"/>
        </w:rPr>
        <w:t xml:space="preserve">  The same reasoning with respect to the previous vehicles applies to </w:t>
      </w:r>
      <w:r>
        <w:rPr>
          <w:rFonts w:ascii="arial" w:eastAsia="arial" w:hAnsi="arial" w:cs="arial"/>
          <w:b/>
          <w:color w:val="000000"/>
          <w:sz w:val="20"/>
          <w:lang w:val="en-US" w:eastAsia="en-US" w:bidi="ar-SA"/>
        </w:rPr>
        <w:t>vehicle 6</w:t>
      </w:r>
      <w:r>
        <w:rPr>
          <w:rFonts w:ascii="arial" w:eastAsia="arial" w:hAnsi="arial" w:cs="arial"/>
          <w:color w:val="000000"/>
          <w:sz w:val="20"/>
          <w:lang w:val="en-US" w:eastAsia="en-US" w:bidi="ar-SA"/>
        </w:rPr>
        <w:t>. Mr. Alexander is jointly liable for all the damage.</w:t>
      </w:r>
      <w:r>
        <w:rPr>
          <w:rFonts w:ascii="arial" w:eastAsia="arial" w:hAnsi="arial" w:cs="arial"/>
          <w:sz w:val="20"/>
          <w:lang w:val="en-US" w:eastAsia="en-US" w:bidi="ar-SA"/>
        </w:rPr>
        <w:cr/>
      </w:r>
    </w:p>
    <w:p>
      <w:pPr>
        <w:spacing w:line="260" w:lineRule="atLeast"/>
        <w:ind w:left="1080"/>
        <w:rPr>
          <w:rFonts w:ascii="arial" w:eastAsia="arial" w:hAnsi="arial" w:cs="arial"/>
          <w:sz w:val="20"/>
          <w:lang w:val="en-US" w:eastAsia="en-US" w:bidi="ar-SA"/>
        </w:rPr>
      </w:pPr>
      <w:r>
        <w:rPr>
          <w:rFonts w:ascii="arial" w:eastAsia="arial" w:hAnsi="arial" w:cs="arial"/>
          <w:b/>
          <w:color w:val="000000"/>
          <w:sz w:val="20"/>
          <w:lang w:val="en-US" w:eastAsia="en-US" w:bidi="ar-SA"/>
        </w:rPr>
        <w:t>Vehicle 5</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62</w:t>
      </w:r>
      <w:r>
        <w:rPr>
          <w:rFonts w:ascii="arial" w:eastAsia="arial" w:hAnsi="arial" w:cs="arial"/>
          <w:color w:val="000000"/>
          <w:sz w:val="20"/>
          <w:lang w:val="en-US" w:eastAsia="en-US" w:bidi="ar-SA"/>
        </w:rPr>
        <w:t xml:space="preserve">  Also in the outdoor lot of the Parkwell Plaza was </w:t>
      </w:r>
      <w:r>
        <w:rPr>
          <w:rFonts w:ascii="arial" w:eastAsia="arial" w:hAnsi="arial" w:cs="arial"/>
          <w:b/>
          <w:color w:val="000000"/>
          <w:sz w:val="20"/>
          <w:lang w:val="en-US" w:eastAsia="en-US" w:bidi="ar-SA"/>
        </w:rPr>
        <w:t>vehicle 5</w:t>
      </w:r>
      <w:r>
        <w:rPr>
          <w:rFonts w:ascii="arial" w:eastAsia="arial" w:hAnsi="arial" w:cs="arial"/>
          <w:color w:val="000000"/>
          <w:sz w:val="20"/>
          <w:lang w:val="en-US" w:eastAsia="en-US" w:bidi="ar-SA"/>
        </w:rPr>
        <w:t>, a black Hummer. With others, Mr. Alexander attempted to overturn it. The vehicle was later destroyed by fire. There is no evidence when that happened or whether he was present. In his discovery read-ins he said he made the "right decision and walked away".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63</w:t>
      </w:r>
      <w:r>
        <w:rPr>
          <w:rFonts w:ascii="arial" w:eastAsia="arial" w:hAnsi="arial" w:cs="arial"/>
          <w:color w:val="000000"/>
          <w:sz w:val="20"/>
          <w:lang w:val="en-US" w:eastAsia="en-US" w:bidi="ar-SA"/>
        </w:rPr>
        <w:t>  Mr. Alexander's liability with respect to this vehicle stands in a different light than the others. The attempt to overturn it did no damage and there is no link to him having destroyed it by fire or being present at the time. There is no common design with the people who did set it on fire (above, para. 48).</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64</w:t>
      </w:r>
      <w:r>
        <w:rPr>
          <w:rFonts w:ascii="arial" w:eastAsia="arial" w:hAnsi="arial" w:cs="arial"/>
          <w:color w:val="000000"/>
          <w:sz w:val="20"/>
          <w:lang w:val="en-US" w:eastAsia="en-US" w:bidi="ar-SA"/>
        </w:rPr>
        <w:t>  Mr. Alexander later participated in other riot events, such as being in the front of the line of the police chanting, "Fuck the police", which forced the police to retreat down Granville Street.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65</w:t>
      </w:r>
      <w:r>
        <w:rPr>
          <w:rFonts w:ascii="arial" w:eastAsia="arial" w:hAnsi="arial" w:cs="arial"/>
          <w:color w:val="000000"/>
          <w:sz w:val="20"/>
          <w:lang w:val="en-US" w:eastAsia="en-US" w:bidi="ar-SA"/>
        </w:rPr>
        <w:t>  ICBC argues that Mr. Alexander's conduct was so integral to the riot that he should be held responsible for all the damage in the riot zone. For the reasons I set out in the legal analysis section, I do not accept that proposition.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66</w:t>
      </w:r>
      <w:r>
        <w:rPr>
          <w:rFonts w:ascii="arial" w:eastAsia="arial" w:hAnsi="arial" w:cs="arial"/>
          <w:color w:val="000000"/>
          <w:sz w:val="20"/>
          <w:lang w:val="en-US" w:eastAsia="en-US" w:bidi="ar-SA"/>
        </w:rPr>
        <w:t>  Mr. Alexander is not liable for this vehicle.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C. Andrew Comber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67</w:t>
      </w:r>
      <w:r>
        <w:rPr>
          <w:rFonts w:ascii="arial" w:eastAsia="arial" w:hAnsi="arial" w:cs="arial"/>
          <w:color w:val="000000"/>
          <w:sz w:val="20"/>
          <w:lang w:val="en-US" w:eastAsia="en-US" w:bidi="ar-SA"/>
        </w:rPr>
        <w:t>  Mr. Comber was 37 or 38 years old at the time of the riot. The day of the game he painted himself green and dressed himself in what I will call a smock. He carried a bear skin he brought from his home in Salmon Arm, which he wrapped around a hockey stick. He drank a large number of beers at Moxies.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68</w:t>
      </w:r>
      <w:r>
        <w:rPr>
          <w:rFonts w:ascii="arial" w:eastAsia="arial" w:hAnsi="arial" w:cs="arial"/>
          <w:color w:val="000000"/>
          <w:sz w:val="20"/>
          <w:lang w:val="en-US" w:eastAsia="en-US" w:bidi="ar-SA"/>
        </w:rPr>
        <w:t>  Mr. Comber was found guilty of participation in a riot and sentenced to a period of incarceration for that offence in combination with older offences from Alberta.</w:t>
      </w:r>
      <w:r>
        <w:rPr>
          <w:rFonts w:ascii="arial" w:eastAsia="arial" w:hAnsi="arial" w:cs="arial"/>
          <w:sz w:val="20"/>
          <w:lang w:val="en-US" w:eastAsia="en-US" w:bidi="ar-SA"/>
        </w:rPr>
        <w:cr/>
      </w:r>
    </w:p>
    <w:p>
      <w:pPr>
        <w:spacing w:line="260" w:lineRule="atLeast"/>
        <w:ind w:left="1080"/>
        <w:rPr>
          <w:rFonts w:ascii="arial" w:eastAsia="arial" w:hAnsi="arial" w:cs="arial"/>
          <w:sz w:val="20"/>
          <w:lang w:val="en-US" w:eastAsia="en-US" w:bidi="ar-SA"/>
        </w:rPr>
      </w:pPr>
      <w:r>
        <w:rPr>
          <w:rFonts w:ascii="arial" w:eastAsia="arial" w:hAnsi="arial" w:cs="arial"/>
          <w:b/>
          <w:color w:val="000000"/>
          <w:sz w:val="20"/>
          <w:lang w:val="en-US" w:eastAsia="en-US" w:bidi="ar-SA"/>
        </w:rPr>
        <w:t>Vehicle 4</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69</w:t>
      </w:r>
      <w:r>
        <w:rPr>
          <w:rFonts w:ascii="arial" w:eastAsia="arial" w:hAnsi="arial" w:cs="arial"/>
          <w:color w:val="000000"/>
          <w:sz w:val="20"/>
          <w:lang w:val="en-US" w:eastAsia="en-US" w:bidi="ar-SA"/>
        </w:rPr>
        <w:t xml:space="preserve">  Before it was flipped and burned (see above), Mr. Comber posed with his bear skin beside </w:t>
      </w:r>
      <w:r>
        <w:rPr>
          <w:rFonts w:ascii="arial" w:eastAsia="arial" w:hAnsi="arial" w:cs="arial"/>
          <w:b/>
          <w:color w:val="000000"/>
          <w:sz w:val="20"/>
          <w:lang w:val="en-US" w:eastAsia="en-US" w:bidi="ar-SA"/>
        </w:rPr>
        <w:t>vehicle 4</w:t>
      </w:r>
      <w:r>
        <w:rPr>
          <w:rFonts w:ascii="arial" w:eastAsia="arial" w:hAnsi="arial" w:cs="arial"/>
          <w:color w:val="000000"/>
          <w:sz w:val="20"/>
          <w:lang w:val="en-US" w:eastAsia="en-US" w:bidi="ar-SA"/>
        </w:rPr>
        <w:t xml:space="preserve"> -- the Versa parked outside the Canada Post building. Then he stood on the car. I do not think that shows a common design to destroy it and what he did could not have caused the vehicle any further damage. He is therefore not jointly liable for its destruction nor severally liable for any damage to it.</w:t>
      </w:r>
      <w:r>
        <w:rPr>
          <w:rFonts w:ascii="arial" w:eastAsia="arial" w:hAnsi="arial" w:cs="arial"/>
          <w:sz w:val="20"/>
          <w:lang w:val="en-US" w:eastAsia="en-US" w:bidi="ar-SA"/>
        </w:rPr>
        <w:cr/>
      </w:r>
    </w:p>
    <w:p>
      <w:pPr>
        <w:spacing w:line="260" w:lineRule="atLeast"/>
        <w:ind w:left="1080"/>
        <w:rPr>
          <w:rFonts w:ascii="arial" w:eastAsia="arial" w:hAnsi="arial" w:cs="arial"/>
          <w:sz w:val="20"/>
          <w:lang w:val="en-US" w:eastAsia="en-US" w:bidi="ar-SA"/>
        </w:rPr>
      </w:pPr>
      <w:r>
        <w:rPr>
          <w:rFonts w:ascii="arial" w:eastAsia="arial" w:hAnsi="arial" w:cs="arial"/>
          <w:b/>
          <w:color w:val="000000"/>
          <w:sz w:val="20"/>
          <w:lang w:val="en-US" w:eastAsia="en-US" w:bidi="ar-SA"/>
        </w:rPr>
        <w:t>Vehicle 1</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70</w:t>
      </w:r>
      <w:r>
        <w:rPr>
          <w:rFonts w:ascii="arial" w:eastAsia="arial" w:hAnsi="arial" w:cs="arial"/>
          <w:color w:val="000000"/>
          <w:sz w:val="20"/>
          <w:lang w:val="en-US" w:eastAsia="en-US" w:bidi="ar-SA"/>
        </w:rPr>
        <w:t xml:space="preserve">  Mr. Comber gathered in a circle surrounding </w:t>
      </w:r>
      <w:r>
        <w:rPr>
          <w:rFonts w:ascii="arial" w:eastAsia="arial" w:hAnsi="arial" w:cs="arial"/>
          <w:b/>
          <w:color w:val="000000"/>
          <w:sz w:val="20"/>
          <w:lang w:val="en-US" w:eastAsia="en-US" w:bidi="ar-SA"/>
        </w:rPr>
        <w:t>vehicle 1</w:t>
      </w:r>
      <w:r>
        <w:rPr>
          <w:rFonts w:ascii="arial" w:eastAsia="arial" w:hAnsi="arial" w:cs="arial"/>
          <w:color w:val="000000"/>
          <w:sz w:val="20"/>
          <w:lang w:val="en-US" w:eastAsia="en-US" w:bidi="ar-SA"/>
        </w:rPr>
        <w:t>, the GMC pickup. When he was next to the vehicle people starting rocking it and he grabbed it on the frame near the windshield. He threw his bear skin on top of the vehicle and then moved away. Someone else set the vehicle on fire and Mr. Comber says that he was telling people to move back. Someone retrieved his bear skin from the burning vehicle and the person's clothes caught fire. Mr. Comber put the fire on the person out, took his bear skin, which was still burning and threw it into the vehicle. He said, "I thought I would do the right thing and just put the fire onto the fire." He then backed away from the vehicle and bowed towards it "invoking the spirit of the bear". He also referred to this as "releasing the spirit of the bear, my lifelong companion for 25 years".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71</w:t>
      </w:r>
      <w:r>
        <w:rPr>
          <w:rFonts w:ascii="arial" w:eastAsia="arial" w:hAnsi="arial" w:cs="arial"/>
          <w:color w:val="000000"/>
          <w:sz w:val="20"/>
          <w:lang w:val="en-US" w:eastAsia="en-US" w:bidi="ar-SA"/>
        </w:rPr>
        <w:t>  Mr. Comber was actively involved in the destruction of the GMC; he was there from start to finish and attempted to turn it over. He was therefore part of a common design with others -- including those who set fire to the vehicle -- to destroy the GMC and is jointly liable for it.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D. Joel Corrigan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72</w:t>
      </w:r>
      <w:r>
        <w:rPr>
          <w:rFonts w:ascii="arial" w:eastAsia="arial" w:hAnsi="arial" w:cs="arial"/>
          <w:color w:val="000000"/>
          <w:sz w:val="20"/>
          <w:lang w:val="en-US" w:eastAsia="en-US" w:bidi="ar-SA"/>
        </w:rPr>
        <w:t>  Mr. Corrigan was 20 years old at the time of the riot. He was downtown for at least three hours during the riot, and was masked for most of that time. In addition to participating in damage to the vehicles, which I will outline, Mr. Corrigan also participated in other riot events, such as entering The Bay after looting had started. He pled guilty to participating in the riot and was sentenced to 45 days' intermittent incarceration.</w:t>
      </w:r>
      <w:r>
        <w:rPr>
          <w:rFonts w:ascii="arial" w:eastAsia="arial" w:hAnsi="arial" w:cs="arial"/>
          <w:sz w:val="20"/>
          <w:lang w:val="en-US" w:eastAsia="en-US" w:bidi="ar-SA"/>
        </w:rPr>
        <w:cr/>
      </w:r>
    </w:p>
    <w:p>
      <w:pPr>
        <w:spacing w:line="260" w:lineRule="atLeast"/>
        <w:ind w:left="1080"/>
        <w:rPr>
          <w:rFonts w:ascii="arial" w:eastAsia="arial" w:hAnsi="arial" w:cs="arial"/>
          <w:sz w:val="20"/>
          <w:lang w:val="en-US" w:eastAsia="en-US" w:bidi="ar-SA"/>
        </w:rPr>
      </w:pPr>
      <w:r>
        <w:rPr>
          <w:rFonts w:ascii="arial" w:eastAsia="arial" w:hAnsi="arial" w:cs="arial"/>
          <w:b/>
          <w:color w:val="000000"/>
          <w:sz w:val="20"/>
          <w:lang w:val="en-US" w:eastAsia="en-US" w:bidi="ar-SA"/>
        </w:rPr>
        <w:t>Vehicle 5</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73</w:t>
      </w:r>
      <w:r>
        <w:rPr>
          <w:rFonts w:ascii="arial" w:eastAsia="arial" w:hAnsi="arial" w:cs="arial"/>
          <w:color w:val="000000"/>
          <w:sz w:val="20"/>
          <w:lang w:val="en-US" w:eastAsia="en-US" w:bidi="ar-SA"/>
        </w:rPr>
        <w:t xml:space="preserve">  Between 8:30 and 9:00 p.m. Mr. Corrigan was inside the Parkwell Plaza Parkade filming the destruction of a non-ICBC insured vehicle and watching other vehicles being burned. He became directly involved in damaging </w:t>
      </w:r>
      <w:r>
        <w:rPr>
          <w:rFonts w:ascii="arial" w:eastAsia="arial" w:hAnsi="arial" w:cs="arial"/>
          <w:b/>
          <w:color w:val="000000"/>
          <w:sz w:val="20"/>
          <w:lang w:val="en-US" w:eastAsia="en-US" w:bidi="ar-SA"/>
        </w:rPr>
        <w:t>vehicle 5</w:t>
      </w:r>
      <w:r>
        <w:rPr>
          <w:rFonts w:ascii="arial" w:eastAsia="arial" w:hAnsi="arial" w:cs="arial"/>
          <w:color w:val="000000"/>
          <w:sz w:val="20"/>
          <w:lang w:val="en-US" w:eastAsia="en-US" w:bidi="ar-SA"/>
        </w:rPr>
        <w:t xml:space="preserve"> -- the Hummer when he:</w:t>
      </w:r>
      <w:r>
        <w:rPr>
          <w:rFonts w:ascii="arial" w:eastAsia="arial" w:hAnsi="arial" w:cs="arial"/>
          <w:sz w:val="20"/>
          <w:lang w:val="en-US" w:eastAsia="en-US" w:bidi="ar-SA"/>
        </w:rPr>
        <w:cr/>
      </w:r>
    </w:p>
    <w:p>
      <w:pPr>
        <w:numPr>
          <w:numId w:val="2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initially watched the damage to the Hummer and spoke to other people in the crowd;</w:t>
      </w:r>
    </w:p>
    <w:p>
      <w:pPr>
        <w:numPr>
          <w:numId w:val="2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picked up a large plank of wood and threw it twice at the windshield of the Hummer, managing to force it into the car on the second throw;</w:t>
      </w:r>
    </w:p>
    <w:p>
      <w:pPr>
        <w:numPr>
          <w:numId w:val="2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tied a red handkerchief around his face while watching the destruction of the Hummer;</w:t>
      </w:r>
    </w:p>
    <w:p>
      <w:pPr>
        <w:numPr>
          <w:numId w:val="2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threw a large rock or concrete piece at the Hummer's windshield;</w:t>
      </w:r>
    </w:p>
    <w:p>
      <w:pPr>
        <w:numPr>
          <w:numId w:val="2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struck the left headlight of the Hummer approximately six times with a wooden sign; and</w:t>
      </w:r>
    </w:p>
    <w:p>
      <w:pPr>
        <w:numPr>
          <w:numId w:val="32"/>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watched while people continued to vandalize and attempt to light the Hummer on fire as the crown chanted, "Burn it".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74</w:t>
      </w:r>
      <w:r>
        <w:rPr>
          <w:rFonts w:ascii="arial" w:eastAsia="arial" w:hAnsi="arial" w:cs="arial"/>
          <w:color w:val="000000"/>
          <w:sz w:val="20"/>
          <w:lang w:val="en-US" w:eastAsia="en-US" w:bidi="ar-SA"/>
        </w:rPr>
        <w:t>  In my view, Mr. Corrigan was involved in the common design of destroying the Hummer and he damaged the vehicle in furtherance of that design. He is therefore jointly responsible for all the damage to it in spite of the fact that he was not the one that set it on fire.</w:t>
      </w:r>
      <w:r>
        <w:rPr>
          <w:rFonts w:ascii="arial" w:eastAsia="arial" w:hAnsi="arial" w:cs="arial"/>
          <w:sz w:val="20"/>
          <w:lang w:val="en-US" w:eastAsia="en-US" w:bidi="ar-SA"/>
        </w:rPr>
        <w:cr/>
      </w:r>
    </w:p>
    <w:p>
      <w:pPr>
        <w:spacing w:line="260" w:lineRule="atLeast"/>
        <w:ind w:left="1080"/>
        <w:rPr>
          <w:rFonts w:ascii="arial" w:eastAsia="arial" w:hAnsi="arial" w:cs="arial"/>
          <w:sz w:val="20"/>
          <w:lang w:val="en-US" w:eastAsia="en-US" w:bidi="ar-SA"/>
        </w:rPr>
      </w:pPr>
      <w:r>
        <w:rPr>
          <w:rFonts w:ascii="arial" w:eastAsia="arial" w:hAnsi="arial" w:cs="arial"/>
          <w:b/>
          <w:color w:val="000000"/>
          <w:sz w:val="20"/>
          <w:lang w:val="en-US" w:eastAsia="en-US" w:bidi="ar-SA"/>
        </w:rPr>
        <w:t>Vehicle 9</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75</w:t>
      </w:r>
      <w:r>
        <w:rPr>
          <w:rFonts w:ascii="arial" w:eastAsia="arial" w:hAnsi="arial" w:cs="arial"/>
          <w:color w:val="000000"/>
          <w:sz w:val="20"/>
          <w:lang w:val="en-US" w:eastAsia="en-US" w:bidi="ar-SA"/>
        </w:rPr>
        <w:t>  </w:t>
      </w:r>
      <w:r>
        <w:rPr>
          <w:rFonts w:ascii="arial" w:eastAsia="arial" w:hAnsi="arial" w:cs="arial"/>
          <w:b/>
          <w:color w:val="000000"/>
          <w:sz w:val="20"/>
          <w:lang w:val="en-US" w:eastAsia="en-US" w:bidi="ar-SA"/>
        </w:rPr>
        <w:t>Vehicle 9</w:t>
      </w:r>
      <w:r>
        <w:rPr>
          <w:rFonts w:ascii="arial" w:eastAsia="arial" w:hAnsi="arial" w:cs="arial"/>
          <w:color w:val="000000"/>
          <w:sz w:val="20"/>
          <w:lang w:val="en-US" w:eastAsia="en-US" w:bidi="ar-SA"/>
        </w:rPr>
        <w:t xml:space="preserve"> -- a 2003 Acura MDX -- was parked in the outside lot of the Parkwell Plaza Parkade. Mr. Corrigan was handed a piece of wood that he used to smash the windshield. The owner of the vehicle testified that every window and panel had been damaged. The car was declared a total loss.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76</w:t>
      </w:r>
      <w:r>
        <w:rPr>
          <w:rFonts w:ascii="arial" w:eastAsia="arial" w:hAnsi="arial" w:cs="arial"/>
          <w:color w:val="000000"/>
          <w:sz w:val="20"/>
          <w:lang w:val="en-US" w:eastAsia="en-US" w:bidi="ar-SA"/>
        </w:rPr>
        <w:t>  There is no evidence of Mr. Corrigan doing anything other than what I have described or participating in a larger crowd doing further damage and damage to the windshield is divisible from that to the rest of the vehicle. Accordingly, I do not find him liable for anything other than damaging the windshield.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E. Andrew Cuthbert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77</w:t>
      </w:r>
      <w:r>
        <w:rPr>
          <w:rFonts w:ascii="arial" w:eastAsia="arial" w:hAnsi="arial" w:cs="arial"/>
          <w:color w:val="000000"/>
          <w:sz w:val="20"/>
          <w:lang w:val="en-US" w:eastAsia="en-US" w:bidi="ar-SA"/>
        </w:rPr>
        <w:t>  Mr. Cuthbert was 19 years old at the time of the riot. He came downtown with a number of friends from Maple Ridge. By the time he got to the Live Site the game was over. He said he was "really drunk" and did not remember much about the evening.</w:t>
      </w:r>
      <w:r>
        <w:rPr>
          <w:rFonts w:ascii="arial" w:eastAsia="arial" w:hAnsi="arial" w:cs="arial"/>
          <w:sz w:val="20"/>
          <w:lang w:val="en-US" w:eastAsia="en-US" w:bidi="ar-SA"/>
        </w:rPr>
        <w:cr/>
      </w:r>
    </w:p>
    <w:p>
      <w:pPr>
        <w:spacing w:line="260" w:lineRule="atLeast"/>
        <w:ind w:left="1080"/>
        <w:rPr>
          <w:rFonts w:ascii="arial" w:eastAsia="arial" w:hAnsi="arial" w:cs="arial"/>
          <w:sz w:val="20"/>
          <w:lang w:val="en-US" w:eastAsia="en-US" w:bidi="ar-SA"/>
        </w:rPr>
      </w:pPr>
      <w:r>
        <w:rPr>
          <w:rFonts w:ascii="arial" w:eastAsia="arial" w:hAnsi="arial" w:cs="arial"/>
          <w:b/>
          <w:color w:val="000000"/>
          <w:sz w:val="20"/>
          <w:lang w:val="en-US" w:eastAsia="en-US" w:bidi="ar-SA"/>
        </w:rPr>
        <w:t>Vehicle 5</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78</w:t>
      </w:r>
      <w:r>
        <w:rPr>
          <w:rFonts w:ascii="arial" w:eastAsia="arial" w:hAnsi="arial" w:cs="arial"/>
          <w:color w:val="000000"/>
          <w:sz w:val="20"/>
          <w:lang w:val="en-US" w:eastAsia="en-US" w:bidi="ar-SA"/>
        </w:rPr>
        <w:t xml:space="preserve">  Mr. Cuthbert went to the Parkade and gathered with the people around the Hummer -- </w:t>
      </w:r>
      <w:r>
        <w:rPr>
          <w:rFonts w:ascii="arial" w:eastAsia="arial" w:hAnsi="arial" w:cs="arial"/>
          <w:b/>
          <w:color w:val="000000"/>
          <w:sz w:val="20"/>
          <w:lang w:val="en-US" w:eastAsia="en-US" w:bidi="ar-SA"/>
        </w:rPr>
        <w:t>vehicle 5</w:t>
      </w:r>
      <w:r>
        <w:rPr>
          <w:rFonts w:ascii="arial" w:eastAsia="arial" w:hAnsi="arial" w:cs="arial"/>
          <w:color w:val="000000"/>
          <w:sz w:val="20"/>
          <w:lang w:val="en-US" w:eastAsia="en-US" w:bidi="ar-SA"/>
        </w:rPr>
        <w:t>. He first tried to overturn it. He then tried to open the gas tank. He moved away from it but returned shortly after and hit it multiple times with a large piece of lumber. Someone had set a fire on the front seat of the vehicle and Mr. Cuthbert added several pieces of wood to the fire. As I said above, the vehicle was destroyed by fire.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79</w:t>
      </w:r>
      <w:r>
        <w:rPr>
          <w:rFonts w:ascii="arial" w:eastAsia="arial" w:hAnsi="arial" w:cs="arial"/>
          <w:color w:val="000000"/>
          <w:sz w:val="20"/>
          <w:lang w:val="en-US" w:eastAsia="en-US" w:bidi="ar-SA"/>
        </w:rPr>
        <w:t>  I conclude that Mr. Cuthbert joined with others in the common design and course of action to destroy the vehicle. Alternatively, he is liable for the full amount of the loss as a concurrent tortfeasor causing indivisible damage. He is therefore jointly liable for the full amount of the loss.</w:t>
      </w:r>
      <w:r>
        <w:rPr>
          <w:rFonts w:ascii="arial" w:eastAsia="arial" w:hAnsi="arial" w:cs="arial"/>
          <w:sz w:val="20"/>
          <w:lang w:val="en-US" w:eastAsia="en-US" w:bidi="ar-SA"/>
        </w:rPr>
        <w:cr/>
      </w:r>
    </w:p>
    <w:p>
      <w:pPr>
        <w:spacing w:line="260" w:lineRule="atLeast"/>
        <w:ind w:left="1080"/>
        <w:rPr>
          <w:rFonts w:ascii="arial" w:eastAsia="arial" w:hAnsi="arial" w:cs="arial"/>
          <w:sz w:val="20"/>
          <w:lang w:val="en-US" w:eastAsia="en-US" w:bidi="ar-SA"/>
        </w:rPr>
      </w:pPr>
      <w:r>
        <w:rPr>
          <w:rFonts w:ascii="arial" w:eastAsia="arial" w:hAnsi="arial" w:cs="arial"/>
          <w:b/>
          <w:color w:val="000000"/>
          <w:sz w:val="20"/>
          <w:lang w:val="en-US" w:eastAsia="en-US" w:bidi="ar-SA"/>
        </w:rPr>
        <w:t>Vehicle 9</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80</w:t>
      </w:r>
      <w:r>
        <w:rPr>
          <w:rFonts w:ascii="arial" w:eastAsia="arial" w:hAnsi="arial" w:cs="arial"/>
          <w:color w:val="000000"/>
          <w:sz w:val="20"/>
          <w:lang w:val="en-US" w:eastAsia="en-US" w:bidi="ar-SA"/>
        </w:rPr>
        <w:t>  As the Hummer (</w:t>
      </w:r>
      <w:r>
        <w:rPr>
          <w:rFonts w:ascii="arial" w:eastAsia="arial" w:hAnsi="arial" w:cs="arial"/>
          <w:b/>
          <w:color w:val="000000"/>
          <w:sz w:val="20"/>
          <w:lang w:val="en-US" w:eastAsia="en-US" w:bidi="ar-SA"/>
        </w:rPr>
        <w:t>vehicle 5</w:t>
      </w:r>
      <w:r>
        <w:rPr>
          <w:rFonts w:ascii="arial" w:eastAsia="arial" w:hAnsi="arial" w:cs="arial"/>
          <w:color w:val="000000"/>
          <w:sz w:val="20"/>
          <w:lang w:val="en-US" w:eastAsia="en-US" w:bidi="ar-SA"/>
        </w:rPr>
        <w:t>) was being destroyed, rioters began destroying the Acura (</w:t>
      </w:r>
      <w:r>
        <w:rPr>
          <w:rFonts w:ascii="arial" w:eastAsia="arial" w:hAnsi="arial" w:cs="arial"/>
          <w:b/>
          <w:color w:val="000000"/>
          <w:sz w:val="20"/>
          <w:lang w:val="en-US" w:eastAsia="en-US" w:bidi="ar-SA"/>
        </w:rPr>
        <w:t>vehicle 9</w:t>
      </w:r>
      <w:r>
        <w:rPr>
          <w:rFonts w:ascii="arial" w:eastAsia="arial" w:hAnsi="arial" w:cs="arial"/>
          <w:color w:val="000000"/>
          <w:sz w:val="20"/>
          <w:lang w:val="en-US" w:eastAsia="en-US" w:bidi="ar-SA"/>
        </w:rPr>
        <w:t>). Rioters continued to destroy the Acura as the Hummer was set on fire. After Mr. Cuthbert placed wood into the front of the Hummer, he approached the Acura and with other rioters attempted to overturn it. He immediately got into a confrontation with someone who was trying to stop the destruction. He then left the immediate vicinity and joined with other rioters in attempting to overturn a non-ICBC insured Hummer.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81</w:t>
      </w:r>
      <w:r>
        <w:rPr>
          <w:rFonts w:ascii="arial" w:eastAsia="arial" w:hAnsi="arial" w:cs="arial"/>
          <w:color w:val="000000"/>
          <w:sz w:val="20"/>
          <w:lang w:val="en-US" w:eastAsia="en-US" w:bidi="ar-SA"/>
        </w:rPr>
        <w:t>  As I said above, all the windows and panels of the Acura were damaged and it was declared a total loss. While he may have been part of the initial design and activities meant to destroy it, he walked away, the car was never flipped and I do not know if the same people he initially joined in with were responsible for the damage or when that occurred. I therefore do not find him liable for the damage to the Acura.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82</w:t>
      </w:r>
      <w:r>
        <w:rPr>
          <w:rFonts w:ascii="arial" w:eastAsia="arial" w:hAnsi="arial" w:cs="arial"/>
          <w:color w:val="000000"/>
          <w:sz w:val="20"/>
          <w:lang w:val="en-US" w:eastAsia="en-US" w:bidi="ar-SA"/>
        </w:rPr>
        <w:t>  ICBC says that Mr. Cuthbert should be liable for all damage at the Parkade. For the same reasons I expressed above with respect to other rioters, I do not accept this argument.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F. Jordan Houde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83</w:t>
      </w:r>
      <w:r>
        <w:rPr>
          <w:rFonts w:ascii="arial" w:eastAsia="arial" w:hAnsi="arial" w:cs="arial"/>
          <w:color w:val="000000"/>
          <w:sz w:val="20"/>
          <w:lang w:val="en-US" w:eastAsia="en-US" w:bidi="ar-SA"/>
        </w:rPr>
        <w:t>  Mr. Houde was 18 years old at the time of the riot. He was convicted of participation in a riot and received a five-month conditional sentence and probation.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84</w:t>
      </w:r>
      <w:r>
        <w:rPr>
          <w:rFonts w:ascii="arial" w:eastAsia="arial" w:hAnsi="arial" w:cs="arial"/>
          <w:color w:val="000000"/>
          <w:sz w:val="20"/>
          <w:lang w:val="en-US" w:eastAsia="en-US" w:bidi="ar-SA"/>
        </w:rPr>
        <w:t>  After leaving the Live Site, Mr. Houde entered the Black &amp; Lee store through a window that had already been smashed. He came out of the store with a large wooden object and went to the Parkwell Plaza Parkade.</w:t>
      </w:r>
      <w:r>
        <w:rPr>
          <w:rFonts w:ascii="arial" w:eastAsia="arial" w:hAnsi="arial" w:cs="arial"/>
          <w:sz w:val="20"/>
          <w:lang w:val="en-US" w:eastAsia="en-US" w:bidi="ar-SA"/>
        </w:rPr>
        <w:cr/>
      </w:r>
    </w:p>
    <w:p>
      <w:pPr>
        <w:spacing w:line="260" w:lineRule="atLeast"/>
        <w:ind w:left="1080"/>
        <w:rPr>
          <w:rFonts w:ascii="arial" w:eastAsia="arial" w:hAnsi="arial" w:cs="arial"/>
          <w:sz w:val="20"/>
          <w:lang w:val="en-US" w:eastAsia="en-US" w:bidi="ar-SA"/>
        </w:rPr>
      </w:pPr>
      <w:r>
        <w:rPr>
          <w:rFonts w:ascii="arial" w:eastAsia="arial" w:hAnsi="arial" w:cs="arial"/>
          <w:b/>
          <w:color w:val="000000"/>
          <w:sz w:val="20"/>
          <w:lang w:val="en-US" w:eastAsia="en-US" w:bidi="ar-SA"/>
        </w:rPr>
        <w:t>Vehicle 3</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85</w:t>
      </w:r>
      <w:r>
        <w:rPr>
          <w:rFonts w:ascii="arial" w:eastAsia="arial" w:hAnsi="arial" w:cs="arial"/>
          <w:color w:val="000000"/>
          <w:sz w:val="20"/>
          <w:lang w:val="en-US" w:eastAsia="en-US" w:bidi="ar-SA"/>
        </w:rPr>
        <w:t>  </w:t>
      </w:r>
      <w:r>
        <w:rPr>
          <w:rFonts w:ascii="arial" w:eastAsia="arial" w:hAnsi="arial" w:cs="arial"/>
          <w:b/>
          <w:color w:val="000000"/>
          <w:sz w:val="20"/>
          <w:lang w:val="en-US" w:eastAsia="en-US" w:bidi="ar-SA"/>
        </w:rPr>
        <w:t>Vehicle 3</w:t>
      </w:r>
      <w:r>
        <w:rPr>
          <w:rFonts w:ascii="arial" w:eastAsia="arial" w:hAnsi="arial" w:cs="arial"/>
          <w:color w:val="000000"/>
          <w:sz w:val="20"/>
          <w:lang w:val="en-US" w:eastAsia="en-US" w:bidi="ar-SA"/>
        </w:rPr>
        <w:t xml:space="preserve"> -- a Mini Cooper -- was parked in the Parkwell Plaza Parkade. Mr. Houde watched as members of the crowd hit the vehicle with various objects and flipped it over. The crowd continued to hit the vehicle and jump on it. In front of a crowd, using a large wood object, Mr. Houde struck the back of the vehicle four times. He then moved around to the front of the vehicle where he again struck it.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86</w:t>
      </w:r>
      <w:r>
        <w:rPr>
          <w:rFonts w:ascii="arial" w:eastAsia="arial" w:hAnsi="arial" w:cs="arial"/>
          <w:color w:val="000000"/>
          <w:sz w:val="20"/>
          <w:lang w:val="en-US" w:eastAsia="en-US" w:bidi="ar-SA"/>
        </w:rPr>
        <w:t>  The video shows Mr. Houde as part of a crowd whose common purpose was to destroy the Mini Cooper. He participated in the physical damage. I therefore find him jointly liable for the full loss.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87</w:t>
      </w:r>
      <w:r>
        <w:rPr>
          <w:rFonts w:ascii="arial" w:eastAsia="arial" w:hAnsi="arial" w:cs="arial"/>
          <w:color w:val="000000"/>
          <w:sz w:val="20"/>
          <w:lang w:val="en-US" w:eastAsia="en-US" w:bidi="ar-SA"/>
        </w:rPr>
        <w:t>  Following his participation in the destruction of the Mini Cooper, Mr. Houde also assisted in the destruction of a vehicle that ICBC did not insure.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88</w:t>
      </w:r>
      <w:r>
        <w:rPr>
          <w:rFonts w:ascii="arial" w:eastAsia="arial" w:hAnsi="arial" w:cs="arial"/>
          <w:color w:val="000000"/>
          <w:sz w:val="20"/>
          <w:lang w:val="en-US" w:eastAsia="en-US" w:bidi="ar-SA"/>
        </w:rPr>
        <w:t>  For similar reasons with respect to other defendants I do not find Mr. Houde liable for all damage at the Parkade.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G. Timothy Lau</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89</w:t>
      </w:r>
      <w:r>
        <w:rPr>
          <w:rFonts w:ascii="arial" w:eastAsia="arial" w:hAnsi="arial" w:cs="arial"/>
          <w:color w:val="000000"/>
          <w:sz w:val="20"/>
          <w:lang w:val="en-US" w:eastAsia="en-US" w:bidi="ar-SA"/>
        </w:rPr>
        <w:t>  Mr. Lau was 21 years old at the time of the riot. He pled guilty to participating in the riot and was sentenced to four months' incarceration, two years' probation and a $1,500 victim fine surcharge.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90</w:t>
      </w:r>
      <w:r>
        <w:rPr>
          <w:rFonts w:ascii="arial" w:eastAsia="arial" w:hAnsi="arial" w:cs="arial"/>
          <w:color w:val="000000"/>
          <w:sz w:val="20"/>
          <w:lang w:val="en-US" w:eastAsia="en-US" w:bidi="ar-SA"/>
        </w:rPr>
        <w:t>  Mr. Lau started drinking at a bar downtown around noon, where he also took drugs. At 8:00 p.m. he posed in front of the burning Versa (</w:t>
      </w:r>
      <w:r>
        <w:rPr>
          <w:rFonts w:ascii="arial" w:eastAsia="arial" w:hAnsi="arial" w:cs="arial"/>
          <w:b/>
          <w:color w:val="000000"/>
          <w:sz w:val="20"/>
          <w:lang w:val="en-US" w:eastAsia="en-US" w:bidi="ar-SA"/>
        </w:rPr>
        <w:t>vehicle 4</w:t>
      </w:r>
      <w:r>
        <w:rPr>
          <w:rFonts w:ascii="arial" w:eastAsia="arial" w:hAnsi="arial" w:cs="arial"/>
          <w:color w:val="000000"/>
          <w:sz w:val="20"/>
          <w:lang w:val="en-US" w:eastAsia="en-US" w:bidi="ar-SA"/>
        </w:rPr>
        <w:t xml:space="preserve">) at the Canada Post building. On his way to the Parkwell Plaza Parkade he walked into the smashed entrances of Black &amp; Lee and Blenz. At the Parkade he posed for a photo in front of the burning </w:t>
      </w:r>
      <w:r>
        <w:rPr>
          <w:rFonts w:ascii="arial" w:eastAsia="arial" w:hAnsi="arial" w:cs="arial"/>
          <w:b/>
          <w:color w:val="000000"/>
          <w:sz w:val="20"/>
          <w:lang w:val="en-US" w:eastAsia="en-US" w:bidi="ar-SA"/>
        </w:rPr>
        <w:t>vehicle 3</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91</w:t>
      </w:r>
      <w:r>
        <w:rPr>
          <w:rFonts w:ascii="arial" w:eastAsia="arial" w:hAnsi="arial" w:cs="arial"/>
          <w:color w:val="000000"/>
          <w:sz w:val="20"/>
          <w:lang w:val="en-US" w:eastAsia="en-US" w:bidi="ar-SA"/>
        </w:rPr>
        <w:t>  In addition to the ICBC-insured vehicles I detail below, Mr. Lau damaged other vehicles not insured by ICBC. He threw a manikin at the second Hummer several times as others were damaging it. He assisted in overturning a Cavalier onto the hood of an Accord, after throwing a wood pallet onto the hood of the Cavalier. After overturning the Cavalier Mr. Lau stood on top of the Cavalier and shouted, "This is for Vancouver" and then chanted "Fuck Boston" while raising his arm in a victory salute. Mr. Lau then jumped off the Cavalier, onto the hood of the Accord and then to the ground. Mr. Lau posed in front of a burning Audi in the 600 block of Seymour Street.</w:t>
      </w:r>
      <w:r>
        <w:rPr>
          <w:rFonts w:ascii="arial" w:eastAsia="arial" w:hAnsi="arial" w:cs="arial"/>
          <w:sz w:val="20"/>
          <w:lang w:val="en-US" w:eastAsia="en-US" w:bidi="ar-SA"/>
        </w:rPr>
        <w:cr/>
      </w:r>
    </w:p>
    <w:p>
      <w:pPr>
        <w:spacing w:line="260" w:lineRule="atLeast"/>
        <w:ind w:left="1080"/>
        <w:rPr>
          <w:rFonts w:ascii="arial" w:eastAsia="arial" w:hAnsi="arial" w:cs="arial"/>
          <w:sz w:val="20"/>
          <w:lang w:val="en-US" w:eastAsia="en-US" w:bidi="ar-SA"/>
        </w:rPr>
      </w:pPr>
      <w:r>
        <w:rPr>
          <w:rFonts w:ascii="arial" w:eastAsia="arial" w:hAnsi="arial" w:cs="arial"/>
          <w:b/>
          <w:color w:val="000000"/>
          <w:sz w:val="20"/>
          <w:lang w:val="en-US" w:eastAsia="en-US" w:bidi="ar-SA"/>
        </w:rPr>
        <w:t>Vehicle 5</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92</w:t>
      </w:r>
      <w:r>
        <w:rPr>
          <w:rFonts w:ascii="arial" w:eastAsia="arial" w:hAnsi="arial" w:cs="arial"/>
          <w:color w:val="000000"/>
          <w:sz w:val="20"/>
          <w:lang w:val="en-US" w:eastAsia="en-US" w:bidi="ar-SA"/>
        </w:rPr>
        <w:t>  Mr. Lau made his way to the Hummer (</w:t>
      </w:r>
      <w:r>
        <w:rPr>
          <w:rFonts w:ascii="arial" w:eastAsia="arial" w:hAnsi="arial" w:cs="arial"/>
          <w:b/>
          <w:color w:val="000000"/>
          <w:sz w:val="20"/>
          <w:lang w:val="en-US" w:eastAsia="en-US" w:bidi="ar-SA"/>
        </w:rPr>
        <w:t>vehicle 5</w:t>
      </w:r>
      <w:r>
        <w:rPr>
          <w:rFonts w:ascii="arial" w:eastAsia="arial" w:hAnsi="arial" w:cs="arial"/>
          <w:color w:val="000000"/>
          <w:sz w:val="20"/>
          <w:lang w:val="en-US" w:eastAsia="en-US" w:bidi="ar-SA"/>
        </w:rPr>
        <w:t>) at the outside lot of the Parkade. As a large crowd circled it, two or three people were smashing it with wood and rocks. It appears from the video that Mr. Lau was attempting to take the gas tank cover off the vehicle. As I noted above, the vehicle was later burned. There is no evidence of Mr. Lau participating in the burning or being near the Hummer at the time. I therefore do not find him liable for damage to the Hummer.</w:t>
      </w:r>
      <w:r>
        <w:rPr>
          <w:rFonts w:ascii="arial" w:eastAsia="arial" w:hAnsi="arial" w:cs="arial"/>
          <w:sz w:val="20"/>
          <w:lang w:val="en-US" w:eastAsia="en-US" w:bidi="ar-SA"/>
        </w:rPr>
        <w:cr/>
      </w:r>
    </w:p>
    <w:p>
      <w:pPr>
        <w:spacing w:line="260" w:lineRule="atLeast"/>
        <w:ind w:left="1080"/>
        <w:rPr>
          <w:rFonts w:ascii="arial" w:eastAsia="arial" w:hAnsi="arial" w:cs="arial"/>
          <w:sz w:val="20"/>
          <w:lang w:val="en-US" w:eastAsia="en-US" w:bidi="ar-SA"/>
        </w:rPr>
      </w:pPr>
      <w:r>
        <w:rPr>
          <w:rFonts w:ascii="arial" w:eastAsia="arial" w:hAnsi="arial" w:cs="arial"/>
          <w:b/>
          <w:color w:val="000000"/>
          <w:sz w:val="20"/>
          <w:lang w:val="en-US" w:eastAsia="en-US" w:bidi="ar-SA"/>
        </w:rPr>
        <w:t>Vehicle 6</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93</w:t>
      </w:r>
      <w:r>
        <w:rPr>
          <w:rFonts w:ascii="arial" w:eastAsia="arial" w:hAnsi="arial" w:cs="arial"/>
          <w:color w:val="000000"/>
          <w:sz w:val="20"/>
          <w:lang w:val="en-US" w:eastAsia="en-US" w:bidi="ar-SA"/>
        </w:rPr>
        <w:t xml:space="preserve">  Mr. Lau then went to </w:t>
      </w:r>
      <w:r>
        <w:rPr>
          <w:rFonts w:ascii="arial" w:eastAsia="arial" w:hAnsi="arial" w:cs="arial"/>
          <w:b/>
          <w:color w:val="000000"/>
          <w:sz w:val="20"/>
          <w:lang w:val="en-US" w:eastAsia="en-US" w:bidi="ar-SA"/>
        </w:rPr>
        <w:t>vehicle 6</w:t>
      </w:r>
      <w:r>
        <w:rPr>
          <w:rFonts w:ascii="arial" w:eastAsia="arial" w:hAnsi="arial" w:cs="arial"/>
          <w:color w:val="000000"/>
          <w:sz w:val="20"/>
          <w:lang w:val="en-US" w:eastAsia="en-US" w:bidi="ar-SA"/>
        </w:rPr>
        <w:t>, the Nissan Sentra. From the video, it appears that when he got there it had already been flipped on its side. Mr. Lau assisted a group of several other people in flipping the vehicle onto its roof. He then jumped on the underside of the vehicle, made victory motions with his arms, and joined in chanting, "Fuck Boston". As I said above, the vehicle was a total loss for insurance purposes.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94</w:t>
      </w:r>
      <w:r>
        <w:rPr>
          <w:rFonts w:ascii="arial" w:eastAsia="arial" w:hAnsi="arial" w:cs="arial"/>
          <w:color w:val="000000"/>
          <w:sz w:val="20"/>
          <w:lang w:val="en-US" w:eastAsia="en-US" w:bidi="ar-SA"/>
        </w:rPr>
        <w:t>  Mr. Lau was part of a crowd whose common purpose was to destroy the Sentra. He participated in the physical damage and was therefore a joint tortfeasor. I find him jointly liable for the full damage.</w:t>
      </w:r>
      <w:r>
        <w:rPr>
          <w:rFonts w:ascii="arial" w:eastAsia="arial" w:hAnsi="arial" w:cs="arial"/>
          <w:sz w:val="20"/>
          <w:lang w:val="en-US" w:eastAsia="en-US" w:bidi="ar-SA"/>
        </w:rPr>
        <w:cr/>
      </w:r>
    </w:p>
    <w:p>
      <w:pPr>
        <w:spacing w:line="260" w:lineRule="atLeast"/>
        <w:ind w:left="1080"/>
        <w:rPr>
          <w:rFonts w:ascii="arial" w:eastAsia="arial" w:hAnsi="arial" w:cs="arial"/>
          <w:sz w:val="20"/>
          <w:lang w:val="en-US" w:eastAsia="en-US" w:bidi="ar-SA"/>
        </w:rPr>
      </w:pPr>
      <w:r>
        <w:rPr>
          <w:rFonts w:ascii="arial" w:eastAsia="arial" w:hAnsi="arial" w:cs="arial"/>
          <w:b/>
          <w:color w:val="000000"/>
          <w:sz w:val="20"/>
          <w:lang w:val="en-US" w:eastAsia="en-US" w:bidi="ar-SA"/>
        </w:rPr>
        <w:t>Vehicle 7</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95</w:t>
      </w:r>
      <w:r>
        <w:rPr>
          <w:rFonts w:ascii="arial" w:eastAsia="arial" w:hAnsi="arial" w:cs="arial"/>
          <w:color w:val="000000"/>
          <w:sz w:val="20"/>
          <w:lang w:val="en-US" w:eastAsia="en-US" w:bidi="ar-SA"/>
        </w:rPr>
        <w:t>  </w:t>
      </w:r>
      <w:r>
        <w:rPr>
          <w:rFonts w:ascii="arial" w:eastAsia="arial" w:hAnsi="arial" w:cs="arial"/>
          <w:b/>
          <w:color w:val="000000"/>
          <w:sz w:val="20"/>
          <w:lang w:val="en-US" w:eastAsia="en-US" w:bidi="ar-SA"/>
        </w:rPr>
        <w:t>Vehicle 7</w:t>
      </w:r>
      <w:r>
        <w:rPr>
          <w:rFonts w:ascii="arial" w:eastAsia="arial" w:hAnsi="arial" w:cs="arial"/>
          <w:color w:val="000000"/>
          <w:sz w:val="20"/>
          <w:lang w:val="en-US" w:eastAsia="en-US" w:bidi="ar-SA"/>
        </w:rPr>
        <w:t xml:space="preserve"> -- a 2006 BMW M5 -- was parked on the left side of Seymour Street outside The Bay. A video shows Mr. Lau joining with others unsuccessfully attempting to flip it. At the time the rear window had already been smashed. The video ends with another male hitting the BMW with a rubber bollard that could not have caused any damage. The vehicle was eventually burned but Mr. Lau is not shown participating in that. I therefore do not find him liable.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H. Devin Owen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96</w:t>
      </w:r>
      <w:r>
        <w:rPr>
          <w:rFonts w:ascii="arial" w:eastAsia="arial" w:hAnsi="arial" w:cs="arial"/>
          <w:color w:val="000000"/>
          <w:sz w:val="20"/>
          <w:lang w:val="en-US" w:eastAsia="en-US" w:bidi="ar-SA"/>
        </w:rPr>
        <w:t>  Mr. Owen was 16 at the time of the riot. He was convicted of taking part in it and sentenced to 15 months' probation.</w:t>
      </w:r>
      <w:r>
        <w:rPr>
          <w:rFonts w:ascii="arial" w:eastAsia="arial" w:hAnsi="arial" w:cs="arial"/>
          <w:sz w:val="20"/>
          <w:lang w:val="en-US" w:eastAsia="en-US" w:bidi="ar-SA"/>
        </w:rPr>
        <w:cr/>
      </w:r>
    </w:p>
    <w:p>
      <w:pPr>
        <w:spacing w:line="260" w:lineRule="atLeast"/>
        <w:ind w:left="1080"/>
        <w:rPr>
          <w:rFonts w:ascii="arial" w:eastAsia="arial" w:hAnsi="arial" w:cs="arial"/>
          <w:sz w:val="20"/>
          <w:lang w:val="en-US" w:eastAsia="en-US" w:bidi="ar-SA"/>
        </w:rPr>
      </w:pPr>
      <w:r>
        <w:rPr>
          <w:rFonts w:ascii="arial" w:eastAsia="arial" w:hAnsi="arial" w:cs="arial"/>
          <w:b/>
          <w:color w:val="000000"/>
          <w:sz w:val="20"/>
          <w:lang w:val="en-US" w:eastAsia="en-US" w:bidi="ar-SA"/>
        </w:rPr>
        <w:t>Vehicle 1</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97</w:t>
      </w:r>
      <w:r>
        <w:rPr>
          <w:rFonts w:ascii="arial" w:eastAsia="arial" w:hAnsi="arial" w:cs="arial"/>
          <w:color w:val="000000"/>
          <w:sz w:val="20"/>
          <w:lang w:val="en-US" w:eastAsia="en-US" w:bidi="ar-SA"/>
        </w:rPr>
        <w:t xml:space="preserve">  Mr. Owen joined the crowd in attempting to flip </w:t>
      </w:r>
      <w:r>
        <w:rPr>
          <w:rFonts w:ascii="arial" w:eastAsia="arial" w:hAnsi="arial" w:cs="arial"/>
          <w:b/>
          <w:color w:val="000000"/>
          <w:sz w:val="20"/>
          <w:lang w:val="en-US" w:eastAsia="en-US" w:bidi="ar-SA"/>
        </w:rPr>
        <w:t>vehicle 1</w:t>
      </w:r>
      <w:r>
        <w:rPr>
          <w:rFonts w:ascii="arial" w:eastAsia="arial" w:hAnsi="arial" w:cs="arial"/>
          <w:color w:val="000000"/>
          <w:sz w:val="20"/>
          <w:lang w:val="en-US" w:eastAsia="en-US" w:bidi="ar-SA"/>
        </w:rPr>
        <w:t xml:space="preserve"> -- the GMC pickup. He backed off and went back several times each time actively attempting to flip it. The video does not show when the truck was flipped and, as I said above, it was eventually burned.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98</w:t>
      </w:r>
      <w:r>
        <w:rPr>
          <w:rFonts w:ascii="arial" w:eastAsia="arial" w:hAnsi="arial" w:cs="arial"/>
          <w:color w:val="000000"/>
          <w:sz w:val="20"/>
          <w:lang w:val="en-US" w:eastAsia="en-US" w:bidi="ar-SA"/>
        </w:rPr>
        <w:t>  As with Mr. Comber, who also participated in damaging the truck, Mr. Owen was involved in a common design with others to destroy the GMC. Flipping the vehicle would render it a total loss, apart from it being burned. He is therefore jointly liable for the full loss.</w:t>
      </w:r>
      <w:r>
        <w:rPr>
          <w:rFonts w:ascii="arial" w:eastAsia="arial" w:hAnsi="arial" w:cs="arial"/>
          <w:sz w:val="20"/>
          <w:lang w:val="en-US" w:eastAsia="en-US" w:bidi="ar-SA"/>
        </w:rPr>
        <w:cr/>
      </w:r>
    </w:p>
    <w:p>
      <w:pPr>
        <w:spacing w:line="260" w:lineRule="atLeast"/>
        <w:ind w:left="1080"/>
        <w:rPr>
          <w:rFonts w:ascii="arial" w:eastAsia="arial" w:hAnsi="arial" w:cs="arial"/>
          <w:sz w:val="20"/>
          <w:lang w:val="en-US" w:eastAsia="en-US" w:bidi="ar-SA"/>
        </w:rPr>
      </w:pPr>
      <w:r>
        <w:rPr>
          <w:rFonts w:ascii="arial" w:eastAsia="arial" w:hAnsi="arial" w:cs="arial"/>
          <w:b/>
          <w:color w:val="000000"/>
          <w:sz w:val="20"/>
          <w:lang w:val="en-US" w:eastAsia="en-US" w:bidi="ar-SA"/>
        </w:rPr>
        <w:t>Vehicle 3</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99</w:t>
      </w:r>
      <w:r>
        <w:rPr>
          <w:rFonts w:ascii="arial" w:eastAsia="arial" w:hAnsi="arial" w:cs="arial"/>
          <w:color w:val="000000"/>
          <w:sz w:val="20"/>
          <w:lang w:val="en-US" w:eastAsia="en-US" w:bidi="ar-SA"/>
        </w:rPr>
        <w:t xml:space="preserve">  Mr. Owen was involved in the destruction of the Mini Cooper -- </w:t>
      </w:r>
      <w:r>
        <w:rPr>
          <w:rFonts w:ascii="arial" w:eastAsia="arial" w:hAnsi="arial" w:cs="arial"/>
          <w:b/>
          <w:color w:val="000000"/>
          <w:sz w:val="20"/>
          <w:lang w:val="en-US" w:eastAsia="en-US" w:bidi="ar-SA"/>
        </w:rPr>
        <w:t>vehicle 3</w:t>
      </w:r>
      <w:r>
        <w:rPr>
          <w:rFonts w:ascii="arial" w:eastAsia="arial" w:hAnsi="arial" w:cs="arial"/>
          <w:color w:val="000000"/>
          <w:sz w:val="20"/>
          <w:lang w:val="en-US" w:eastAsia="en-US" w:bidi="ar-SA"/>
        </w:rPr>
        <w:t xml:space="preserve"> -- at the Parkwell site. He was part of a crowd circling the vehicle. A friend of his was also part of the crowd. He took a brick and smashed the windshield. He then made a hand motion to someone emulating lighting a lighter. I interpret that as suggesting that a lighter be used to set the car on fire. Mr. Owen smashed another part of the windshield again. The crowd was trying to flip the vehicle. It is not clear whether Mr. Owen assisted in that but he was close to the vehicle and clapping. Eventually it was flipped and burned.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100</w:t>
      </w:r>
      <w:r>
        <w:rPr>
          <w:rFonts w:ascii="arial" w:eastAsia="arial" w:hAnsi="arial" w:cs="arial"/>
          <w:color w:val="000000"/>
          <w:sz w:val="20"/>
          <w:lang w:val="en-US" w:eastAsia="en-US" w:bidi="ar-SA"/>
        </w:rPr>
        <w:t>  Mr. Owen was involved in a common design with the others to destroy the Mini Cooper. He physically assisted in the destruction. He is therefore jointly liable for the full loss.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101</w:t>
      </w:r>
      <w:r>
        <w:rPr>
          <w:rFonts w:ascii="arial" w:eastAsia="arial" w:hAnsi="arial" w:cs="arial"/>
          <w:color w:val="000000"/>
          <w:sz w:val="20"/>
          <w:lang w:val="en-US" w:eastAsia="en-US" w:bidi="ar-SA"/>
        </w:rPr>
        <w:t>  I do not accept that he is liable for all the damage at the Parkade for the reasons I expressed at the outset of this section.</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I. Arvin Santos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102</w:t>
      </w:r>
      <w:r>
        <w:rPr>
          <w:rFonts w:ascii="arial" w:eastAsia="arial" w:hAnsi="arial" w:cs="arial"/>
          <w:color w:val="000000"/>
          <w:sz w:val="20"/>
          <w:lang w:val="en-US" w:eastAsia="en-US" w:bidi="ar-SA"/>
        </w:rPr>
        <w:t>  Mr. Santos was 17 at the time of the riot. He pleaded guilty to participating in it.</w:t>
      </w:r>
      <w:r>
        <w:rPr>
          <w:rFonts w:ascii="arial" w:eastAsia="arial" w:hAnsi="arial" w:cs="arial"/>
          <w:sz w:val="20"/>
          <w:lang w:val="en-US" w:eastAsia="en-US" w:bidi="ar-SA"/>
        </w:rPr>
        <w:cr/>
      </w:r>
    </w:p>
    <w:p>
      <w:pPr>
        <w:spacing w:line="260" w:lineRule="atLeast"/>
        <w:ind w:left="1080"/>
        <w:rPr>
          <w:rFonts w:ascii="arial" w:eastAsia="arial" w:hAnsi="arial" w:cs="arial"/>
          <w:sz w:val="20"/>
          <w:lang w:val="en-US" w:eastAsia="en-US" w:bidi="ar-SA"/>
        </w:rPr>
      </w:pPr>
      <w:r>
        <w:rPr>
          <w:rFonts w:ascii="arial" w:eastAsia="arial" w:hAnsi="arial" w:cs="arial"/>
          <w:b/>
          <w:color w:val="000000"/>
          <w:sz w:val="20"/>
          <w:lang w:val="en-US" w:eastAsia="en-US" w:bidi="ar-SA"/>
        </w:rPr>
        <w:t>Vehicle 3</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103</w:t>
      </w:r>
      <w:r>
        <w:rPr>
          <w:rFonts w:ascii="arial" w:eastAsia="arial" w:hAnsi="arial" w:cs="arial"/>
          <w:color w:val="000000"/>
          <w:sz w:val="20"/>
          <w:lang w:val="en-US" w:eastAsia="en-US" w:bidi="ar-SA"/>
        </w:rPr>
        <w:t xml:space="preserve">  Mr. Santos said that he got caught up in a crowd when they "started to go against the Mini Cooper" -- </w:t>
      </w:r>
      <w:r>
        <w:rPr>
          <w:rFonts w:ascii="arial" w:eastAsia="arial" w:hAnsi="arial" w:cs="arial"/>
          <w:b/>
          <w:color w:val="000000"/>
          <w:sz w:val="20"/>
          <w:lang w:val="en-US" w:eastAsia="en-US" w:bidi="ar-SA"/>
        </w:rPr>
        <w:t>vehicle 3</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104</w:t>
      </w:r>
      <w:r>
        <w:rPr>
          <w:rFonts w:ascii="arial" w:eastAsia="arial" w:hAnsi="arial" w:cs="arial"/>
          <w:color w:val="000000"/>
          <w:sz w:val="20"/>
          <w:lang w:val="en-US" w:eastAsia="en-US" w:bidi="ar-SA"/>
        </w:rPr>
        <w:t>  The video evidence shows him:</w:t>
      </w:r>
      <w:r>
        <w:rPr>
          <w:rFonts w:ascii="arial" w:eastAsia="arial" w:hAnsi="arial" w:cs="arial"/>
          <w:sz w:val="20"/>
          <w:lang w:val="en-US" w:eastAsia="en-US" w:bidi="ar-SA"/>
        </w:rPr>
        <w:cr/>
      </w:r>
    </w:p>
    <w:p>
      <w:pPr>
        <w:numPr>
          <w:numId w:val="3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moving from the back of a crowd around the vehicle, up to the back of the vehicle, in order to help rock it;</w:t>
      </w:r>
    </w:p>
    <w:p>
      <w:pPr>
        <w:numPr>
          <w:numId w:val="34"/>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joining with others to flip the vehicle;</w:t>
      </w:r>
    </w:p>
    <w:p>
      <w:pPr>
        <w:numPr>
          <w:numId w:val="3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cheering on people who tried to flip it on its side and then flipping it and rotating it;</w:t>
      </w:r>
    </w:p>
    <w:p>
      <w:pPr>
        <w:numPr>
          <w:numId w:val="36"/>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cheering for people who flipped it onto its roof;</w:t>
      </w:r>
    </w:p>
    <w:p>
      <w:pPr>
        <w:numPr>
          <w:numId w:val="37"/>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putting his hands under the car and pushing it to get it onto its roof, then raising his arms triumphantly, smiling and cheering; and</w:t>
      </w:r>
    </w:p>
    <w:p>
      <w:pPr>
        <w:numPr>
          <w:numId w:val="38"/>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kicking the vehicle.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105</w:t>
      </w:r>
      <w:r>
        <w:rPr>
          <w:rFonts w:ascii="arial" w:eastAsia="arial" w:hAnsi="arial" w:cs="arial"/>
          <w:color w:val="000000"/>
          <w:sz w:val="20"/>
          <w:lang w:val="en-US" w:eastAsia="en-US" w:bidi="ar-SA"/>
        </w:rPr>
        <w:t>  In addition to the damaging the Mini Cooper, Mr. Santos:</w:t>
      </w:r>
      <w:r>
        <w:rPr>
          <w:rFonts w:ascii="arial" w:eastAsia="arial" w:hAnsi="arial" w:cs="arial"/>
          <w:sz w:val="20"/>
          <w:lang w:val="en-US" w:eastAsia="en-US" w:bidi="ar-SA"/>
        </w:rPr>
        <w:cr/>
      </w:r>
    </w:p>
    <w:p>
      <w:pPr>
        <w:numPr>
          <w:numId w:val="3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approached a lineup of police officers in riot gear. He understood that they were trying to get the crowd to disperse. He did not disperse at that time. He stood at the front of a crowd refusing to take direction from the police; and</w:t>
      </w:r>
    </w:p>
    <w:p>
      <w:pPr>
        <w:numPr>
          <w:numId w:val="4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entered the Black &amp; Lee store after the doors and windows had been smashed out, grabbed a manikin and ran back out.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106</w:t>
      </w:r>
      <w:r>
        <w:rPr>
          <w:rFonts w:ascii="arial" w:eastAsia="arial" w:hAnsi="arial" w:cs="arial"/>
          <w:color w:val="000000"/>
          <w:sz w:val="20"/>
          <w:lang w:val="en-US" w:eastAsia="en-US" w:bidi="ar-SA"/>
        </w:rPr>
        <w:t>  I conclude that Mr. Owen was involved in a common design with others to destroy the Mini Cooper and is therefore jointly liable for the full loss.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107</w:t>
      </w:r>
      <w:r>
        <w:rPr>
          <w:rFonts w:ascii="arial" w:eastAsia="arial" w:hAnsi="arial" w:cs="arial"/>
          <w:color w:val="000000"/>
          <w:sz w:val="20"/>
          <w:lang w:val="en-US" w:eastAsia="en-US" w:bidi="ar-SA"/>
        </w:rPr>
        <w:t>  I do not accept that he is liable for all of the damage at the Parkade.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J. Nathan Kozak Welschlau</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108</w:t>
      </w:r>
      <w:r>
        <w:rPr>
          <w:rFonts w:ascii="arial" w:eastAsia="arial" w:hAnsi="arial" w:cs="arial"/>
          <w:color w:val="000000"/>
          <w:sz w:val="20"/>
          <w:lang w:val="en-US" w:eastAsia="en-US" w:bidi="ar-SA"/>
        </w:rPr>
        <w:t>  Mr. Kozak was 20 years old at the time of the riot. He pleaded guilty to participation in a riot and was sentenced to a 90-day intermittent prison sentence.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109</w:t>
      </w:r>
      <w:r>
        <w:rPr>
          <w:rFonts w:ascii="arial" w:eastAsia="arial" w:hAnsi="arial" w:cs="arial"/>
          <w:color w:val="000000"/>
          <w:sz w:val="20"/>
          <w:lang w:val="en-US" w:eastAsia="en-US" w:bidi="ar-SA"/>
        </w:rPr>
        <w:t>  He recalls watching the game on a large screen downtown but does not recall where. After the game he says he "just walked into the riot". Mr. Kozak entered and exited the Sears store through the broken glass and then ended up at the Parkade.</w:t>
      </w:r>
      <w:r>
        <w:rPr>
          <w:rFonts w:ascii="arial" w:eastAsia="arial" w:hAnsi="arial" w:cs="arial"/>
          <w:sz w:val="20"/>
          <w:lang w:val="en-US" w:eastAsia="en-US" w:bidi="ar-SA"/>
        </w:rPr>
        <w:cr/>
      </w:r>
    </w:p>
    <w:p>
      <w:pPr>
        <w:spacing w:line="260" w:lineRule="atLeast"/>
        <w:ind w:left="1080"/>
        <w:rPr>
          <w:rFonts w:ascii="arial" w:eastAsia="arial" w:hAnsi="arial" w:cs="arial"/>
          <w:sz w:val="20"/>
          <w:lang w:val="en-US" w:eastAsia="en-US" w:bidi="ar-SA"/>
        </w:rPr>
      </w:pPr>
      <w:r>
        <w:rPr>
          <w:rFonts w:ascii="arial" w:eastAsia="arial" w:hAnsi="arial" w:cs="arial"/>
          <w:b/>
          <w:color w:val="000000"/>
          <w:sz w:val="20"/>
          <w:lang w:val="en-US" w:eastAsia="en-US" w:bidi="ar-SA"/>
        </w:rPr>
        <w:t>Vehicle 5</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110</w:t>
      </w:r>
      <w:r>
        <w:rPr>
          <w:rFonts w:ascii="arial" w:eastAsia="arial" w:hAnsi="arial" w:cs="arial"/>
          <w:color w:val="000000"/>
          <w:sz w:val="20"/>
          <w:lang w:val="en-US" w:eastAsia="en-US" w:bidi="ar-SA"/>
        </w:rPr>
        <w:t xml:space="preserve">  The video and photos show Mr. Kozak around the Hummer -- </w:t>
      </w:r>
      <w:r>
        <w:rPr>
          <w:rFonts w:ascii="arial" w:eastAsia="arial" w:hAnsi="arial" w:cs="arial"/>
          <w:b/>
          <w:color w:val="000000"/>
          <w:sz w:val="20"/>
          <w:lang w:val="en-US" w:eastAsia="en-US" w:bidi="ar-SA"/>
        </w:rPr>
        <w:t>vehicle 5</w:t>
      </w:r>
      <w:r>
        <w:rPr>
          <w:rFonts w:ascii="arial" w:eastAsia="arial" w:hAnsi="arial" w:cs="arial"/>
          <w:color w:val="000000"/>
          <w:sz w:val="20"/>
          <w:lang w:val="en-US" w:eastAsia="en-US" w:bidi="ar-SA"/>
        </w:rPr>
        <w:t xml:space="preserve"> -- when it was burning. He threw a can onto it and hit it with a hockey stick. He posed for a photo in front of the vehicle.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111</w:t>
      </w:r>
      <w:r>
        <w:rPr>
          <w:rFonts w:ascii="arial" w:eastAsia="arial" w:hAnsi="arial" w:cs="arial"/>
          <w:color w:val="000000"/>
          <w:sz w:val="20"/>
          <w:lang w:val="en-US" w:eastAsia="en-US" w:bidi="ar-SA"/>
        </w:rPr>
        <w:t>  ICBC has not shown that Mr. Kozak participated in setting the vehicle alight, and in his discovery read-ins he said he came upon the vehicle when it was already burning and he did not set it on fire. The hit with the hockey stick took place when the vehicle was already engulfed in flames.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112</w:t>
      </w:r>
      <w:r>
        <w:rPr>
          <w:rFonts w:ascii="arial" w:eastAsia="arial" w:hAnsi="arial" w:cs="arial"/>
          <w:color w:val="000000"/>
          <w:sz w:val="20"/>
          <w:lang w:val="en-US" w:eastAsia="en-US" w:bidi="ar-SA"/>
        </w:rPr>
        <w:t>  Looking at his involvement with this vehicle on its own, there can be no liability for damage to it.</w:t>
      </w:r>
      <w:r>
        <w:rPr>
          <w:rFonts w:ascii="arial" w:eastAsia="arial" w:hAnsi="arial" w:cs="arial"/>
          <w:sz w:val="20"/>
          <w:lang w:val="en-US" w:eastAsia="en-US" w:bidi="ar-SA"/>
        </w:rPr>
        <w:cr/>
      </w:r>
    </w:p>
    <w:p>
      <w:pPr>
        <w:spacing w:line="260" w:lineRule="atLeast"/>
        <w:ind w:left="1080"/>
        <w:rPr>
          <w:rFonts w:ascii="arial" w:eastAsia="arial" w:hAnsi="arial" w:cs="arial"/>
          <w:sz w:val="20"/>
          <w:lang w:val="en-US" w:eastAsia="en-US" w:bidi="ar-SA"/>
        </w:rPr>
      </w:pPr>
      <w:r>
        <w:rPr>
          <w:rFonts w:ascii="arial" w:eastAsia="arial" w:hAnsi="arial" w:cs="arial"/>
          <w:b/>
          <w:color w:val="000000"/>
          <w:sz w:val="20"/>
          <w:lang w:val="en-US" w:eastAsia="en-US" w:bidi="ar-SA"/>
        </w:rPr>
        <w:t>Vehicle 7</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113</w:t>
      </w:r>
      <w:r>
        <w:rPr>
          <w:rFonts w:ascii="arial" w:eastAsia="arial" w:hAnsi="arial" w:cs="arial"/>
          <w:color w:val="000000"/>
          <w:sz w:val="20"/>
          <w:lang w:val="en-US" w:eastAsia="en-US" w:bidi="ar-SA"/>
        </w:rPr>
        <w:t>  </w:t>
      </w:r>
      <w:r>
        <w:rPr>
          <w:rFonts w:ascii="arial" w:eastAsia="arial" w:hAnsi="arial" w:cs="arial"/>
          <w:b/>
          <w:color w:val="000000"/>
          <w:sz w:val="20"/>
          <w:lang w:val="en-US" w:eastAsia="en-US" w:bidi="ar-SA"/>
        </w:rPr>
        <w:t>Vehicle 7</w:t>
      </w:r>
      <w:r>
        <w:rPr>
          <w:rFonts w:ascii="arial" w:eastAsia="arial" w:hAnsi="arial" w:cs="arial"/>
          <w:color w:val="000000"/>
          <w:sz w:val="20"/>
          <w:lang w:val="en-US" w:eastAsia="en-US" w:bidi="ar-SA"/>
        </w:rPr>
        <w:t xml:space="preserve"> was the BMW parked outside The Bay. Mr. Kozak's involvement with this vehicle was far more significant than with the Hummer. The videos show him kicking the vehicle and jumping on top of the roof. There are photos of him sitting on the trunk when the forward part of the vehicle is on fire. Videos show him taking a newspaper vending box and putting it on the car when it was on fire in an apparent attempt to set the box on fire.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114</w:t>
      </w:r>
      <w:r>
        <w:rPr>
          <w:rFonts w:ascii="arial" w:eastAsia="arial" w:hAnsi="arial" w:cs="arial"/>
          <w:color w:val="000000"/>
          <w:sz w:val="20"/>
          <w:lang w:val="en-US" w:eastAsia="en-US" w:bidi="ar-SA"/>
        </w:rPr>
        <w:t>  While the visual evidence does not show him setting fire to the vehicle, it is clear from the evidence that he had to have been part of the group that did set it alight.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115</w:t>
      </w:r>
      <w:r>
        <w:rPr>
          <w:rFonts w:ascii="arial" w:eastAsia="arial" w:hAnsi="arial" w:cs="arial"/>
          <w:color w:val="000000"/>
          <w:sz w:val="20"/>
          <w:lang w:val="en-US" w:eastAsia="en-US" w:bidi="ar-SA"/>
        </w:rPr>
        <w:t>  Mr. Kozak was involved in a common design with others to destroy the BMW and is therefore jointly liable for the full loss.</w:t>
      </w:r>
      <w:r>
        <w:rPr>
          <w:rFonts w:ascii="arial" w:eastAsia="arial" w:hAnsi="arial" w:cs="arial"/>
          <w:sz w:val="20"/>
          <w:lang w:val="en-US" w:eastAsia="en-US" w:bidi="ar-SA"/>
        </w:rPr>
        <w:cr/>
      </w:r>
    </w:p>
    <w:p>
      <w:pPr>
        <w:spacing w:line="260" w:lineRule="atLeast"/>
        <w:ind w:left="1080"/>
        <w:rPr>
          <w:rFonts w:ascii="arial" w:eastAsia="arial" w:hAnsi="arial" w:cs="arial"/>
          <w:sz w:val="20"/>
          <w:lang w:val="en-US" w:eastAsia="en-US" w:bidi="ar-SA"/>
        </w:rPr>
      </w:pPr>
      <w:r>
        <w:rPr>
          <w:rFonts w:ascii="arial" w:eastAsia="arial" w:hAnsi="arial" w:cs="arial"/>
          <w:b/>
          <w:color w:val="000000"/>
          <w:sz w:val="20"/>
          <w:lang w:val="en-US" w:eastAsia="en-US" w:bidi="ar-SA"/>
        </w:rPr>
        <w:t>Vehicle 2</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116</w:t>
      </w:r>
      <w:r>
        <w:rPr>
          <w:rFonts w:ascii="arial" w:eastAsia="arial" w:hAnsi="arial" w:cs="arial"/>
          <w:color w:val="000000"/>
          <w:sz w:val="20"/>
          <w:lang w:val="en-US" w:eastAsia="en-US" w:bidi="ar-SA"/>
        </w:rPr>
        <w:t>  </w:t>
      </w:r>
      <w:r>
        <w:rPr>
          <w:rFonts w:ascii="arial" w:eastAsia="arial" w:hAnsi="arial" w:cs="arial"/>
          <w:b/>
          <w:color w:val="000000"/>
          <w:sz w:val="20"/>
          <w:lang w:val="en-US" w:eastAsia="en-US" w:bidi="ar-SA"/>
        </w:rPr>
        <w:t>Vehicle 2</w:t>
      </w:r>
      <w:r>
        <w:rPr>
          <w:rFonts w:ascii="arial" w:eastAsia="arial" w:hAnsi="arial" w:cs="arial"/>
          <w:color w:val="000000"/>
          <w:sz w:val="20"/>
          <w:lang w:val="en-US" w:eastAsia="en-US" w:bidi="ar-SA"/>
        </w:rPr>
        <w:t xml:space="preserve"> was a 2003 Audi A4 parked on Seymour Street outside The Bay. A video shows Mr. Kozak throwing an object on top of the Audi after it was completely engulfed by flames.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117</w:t>
      </w:r>
      <w:r>
        <w:rPr>
          <w:rFonts w:ascii="arial" w:eastAsia="arial" w:hAnsi="arial" w:cs="arial"/>
          <w:color w:val="000000"/>
          <w:sz w:val="20"/>
          <w:lang w:val="en-US" w:eastAsia="en-US" w:bidi="ar-SA"/>
        </w:rPr>
        <w:t>  There is no evidence that Mr. Kozak had any role to play in setting the vehicle on fire or doing anything other than what the video disclosed. I therefore do not find him liable for the damage to the Audi.</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118</w:t>
      </w:r>
      <w:r>
        <w:rPr>
          <w:rFonts w:ascii="arial" w:eastAsia="arial" w:hAnsi="arial" w:cs="arial"/>
          <w:color w:val="000000"/>
          <w:sz w:val="20"/>
          <w:lang w:val="en-US" w:eastAsia="en-US" w:bidi="ar-SA"/>
        </w:rPr>
        <w:t>  For the reasons expressed above, I do not find Mr. Kozak liable for all the damage at the Parkade.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K. Sean Yates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119</w:t>
      </w:r>
      <w:r>
        <w:rPr>
          <w:rFonts w:ascii="arial" w:eastAsia="arial" w:hAnsi="arial" w:cs="arial"/>
          <w:color w:val="000000"/>
          <w:sz w:val="20"/>
          <w:lang w:val="en-US" w:eastAsia="en-US" w:bidi="ar-SA"/>
        </w:rPr>
        <w:t>  Mr. Yates, who was 22 at the time of the riot, was watching the game at the Live Site. He pled guilty to participating in the riot and to assaulting a police officer. He was sentenced to seven months' incarceration for each offence, to be served concurrently.</w:t>
      </w:r>
      <w:r>
        <w:rPr>
          <w:rFonts w:ascii="arial" w:eastAsia="arial" w:hAnsi="arial" w:cs="arial"/>
          <w:sz w:val="20"/>
          <w:lang w:val="en-US" w:eastAsia="en-US" w:bidi="ar-SA"/>
        </w:rPr>
        <w:cr/>
      </w:r>
    </w:p>
    <w:p>
      <w:pPr>
        <w:spacing w:line="260" w:lineRule="atLeast"/>
        <w:ind w:left="1080"/>
        <w:rPr>
          <w:rFonts w:ascii="arial" w:eastAsia="arial" w:hAnsi="arial" w:cs="arial"/>
          <w:sz w:val="20"/>
          <w:lang w:val="en-US" w:eastAsia="en-US" w:bidi="ar-SA"/>
        </w:rPr>
      </w:pPr>
      <w:r>
        <w:rPr>
          <w:rFonts w:ascii="arial" w:eastAsia="arial" w:hAnsi="arial" w:cs="arial"/>
          <w:b/>
          <w:color w:val="000000"/>
          <w:sz w:val="20"/>
          <w:lang w:val="en-US" w:eastAsia="en-US" w:bidi="ar-SA"/>
        </w:rPr>
        <w:t>Vehicles 1 and 4</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120</w:t>
      </w:r>
      <w:r>
        <w:rPr>
          <w:rFonts w:ascii="arial" w:eastAsia="arial" w:hAnsi="arial" w:cs="arial"/>
          <w:color w:val="000000"/>
          <w:sz w:val="20"/>
          <w:lang w:val="en-US" w:eastAsia="en-US" w:bidi="ar-SA"/>
        </w:rPr>
        <w:t xml:space="preserve">  I have already referred to </w:t>
      </w:r>
      <w:r>
        <w:rPr>
          <w:rFonts w:ascii="arial" w:eastAsia="arial" w:hAnsi="arial" w:cs="arial"/>
          <w:b/>
          <w:color w:val="000000"/>
          <w:sz w:val="20"/>
          <w:lang w:val="en-US" w:eastAsia="en-US" w:bidi="ar-SA"/>
        </w:rPr>
        <w:t>vehicles 1 and 4</w:t>
      </w:r>
      <w:r>
        <w:rPr>
          <w:rFonts w:ascii="arial" w:eastAsia="arial" w:hAnsi="arial" w:cs="arial"/>
          <w:color w:val="000000"/>
          <w:sz w:val="20"/>
          <w:lang w:val="en-US" w:eastAsia="en-US" w:bidi="ar-SA"/>
        </w:rPr>
        <w:t>. They were both parked outside the Canada Post building on Georgia Street, immediately adjacent to the Live Site. Mr. Yates did not have any direct contact with these vehicles; ICBC seeks to hold him responsible for damage to them on the basis of his participation in the riot in the area of the Live Site.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121</w:t>
      </w:r>
      <w:r>
        <w:rPr>
          <w:rFonts w:ascii="arial" w:eastAsia="arial" w:hAnsi="arial" w:cs="arial"/>
          <w:color w:val="000000"/>
          <w:sz w:val="20"/>
          <w:lang w:val="en-US" w:eastAsia="en-US" w:bidi="ar-SA"/>
        </w:rPr>
        <w:t>  Mr. Yates told the police, "When the riot broke out, I don't know why or what drove me to do it, but I just, I went, just went crazy." He started throwing and breaking things.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122</w:t>
      </w:r>
      <w:r>
        <w:rPr>
          <w:rFonts w:ascii="arial" w:eastAsia="arial" w:hAnsi="arial" w:cs="arial"/>
          <w:color w:val="000000"/>
          <w:sz w:val="20"/>
          <w:lang w:val="en-US" w:eastAsia="en-US" w:bidi="ar-SA"/>
        </w:rPr>
        <w:t xml:space="preserve">  Cst. Fealing was standing in front of the burning Versa -- </w:t>
      </w:r>
      <w:r>
        <w:rPr>
          <w:rFonts w:ascii="arial" w:eastAsia="arial" w:hAnsi="arial" w:cs="arial"/>
          <w:b/>
          <w:color w:val="000000"/>
          <w:sz w:val="20"/>
          <w:lang w:val="en-US" w:eastAsia="en-US" w:bidi="ar-SA"/>
        </w:rPr>
        <w:t>vehicle 4</w:t>
      </w:r>
      <w:r>
        <w:rPr>
          <w:rFonts w:ascii="arial" w:eastAsia="arial" w:hAnsi="arial" w:cs="arial"/>
          <w:color w:val="000000"/>
          <w:sz w:val="20"/>
          <w:lang w:val="en-US" w:eastAsia="en-US" w:bidi="ar-SA"/>
        </w:rPr>
        <w:t xml:space="preserve"> -- attempting to hold back the crowd. Mr. Yates spat on him, laughed at him and challenged the constable to come get him while brandishing a metal pipe. After the fire was extinguished, Cst. Fealing noticed Mr. Yates move through the crowd closer to the Versa. He saw Mr. Yates throw a glass bottle at Sgt. Dore, who it hit on the side of his head.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123</w:t>
      </w:r>
      <w:r>
        <w:rPr>
          <w:rFonts w:ascii="arial" w:eastAsia="arial" w:hAnsi="arial" w:cs="arial"/>
          <w:color w:val="000000"/>
          <w:sz w:val="20"/>
          <w:lang w:val="en-US" w:eastAsia="en-US" w:bidi="ar-SA"/>
        </w:rPr>
        <w:t>  There was no direct participation by him in the destruction of these vehicles and for the reasons I enunciated above, I decline to hold him liable for them.</w:t>
      </w:r>
      <w:r>
        <w:rPr>
          <w:rFonts w:ascii="arial" w:eastAsia="arial" w:hAnsi="arial" w:cs="arial"/>
          <w:sz w:val="20"/>
          <w:lang w:val="en-US" w:eastAsia="en-US" w:bidi="ar-SA"/>
        </w:rPr>
        <w:cr/>
      </w:r>
    </w:p>
    <w:p>
      <w:pPr>
        <w:spacing w:line="260" w:lineRule="atLeast"/>
        <w:ind w:left="1080"/>
        <w:rPr>
          <w:rFonts w:ascii="arial" w:eastAsia="arial" w:hAnsi="arial" w:cs="arial"/>
          <w:sz w:val="20"/>
          <w:lang w:val="en-US" w:eastAsia="en-US" w:bidi="ar-SA"/>
        </w:rPr>
      </w:pPr>
      <w:r>
        <w:rPr>
          <w:rFonts w:ascii="arial" w:eastAsia="arial" w:hAnsi="arial" w:cs="arial"/>
          <w:b/>
          <w:color w:val="000000"/>
          <w:sz w:val="20"/>
          <w:lang w:val="en-US" w:eastAsia="en-US" w:bidi="ar-SA"/>
        </w:rPr>
        <w:t>Vehicles 2 and 7</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124</w:t>
      </w:r>
      <w:r>
        <w:rPr>
          <w:rFonts w:ascii="arial" w:eastAsia="arial" w:hAnsi="arial" w:cs="arial"/>
          <w:color w:val="000000"/>
          <w:sz w:val="20"/>
          <w:lang w:val="en-US" w:eastAsia="en-US" w:bidi="ar-SA"/>
        </w:rPr>
        <w:t xml:space="preserve">  Mr. Yates moved to the Canada Post building and hit the glass door with a metal bar several times. At the 400 block of west Georgia Street he threw objects at the police while still carrying the metal bar. He went to Seymour Street and threw a manikin into the window of the burning Audi parked outside the Bay -- </w:t>
      </w:r>
      <w:r>
        <w:rPr>
          <w:rFonts w:ascii="arial" w:eastAsia="arial" w:hAnsi="arial" w:cs="arial"/>
          <w:b/>
          <w:color w:val="000000"/>
          <w:sz w:val="20"/>
          <w:lang w:val="en-US" w:eastAsia="en-US" w:bidi="ar-SA"/>
        </w:rPr>
        <w:t>vehicle 2.</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125</w:t>
      </w:r>
      <w:r>
        <w:rPr>
          <w:rFonts w:ascii="arial" w:eastAsia="arial" w:hAnsi="arial" w:cs="arial"/>
          <w:color w:val="000000"/>
          <w:sz w:val="20"/>
          <w:lang w:val="en-US" w:eastAsia="en-US" w:bidi="ar-SA"/>
        </w:rPr>
        <w:t>  </w:t>
      </w:r>
      <w:r>
        <w:rPr>
          <w:rFonts w:ascii="arial" w:eastAsia="arial" w:hAnsi="arial" w:cs="arial"/>
          <w:b/>
          <w:color w:val="000000"/>
          <w:sz w:val="20"/>
          <w:lang w:val="en-US" w:eastAsia="en-US" w:bidi="ar-SA"/>
        </w:rPr>
        <w:t>Vehicle 7</w:t>
      </w:r>
      <w:r>
        <w:rPr>
          <w:rFonts w:ascii="arial" w:eastAsia="arial" w:hAnsi="arial" w:cs="arial"/>
          <w:color w:val="000000"/>
          <w:sz w:val="20"/>
          <w:lang w:val="en-US" w:eastAsia="en-US" w:bidi="ar-SA"/>
        </w:rPr>
        <w:t xml:space="preserve"> was the BMW parked outside The Bay. ICBC says that Mr. Yates should be found liable for these two vehicles because of his general actions in the vicinity. For the reasons I set out above I do not agree. With respect to </w:t>
      </w:r>
      <w:r>
        <w:rPr>
          <w:rFonts w:ascii="arial" w:eastAsia="arial" w:hAnsi="arial" w:cs="arial"/>
          <w:b/>
          <w:color w:val="000000"/>
          <w:sz w:val="20"/>
          <w:lang w:val="en-US" w:eastAsia="en-US" w:bidi="ar-SA"/>
        </w:rPr>
        <w:t>vehicle 2</w:t>
      </w:r>
      <w:r>
        <w:rPr>
          <w:rFonts w:ascii="arial" w:eastAsia="arial" w:hAnsi="arial" w:cs="arial"/>
          <w:color w:val="000000"/>
          <w:sz w:val="20"/>
          <w:lang w:val="en-US" w:eastAsia="en-US" w:bidi="ar-SA"/>
        </w:rPr>
        <w:t>, this was destroyed by the time Mr. Yates put the manikin in it. As Mr. Yates's counsel said, this was equivalent to kicking a dead horse and caused no damage. I agree.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IV. PUNITIVE 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126</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Whiten v. Pilot Insurance</w:t>
      </w:r>
      <w:r>
        <w:rPr>
          <w:rFonts w:ascii="arial" w:eastAsia="arial" w:hAnsi="arial" w:cs="arial"/>
          <w:color w:val="000000"/>
          <w:sz w:val="20"/>
          <w:lang w:val="en-US" w:eastAsia="en-US" w:bidi="ar-SA"/>
        </w:rPr>
        <w:t xml:space="preserve">, </w:t>
      </w:r>
      <w:hyperlink r:id="rId1029" w:history="1">
        <w:r>
          <w:rPr>
            <w:rFonts w:ascii="arial" w:eastAsia="arial" w:hAnsi="arial" w:cs="arial"/>
            <w:i/>
            <w:color w:val="0077CC"/>
            <w:sz w:val="20"/>
            <w:u w:val="single"/>
            <w:shd w:val="clear" w:color="auto" w:fill="FFFFFF"/>
            <w:lang w:val="en-US" w:eastAsia="en-US" w:bidi="ar-SA"/>
          </w:rPr>
          <w:t>2002 SCC 18</w:t>
        </w:r>
      </w:hyperlink>
      <w:r>
        <w:rPr>
          <w:rFonts w:ascii="arial" w:eastAsia="arial" w:hAnsi="arial" w:cs="arial"/>
          <w:color w:val="000000"/>
          <w:sz w:val="20"/>
          <w:lang w:val="en-US" w:eastAsia="en-US" w:bidi="ar-SA"/>
        </w:rPr>
        <w:t>, the Supreme Court of Canada said at para. 36 that punitive damages could be awarded: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 in </w:t>
      </w:r>
      <w:r>
        <w:rPr>
          <w:rFonts w:ascii="arial" w:eastAsia="arial" w:hAnsi="arial" w:cs="arial"/>
          <w:color w:val="000000"/>
          <w:sz w:val="20"/>
          <w:u w:val="single"/>
          <w:lang w:val="en-US" w:eastAsia="en-US" w:bidi="ar-SA"/>
        </w:rPr>
        <w:t>exceptional cases</w:t>
      </w:r>
      <w:r>
        <w:rPr>
          <w:rFonts w:ascii="arial" w:eastAsia="arial" w:hAnsi="arial" w:cs="arial"/>
          <w:color w:val="000000"/>
          <w:sz w:val="20"/>
          <w:lang w:val="en-US" w:eastAsia="en-US" w:bidi="ar-SA"/>
        </w:rPr>
        <w:t xml:space="preserve"> for "malicious, oppressive and high-handed" misconduct that "offends the court's sense of decency" [Emphasis added.]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The objective of punitive damages is to punish, deter and denounce the defendant (paras. 37 and 68).</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127</w:t>
      </w:r>
      <w:r>
        <w:rPr>
          <w:rFonts w:ascii="arial" w:eastAsia="arial" w:hAnsi="arial" w:cs="arial"/>
          <w:color w:val="000000"/>
          <w:sz w:val="20"/>
          <w:lang w:val="en-US" w:eastAsia="en-US" w:bidi="ar-SA"/>
        </w:rPr>
        <w:t xml:space="preserve">  Even where there are no criminal convictions for the conduct in issue, punitive damages are to be treated as an exceptional remedy. Where there have been criminal convictions punitive damages would be even more exceptional. At the very least a conviction is a major factor to be taken into account. This was recognised by the Supreme Court in </w:t>
      </w:r>
      <w:r>
        <w:rPr>
          <w:rFonts w:ascii="arial" w:eastAsia="arial" w:hAnsi="arial" w:cs="arial"/>
          <w:i/>
          <w:color w:val="000000"/>
          <w:sz w:val="20"/>
          <w:lang w:val="en-US" w:eastAsia="en-US" w:bidi="ar-SA"/>
        </w:rPr>
        <w:t>Whiten</w:t>
      </w:r>
      <w:r>
        <w:rPr>
          <w:rFonts w:ascii="arial" w:eastAsia="arial" w:hAnsi="arial" w:cs="arial"/>
          <w:color w:val="000000"/>
          <w:sz w:val="20"/>
          <w:lang w:val="en-US" w:eastAsia="en-US" w:bidi="ar-SA"/>
        </w:rPr>
        <w: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69 Third, there is recognition that the primary vehicle of punishment is the criminal law (and regulatory offences) and that punitive damages should be resorted to only in exceptional cases and with restraint. Where punishment has actually been imposed by a criminal court for an offence arising out of substantially the same facts, some jurisdictions, such as Australia and New Zealand, bar punitive damages in certain contexts (</w:t>
      </w:r>
      <w:r>
        <w:rPr>
          <w:rFonts w:ascii="arial" w:eastAsia="arial" w:hAnsi="arial" w:cs="arial"/>
          <w:i/>
          <w:color w:val="000000"/>
          <w:sz w:val="20"/>
          <w:lang w:val="en-US" w:eastAsia="en-US" w:bidi="ar-SA"/>
        </w:rPr>
        <w:t>Gray</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supra</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Daniels</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supra</w:t>
      </w:r>
      <w:r>
        <w:rPr>
          <w:rFonts w:ascii="arial" w:eastAsia="arial" w:hAnsi="arial" w:cs="arial"/>
          <w:color w:val="000000"/>
          <w:sz w:val="20"/>
          <w:lang w:val="en-US" w:eastAsia="en-US" w:bidi="ar-SA"/>
        </w:rPr>
        <w:t>), but the dominant approach in other jurisdictions, including Canada, is to treat it as another factor, albeit a factor of potentially great importance... [Emphasis added.]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128</w:t>
      </w:r>
      <w:r>
        <w:rPr>
          <w:rFonts w:ascii="arial" w:eastAsia="arial" w:hAnsi="arial" w:cs="arial"/>
          <w:color w:val="000000"/>
          <w:sz w:val="20"/>
          <w:lang w:val="en-US" w:eastAsia="en-US" w:bidi="ar-SA"/>
        </w:rPr>
        <w:t xml:space="preserve">  In this case all the defendants have been convicted criminally. Assuming it to be relevant factor, there is nothing to indicate that the penalties they received were inadequate. They have all been the subject of adverse publicity in the press and social media. Further, if ICBC is not paid any amount of this judgment it may withhold issuing of a driver's licence or insurance resulting in further penalisation: </w:t>
      </w:r>
      <w:r>
        <w:rPr>
          <w:rFonts w:ascii="arial" w:eastAsia="arial" w:hAnsi="arial" w:cs="arial"/>
          <w:i/>
          <w:color w:val="000000"/>
          <w:sz w:val="20"/>
          <w:lang w:val="en-US" w:eastAsia="en-US" w:bidi="ar-SA"/>
        </w:rPr>
        <w:t>Insurance (Vehicle) Act</w:t>
      </w:r>
      <w:r>
        <w:rPr>
          <w:rFonts w:ascii="arial" w:eastAsia="arial" w:hAnsi="arial" w:cs="arial"/>
          <w:color w:val="000000"/>
          <w:sz w:val="20"/>
          <w:lang w:val="en-US" w:eastAsia="en-US" w:bidi="ar-SA"/>
        </w:rPr>
        <w:t xml:space="preserve">, </w:t>
      </w:r>
      <w:hyperlink r:id="rId1022" w:history="1">
        <w:r>
          <w:rPr>
            <w:rFonts w:ascii="arial" w:eastAsia="arial" w:hAnsi="arial" w:cs="arial"/>
            <w:i/>
            <w:color w:val="0077CC"/>
            <w:sz w:val="20"/>
            <w:u w:val="single"/>
            <w:shd w:val="clear" w:color="auto" w:fill="FFFFFF"/>
            <w:lang w:val="en-US" w:eastAsia="en-US" w:bidi="ar-SA"/>
          </w:rPr>
          <w:t>R.S.B.C. 1996 c. 231, s. 93.1</w:t>
        </w:r>
      </w:hyperlink>
      <w:r>
        <w:rPr>
          <w:rFonts w:ascii="arial" w:eastAsia="arial" w:hAnsi="arial" w:cs="arial"/>
          <w:color w:val="000000"/>
          <w:sz w:val="20"/>
          <w:lang w:val="en-US" w:eastAsia="en-US" w:bidi="ar-SA"/>
        </w:rPr>
        <w:t>. Given the age and the occupations of the defendants that scenario is a likely one even for the non-punitive 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129</w:t>
      </w:r>
      <w:r>
        <w:rPr>
          <w:rFonts w:ascii="arial" w:eastAsia="arial" w:hAnsi="arial" w:cs="arial"/>
          <w:color w:val="000000"/>
          <w:sz w:val="20"/>
          <w:lang w:val="en-US" w:eastAsia="en-US" w:bidi="ar-SA"/>
        </w:rPr>
        <w:t>  I do not minimise the gravity of the conduct that took place. Watching the videos of the rioting was a disturbing exercise because it illustrated a major part of a major city in complete disarray, caused by the intentional acts of the rioters. It showed the delicate line between order and chaos. However, the criminal sentences took into account the principles of denunciation and deterrence and tailored the sentences to the moral culpability of the accused. While it is true, as pointed out by ICBC, that the accused were not charged with offences related to damage to property, I do not see that the sentences would have been different had that been the case because the factors that were taken into account in the sentencing included the property damage not only to vehicles but in general.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130</w:t>
      </w:r>
      <w:r>
        <w:rPr>
          <w:rFonts w:ascii="arial" w:eastAsia="arial" w:hAnsi="arial" w:cs="arial"/>
          <w:color w:val="000000"/>
          <w:sz w:val="20"/>
          <w:lang w:val="en-US" w:eastAsia="en-US" w:bidi="ar-SA"/>
        </w:rPr>
        <w:t>  On that basis I decline to award punitive damages. There comes a point when "enough is enough".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131</w:t>
      </w:r>
      <w:r>
        <w:rPr>
          <w:rFonts w:ascii="arial" w:eastAsia="arial" w:hAnsi="arial" w:cs="arial"/>
          <w:color w:val="000000"/>
          <w:sz w:val="20"/>
          <w:lang w:val="en-US" w:eastAsia="en-US" w:bidi="ar-SA"/>
        </w:rPr>
        <w:t>  It is unnecessary for me to decide whether it would be appropriate to award punitive damages in favour of an insurer when the claim is not one of fraudulent insurance claims.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V. CLAIM FOR INVESTIGATIVE COSTS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132</w:t>
      </w:r>
      <w:r>
        <w:rPr>
          <w:rFonts w:ascii="arial" w:eastAsia="arial" w:hAnsi="arial" w:cs="arial"/>
          <w:color w:val="000000"/>
          <w:sz w:val="20"/>
          <w:lang w:val="en-US" w:eastAsia="en-US" w:bidi="ar-SA"/>
        </w:rPr>
        <w:t xml:space="preserve">  ICBC claims its investigative costs on two bases. The first is that "when defrauded in relation to insurance claims, ICBC is entitled to its investigative costs." It cites two cases for this: </w:t>
      </w:r>
      <w:r>
        <w:rPr>
          <w:rFonts w:ascii="arial" w:eastAsia="arial" w:hAnsi="arial" w:cs="arial"/>
          <w:i/>
          <w:color w:val="000000"/>
          <w:sz w:val="20"/>
          <w:lang w:val="en-US" w:eastAsia="en-US" w:bidi="ar-SA"/>
        </w:rPr>
        <w:t>Insurance Corporation of British Columbia v. Sanghera</w:t>
      </w:r>
      <w:r>
        <w:rPr>
          <w:rFonts w:ascii="arial" w:eastAsia="arial" w:hAnsi="arial" w:cs="arial"/>
          <w:color w:val="000000"/>
          <w:sz w:val="20"/>
          <w:lang w:val="en-US" w:eastAsia="en-US" w:bidi="ar-SA"/>
        </w:rPr>
        <w:t xml:space="preserve"> </w:t>
      </w:r>
      <w:hyperlink r:id="rId1030" w:history="1">
        <w:r>
          <w:rPr>
            <w:rFonts w:ascii="arial" w:eastAsia="arial" w:hAnsi="arial" w:cs="arial"/>
            <w:i/>
            <w:color w:val="0077CC"/>
            <w:sz w:val="20"/>
            <w:u w:val="single"/>
            <w:shd w:val="clear" w:color="auto" w:fill="FFFFFF"/>
            <w:lang w:val="en-US" w:eastAsia="en-US" w:bidi="ar-SA"/>
          </w:rPr>
          <w:t>(1991), 55 B.C.L.R. (2d) 125</w:t>
        </w:r>
      </w:hyperlink>
      <w:r>
        <w:rPr>
          <w:rFonts w:ascii="arial" w:eastAsia="arial" w:hAnsi="arial" w:cs="arial"/>
          <w:color w:val="000000"/>
          <w:sz w:val="20"/>
          <w:lang w:val="en-US" w:eastAsia="en-US" w:bidi="ar-SA"/>
        </w:rPr>
        <w:t xml:space="preserve"> (C.A.) and </w:t>
      </w:r>
      <w:r>
        <w:rPr>
          <w:rFonts w:ascii="arial" w:eastAsia="arial" w:hAnsi="arial" w:cs="arial"/>
          <w:i/>
          <w:color w:val="000000"/>
          <w:sz w:val="20"/>
          <w:lang w:val="en-US" w:eastAsia="en-US" w:bidi="ar-SA"/>
        </w:rPr>
        <w:t>Insurance Corporation of British Columbia v. Suska</w:t>
      </w:r>
      <w:r>
        <w:rPr>
          <w:rFonts w:ascii="arial" w:eastAsia="arial" w:hAnsi="arial" w:cs="arial"/>
          <w:color w:val="000000"/>
          <w:sz w:val="20"/>
          <w:lang w:val="en-US" w:eastAsia="en-US" w:bidi="ar-SA"/>
        </w:rPr>
        <w:t xml:space="preserve">, </w:t>
      </w:r>
      <w:hyperlink r:id="rId1031" w:history="1">
        <w:r>
          <w:rPr>
            <w:rFonts w:ascii="arial" w:eastAsia="arial" w:hAnsi="arial" w:cs="arial"/>
            <w:i/>
            <w:color w:val="0077CC"/>
            <w:sz w:val="20"/>
            <w:u w:val="single"/>
            <w:shd w:val="clear" w:color="auto" w:fill="FFFFFF"/>
            <w:lang w:val="en-US" w:eastAsia="en-US" w:bidi="ar-SA"/>
          </w:rPr>
          <w:t>2009 BCSC 1051</w:t>
        </w:r>
      </w:hyperlink>
      <w:r>
        <w:rPr>
          <w:rFonts w:ascii="arial" w:eastAsia="arial" w:hAnsi="arial" w:cs="arial"/>
          <w:color w:val="000000"/>
          <w:sz w:val="20"/>
          <w:lang w:val="en-US" w:eastAsia="en-US" w:bidi="ar-SA"/>
        </w:rPr>
        <w:t>. The obvious distinction here is that the present case is not one of insurance fraud. These cases are therefore inapplicable.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133</w:t>
      </w:r>
      <w:r>
        <w:rPr>
          <w:rFonts w:ascii="arial" w:eastAsia="arial" w:hAnsi="arial" w:cs="arial"/>
          <w:color w:val="000000"/>
          <w:sz w:val="20"/>
          <w:lang w:val="en-US" w:eastAsia="en-US" w:bidi="ar-SA"/>
        </w:rPr>
        <w:t xml:space="preserve">  The second basis for claiming costs is relational economic loss suffered by ICBC, as opposed to the acquired rights of its insureds. ICBC submits that its losses were within the reasonable contemplation of the rioters. They were proximate, reasonably foreseeable and not remote consequences of the attacks on the vehicles. It relies on </w:t>
      </w:r>
      <w:r>
        <w:rPr>
          <w:rFonts w:ascii="arial" w:eastAsia="arial" w:hAnsi="arial" w:cs="arial"/>
          <w:i/>
          <w:color w:val="000000"/>
          <w:sz w:val="20"/>
          <w:lang w:val="en-US" w:eastAsia="en-US" w:bidi="ar-SA"/>
        </w:rPr>
        <w:t>Bow Valley Husky (Bermuda) Ltd. v. Saint John Shipbuilding Ltd.</w:t>
      </w:r>
      <w:r>
        <w:rPr>
          <w:rFonts w:ascii="arial" w:eastAsia="arial" w:hAnsi="arial" w:cs="arial"/>
          <w:color w:val="000000"/>
          <w:sz w:val="20"/>
          <w:lang w:val="en-US" w:eastAsia="en-US" w:bidi="ar-SA"/>
        </w:rPr>
        <w:t xml:space="preserve">, </w:t>
      </w:r>
      <w:hyperlink r:id="rId1032" w:history="1">
        <w:r>
          <w:rPr>
            <w:rFonts w:ascii="arial" w:eastAsia="arial" w:hAnsi="arial" w:cs="arial"/>
            <w:i/>
            <w:color w:val="0077CC"/>
            <w:sz w:val="20"/>
            <w:u w:val="single"/>
            <w:shd w:val="clear" w:color="auto" w:fill="FFFFFF"/>
            <w:lang w:val="en-US" w:eastAsia="en-US" w:bidi="ar-SA"/>
          </w:rPr>
          <w:t>[1997] 3 S.C.R. 1210</w:t>
        </w:r>
      </w:hyperlink>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134</w:t>
      </w:r>
      <w:r>
        <w:rPr>
          <w:rFonts w:ascii="arial" w:eastAsia="arial" w:hAnsi="arial" w:cs="arial"/>
          <w:color w:val="000000"/>
          <w:sz w:val="20"/>
          <w:lang w:val="en-US" w:eastAsia="en-US" w:bidi="ar-SA"/>
        </w:rPr>
        <w:t>  ICBC provided no authority where an insurer has recovered its investigative costs on this basis. I see no reason why ICBC should not be in the same position of any other insurer and I am not prepared to change the common law for all insurers.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VI. PREVIOUS SETTLEMENTS AND DEFAULTING DEFENDANTS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135</w:t>
      </w:r>
      <w:r>
        <w:rPr>
          <w:rFonts w:ascii="arial" w:eastAsia="arial" w:hAnsi="arial" w:cs="arial"/>
          <w:color w:val="000000"/>
          <w:sz w:val="20"/>
          <w:lang w:val="en-US" w:eastAsia="en-US" w:bidi="ar-SA"/>
        </w:rPr>
        <w:t>  ICBC settled with a large number of defendants. The amounts of those settlements must be credited against the liability of the Active Defendants for the specific vehicles they were involved with. The amount of the defendants' liability cannot be finalised until that has been done.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136</w:t>
      </w:r>
      <w:r>
        <w:rPr>
          <w:rFonts w:ascii="arial" w:eastAsia="arial" w:hAnsi="arial" w:cs="arial"/>
          <w:color w:val="000000"/>
          <w:sz w:val="20"/>
          <w:lang w:val="en-US" w:eastAsia="en-US" w:bidi="ar-SA"/>
        </w:rPr>
        <w:t>  The amount of liability of the defaulting defendants is also to be dealt with. In light of the legal and factual rulings I have made here I would ask ICBC to prepare written submissions on this, including a summary in table form and a spreadsheet sent by email, in Word format, and delivered on a memory stick.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137</w:t>
      </w:r>
      <w:r>
        <w:rPr>
          <w:rFonts w:ascii="arial" w:eastAsia="arial" w:hAnsi="arial" w:cs="arial"/>
          <w:color w:val="000000"/>
          <w:sz w:val="20"/>
          <w:lang w:val="en-US" w:eastAsia="en-US" w:bidi="ar-SA"/>
        </w:rPr>
        <w:t>  After this has been done I will provide a decision with respect to the amount of the defendants' liabilities.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VII. COSTS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138</w:t>
      </w:r>
      <w:r>
        <w:rPr>
          <w:rFonts w:ascii="arial" w:eastAsia="arial" w:hAnsi="arial" w:cs="arial"/>
          <w:color w:val="000000"/>
          <w:sz w:val="20"/>
          <w:lang w:val="en-US" w:eastAsia="en-US" w:bidi="ar-SA"/>
        </w:rPr>
        <w:t>  As requested by ICBC, it may address costs. I ask for written submissions on this.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E.M. MYERS J.</w:t>
      </w:r>
      <w:r>
        <w:rPr>
          <w:rFonts w:ascii="arial" w:eastAsia="arial" w:hAnsi="arial" w:cs="arial"/>
          <w:sz w:val="20"/>
          <w:lang w:val="en-US" w:eastAsia="en-US" w:bidi="ar-SA"/>
        </w:rPr>
        <w:cr/>
      </w:r>
    </w:p>
    <w:p>
      <w:pPr>
        <w:rPr>
          <w:rFonts w:ascii="arial" w:eastAsia="arial" w:hAnsi="arial" w:cs="arial"/>
          <w:sz w:val="20"/>
          <w:lang w:val="en-US" w:eastAsia="en-US" w:bidi="ar-SA"/>
        </w:rPr>
      </w:pPr>
    </w:p>
    <w:p>
      <w:pPr>
        <w:ind w:left="200"/>
        <w:rPr>
          <w:rFonts w:ascii="arial" w:eastAsia="arial" w:hAnsi="arial" w:cs="arial"/>
          <w:sz w:val="20"/>
          <w:lang w:val="en-US" w:eastAsia="en-US" w:bidi="ar-SA"/>
        </w:rPr>
        <w:sectPr>
          <w:type w:val="continuous"/>
          <w:pgMar w:top="840" w:right="1000" w:bottom="840" w:left="1000" w:header="400" w:footer="400"/>
          <w:pgNumType w:fmt="decimal"/>
          <w:cols w:space="720"/>
        </w:sectPr>
      </w:pPr>
      <w:r>
        <w:rPr>
          <w:rFonts w:ascii="arial" w:eastAsia="arial" w:hAnsi="arial" w:cs="arial"/>
          <w:sz w:val="20"/>
          <w:lang w:val="en-US" w:eastAsia="en-US" w:bidi="ar-SA"/>
        </w:rPr>
        <w:br/>
      </w:r>
      <w:r>
        <w:pict>
          <v:line id="_x0000_s1255" style="position:absolute;z-index:251893760" from="0,10pt" to="512pt,10pt" strokecolor="black" strokeweight="1pt">
            <v:stroke linestyle="single"/>
          </v:line>
        </w:pict>
      </w:r>
      <w:r>
        <w:rPr>
          <w:b/>
          <w:color w:val="767676"/>
          <w:sz w:val="16"/>
          <w:lang w:val="en-US" w:eastAsia="en-US" w:bidi="ar-SA"/>
        </w:rPr>
        <w:t>End of Document</w:t>
      </w:r>
    </w:p>
    <w:p>
      <w:pPr>
        <w:rPr>
          <w:rFonts w:ascii="arial" w:eastAsia="arial" w:hAnsi="arial" w:cs="arial"/>
          <w:sz w:val="20"/>
          <w:lang w:val="en-US" w:eastAsia="en-US" w:bidi="ar-SA"/>
        </w:rPr>
        <w:sectPr>
          <w:headerReference w:type="even" r:id="rId1033"/>
          <w:headerReference w:type="default" r:id="rId1034"/>
          <w:footerReference w:type="even" r:id="rId1035"/>
          <w:footerReference w:type="default" r:id="rId1036"/>
          <w:headerReference w:type="first" r:id="rId1037"/>
          <w:footerReference w:type="first" r:id="rId1038"/>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eastAsia="arial" w:hAnsi="Arial" w:cs="Arial"/>
          <w:b/>
          <w:bCs/>
          <w:kern w:val="32"/>
          <w:sz w:val="32"/>
          <w:szCs w:val="32"/>
          <w:lang w:val="en-US" w:eastAsia="en-US" w:bidi="ar-SA"/>
        </w:rPr>
      </w:pPr>
      <w:hyperlink r:id="rId1039" w:history="1">
        <w:r>
          <w:rPr>
            <w:rFonts w:ascii="arial" w:eastAsia="arial" w:hAnsi="arial" w:cs="arial"/>
            <w:b/>
            <w:bCs/>
            <w:i/>
            <w:color w:val="0077CC"/>
            <w:kern w:val="32"/>
            <w:sz w:val="28"/>
            <w:szCs w:val="32"/>
            <w:u w:val="single"/>
            <w:shd w:val="clear" w:color="auto" w:fill="FFFFFF"/>
            <w:lang w:val="en-US" w:eastAsia="en-US" w:bidi="ar-SA"/>
          </w:rPr>
          <w:t>Koubi v. Mazda Canada Inc., [2010] B.C.J. No. 838</w:t>
        </w:r>
      </w:hyperlink>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Judgments</w:t>
      </w:r>
    </w:p>
    <w:p>
      <w:pPr>
        <w:rPr>
          <w:rFonts w:ascii="arial" w:eastAsia="arial" w:hAnsi="arial" w:cs="arial"/>
          <w:sz w:val="20"/>
          <w:lang w:val="en-US" w:eastAsia="en-US" w:bidi="ar-SA"/>
        </w:rPr>
      </w:pP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Vancouver, British Columbia</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D.J. Dardi J.</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Heard: September 14-16, 2009.</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Judgment: May 6, 2010.</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Docket: S085187</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Registry: Vancouver</w:t>
      </w:r>
    </w:p>
    <w:p>
      <w:pPr>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r>
        <w:rPr>
          <w:rFonts w:ascii="arial" w:eastAsia="arial" w:hAnsi="arial" w:cs="arial"/>
          <w:b/>
          <w:color w:val="000000"/>
          <w:sz w:val="20"/>
          <w:lang w:val="en-US" w:eastAsia="en-US" w:bidi="ar-SA"/>
        </w:rPr>
        <w:t>[2010] B.C.J. No. 838</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2010 BCSC 650</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189 A.C.W.S. (3d) 32</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2010 CarswellBC 1122</w:t>
      </w:r>
    </w:p>
    <w:p>
      <w:pPr>
        <w:spacing w:before="120" w:line="260" w:lineRule="atLeast"/>
        <w:rPr>
          <w:rFonts w:ascii="arial" w:eastAsia="arial" w:hAnsi="arial" w:cs="arial"/>
          <w:sz w:val="20"/>
          <w:lang w:val="en-US" w:eastAsia="en-US" w:bidi="ar-SA"/>
        </w:rPr>
      </w:pPr>
      <w:r>
        <w:rPr>
          <w:rFonts w:ascii="arial" w:eastAsia="arial" w:hAnsi="arial" w:cs="arial"/>
          <w:color w:val="000000"/>
          <w:sz w:val="20"/>
          <w:lang w:val="en-US" w:eastAsia="en-US" w:bidi="ar-SA"/>
        </w:rPr>
        <w:t>Between Alisha Hollen Koubi, Plaintiff, and Mazda Canada Inc., 0702920 B.C. Ltd. doing business as Christensen Mazda, 367298 B.C. Ltd. doing business as Courtenay Mazda, Kawen Holdings Ltd. doing business as Coastline Mazda, Komoux Valley Motors Ltd. doing business as Courtenay Mazda, 310612 B.C. Ltd. doing business as Cranbrook Mazda, 0399267 B.C. Ltd. doing business as Cranbrook Mazda, Freeway Imports Ltd. doing business as Freeway Mazda, W 20 Holdings Ltd. doing business as Kamloops Mazda, Torino Motors (1975) Ltd. doing business as Kamloops Mazda, Kelowna Motors Ltd., Inter-Town Auto Ltd. doing business as Metrotown Mazda, 321438 B.C. Ltd. doing business as Midway Mazda, Morrey Sales Ltd. doing business as Morrey Mazda of the Northshore, Morrey Auto Group Ltd., Pacific Motors Sales &amp; Service Limited doing business as Pacific Mazda, Guardian Pacific Industries Ltd. doing business as Pacific Mazda, V.I.P. Sales Ltd. doing business as VIP Mazda, Burnaby Import Auto Sales Ltd. doing business as Wolfe Mazda, 328633 B.C. Ltd. doing business as Wolfe's Langley Mazda, 0764857 B.C. Ltd. doing business at Wolfe's Chilliwack Mazda, Lougheed Imports Ltd. doing business as West Coast Mazda, Signature Automotive Group Ltd. doing business as Signature Mazda, Defendants</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(206 paras.)</w:t>
      </w:r>
    </w:p>
    <w:p>
      <w:pPr>
        <w:keepNext/>
        <w:spacing w:before="12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Case Summary</w:t>
      </w:r>
    </w:p>
    <w:p>
      <w:pPr>
        <w:spacing w:line="60" w:lineRule="exact"/>
        <w:rPr>
          <w:rFonts w:ascii="arial" w:eastAsia="arial" w:hAnsi="arial" w:cs="arial"/>
          <w:sz w:val="20"/>
          <w:lang w:val="en-US" w:eastAsia="en-US" w:bidi="ar-SA"/>
        </w:rPr>
      </w:pPr>
      <w:r>
        <w:pict>
          <v:line id="_x0000_s1256" style="position:absolute;z-index:251707392"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bookmarkStart w:id="322" w:name="Keywords_46"/>
      <w:bookmarkEnd w:id="322"/>
      <w:r>
        <w:rPr>
          <w:rFonts w:ascii="arial" w:eastAsia="arial" w:hAnsi="arial" w:cs="arial"/>
          <w:b/>
          <w:color w:val="000000"/>
          <w:sz w:val="20"/>
          <w:lang w:val="en-US" w:eastAsia="en-US" w:bidi="ar-SA"/>
        </w:rPr>
        <w:t>Civil litigation — Civil procedure — Parties — Class or representative actions — Certification — Common interests and issues — Application for certification of action as class proceeding allowed — Representative plaintiff sued car manufacturer and related dealerships for damages related to defective door lock mechanism in vehicles — Common issues were certified related to breach of quality and fitness warranties under Sale of Goods Act, whether misrepresentations as to quality were deceptive practices under Business Practices and Consumer Protection Act, and availability of accounting and restitutionary remedies pursuant to doctrine of waiver of tort — Certification subject to production of more comprehensive litigation plan — Class Proceeding Act, ss. 1, 4(1), 4(2), 29 — Sale of Goods Act, s. 18(a).</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Commercial law — Sale of goods — Implied warranties — Application for certification of action as class proceeding allowed — Representative plaintiff sued car manufacturer and related dealerships for damages related to defective door lock mechanism in vehicles — Common issues were certified related to breach of quality and fitness warranties under Sale of Goods Act, whether misrepresentations as to quality were deceptive practices under Business Practices and Consumer Protection Act, and availability of accounting and restitutionary remedies pursuant to doctrine of waiver of tort — Certification subject to production of more comprehensive litigation plan — Class Proceeding Act, ss. 1, 4(1), 4(2), 29 — Sale of Goods Act, s. 18(a).</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Commercial law — Unfair trade practices — False, misleading or deceptive representation — Civil remedies — Procedure — Application for certification of action as class proceeding allowed — Representative plaintiff sued car manufacturer and related dealerships for damages related to defective door lock mechanism in vehicles — Common issues were certified related to breach of quality and fitness warranties under Sale of Goods Act, whether misrepresentations as to quality were deceptive practices under Business Practices and Consumer Protection Act, and availability of accounting and restitutionary remedies pursuant to doctrine of waiver of tort — Certification subject to production of more comprehensive litigation plan — Class Proceeding Act, ss. 1, 4(1), 4(2), 29 — Sale of Goods Act, s. 18(a).</w:t>
      </w:r>
    </w:p>
    <w:p>
      <w:pPr>
        <w:rPr>
          <w:rFonts w:ascii="arial" w:eastAsia="arial" w:hAnsi="arial" w:cs="arial"/>
          <w:sz w:val="20"/>
          <w:lang w:val="en-US" w:eastAsia="en-US" w:bidi="ar-SA"/>
        </w:rPr>
      </w:pPr>
    </w:p>
    <w:tbl>
      <w:tblPr>
        <w:tblStyle w:val="TableNormal"/>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
      <w:tblGrid>
        <w:gridCol w:w="10225"/>
      </w:tblGrid>
      <w:tr>
        <w:tblPrEx>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Ex>
        <w:tc>
          <w:tcPr/>
          <w:p>
            <w:pPr>
              <w:rPr>
                <w:rFonts w:ascii="arial" w:eastAsia="arial" w:hAnsi="arial" w:cs="arial"/>
                <w:sz w:val="20"/>
                <w:lang w:val="en-US" w:eastAsia="en-US" w:bidi="ar-SA"/>
              </w:rPr>
            </w:pPr>
            <w:bookmarkStart w:id="323" w:name="Case Summary_44"/>
            <w:bookmarkEnd w:id="323"/>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Application by the plaintiff, Koubi, for certification of her action against the defendants, Mazda Canada and related companies, as a class proceeding. The plaintiff leased a Mazda3 vehicle from a Mazda dealer. She contended that a defect in the door lock mechanism permitted entry without use of either a tool or key. She sought to certify a class proceeding comprised of owners or lessees of Mazda3 vehicles with door lock mechanisms of equivalent design. The defendants were 20 authorized Mazda dealers that sold or leased the subject vehicles. In addition to the within action, class action lawsuits were commenced in Ontario and Quebec concerning the alleged door lock defect. Common issues included whether the mechanism was defective, whether sale of the vehicles breached quality and fitness warranties under the Sale of Goods Act (SGA), the defendants' knowledge of the defect, whether the defendants' representations regarding quality constituted deceptive acts under the Business Practices and Consumer Protection Act (BPCPA), liability on a restitutionary basis by virtue of waiver of tort, quantification of damages, and availability of mental distress and/or punitive damages. In addition to damages, the plaintiff sought restitutionary relief including an accounting and disgorgement of profits. The defendants submitted that the claims of the proposed class were not sufficiently common, as the plaintiff was unable to demonstrate that the alleged defect caused or was likely to cause a class-wide harm. The defendants further submitted that the individual issues overwhelmed any possible common issues. The defendants stated that in the context of the claim as a whole, a class proceeding was not the preferable procedure. </w:t>
            </w:r>
            <w:r>
              <w:rPr>
                <w:rFonts w:ascii="arial" w:eastAsia="arial" w:hAnsi="arial" w:cs="arial"/>
                <w:sz w:val="20"/>
                <w:lang w:val="en-US" w:eastAsia="en-US" w:bidi="ar-SA"/>
              </w:rPr>
              <w:cr/>
            </w:r>
          </w:p>
          <w:p>
            <w:pPr>
              <w:spacing w:before="120" w:line="260" w:lineRule="atLeast"/>
              <w:ind w:left="240"/>
              <w:jc w:val="both"/>
              <w:rPr>
                <w:rFonts w:ascii="arial" w:eastAsia="arial" w:hAnsi="arial" w:cs="arial"/>
                <w:sz w:val="20"/>
                <w:lang w:val="en-US" w:eastAsia="en-US" w:bidi="ar-SA"/>
              </w:rPr>
            </w:pPr>
            <w:bookmarkStart w:id="324" w:name="Holdings of Court_38"/>
            <w:bookmarkEnd w:id="324"/>
            <w:r>
              <w:rPr>
                <w:rFonts w:ascii="arial" w:eastAsia="arial" w:hAnsi="arial" w:cs="arial"/>
                <w:color w:val="000000"/>
                <w:sz w:val="20"/>
                <w:lang w:val="en-US" w:eastAsia="en-US" w:bidi="ar-SA"/>
              </w:rPr>
              <w:t>HELD: Application allowed on conditional basis.</w:t>
            </w:r>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The pleadings disclosed a cause of action under both the SGA and the BPCPA. It was not plain and obvious that the claim for waiver of tort would fail. There was an evidentiary basis supporting an identifiable class with a rational relationship to the proposed common issues. The primary issues as to whether the door lock mechanism was defective, reasonably fit for its purpose, and of merchantable quality were appropriate common issues. The resolution of those proposed common issues would significantly advance the litigation. Certification of the question regarding when the defendants learned of the defective lock mechanism would permit appropriate discovery to determine the defendants' knowledge during the period that the vehicle was sold in its un-remediated state and assist in the resolution of issues, particularly in relation to the doctrine of waiver of tort. Similarly, resolution of the common issues related to whether the suppliers' representations regarding the quality of the Mazda3 constituted a deceptive act or practice under the BCPA would advance the litigation. Engagement of the doctrine of waiver of tort and liability for accounting and any restitution were appropriate common issues. However, certification of the issue regarding an aggregate award of equivalent damages on behalf of the class was inappropriate, as the defendants' conduct could not be considered in isolation from the individual circumstances of the claimants, and there was no evidentiary basis suggesting uniformity in how claimants' were affected. For the same reasons, the appropriateness and quantum of punitive damages was not amenable to determination as a common issue until after determination of individual issues of causation and compensatory damages. A class proceeding was the preferable procedure for fair, efficient and manageable resolution of the common issues. The action was certified subject to production of a more comprehensive litigation plan. </w:t>
            </w:r>
            <w:r>
              <w:rPr>
                <w:rFonts w:ascii="arial" w:eastAsia="arial" w:hAnsi="arial" w:cs="arial"/>
                <w:sz w:val="20"/>
                <w:lang w:val="en-US" w:eastAsia="en-US" w:bidi="ar-SA"/>
              </w:rPr>
              <w:cr/>
            </w:r>
          </w:p>
          <w:p>
            <w:pPr>
              <w:rPr>
                <w:rFonts w:ascii="arial" w:eastAsia="arial" w:hAnsi="arial" w:cs="arial"/>
                <w:sz w:val="20"/>
                <w:lang w:val="en-US" w:eastAsia="en-US" w:bidi="ar-SA"/>
              </w:rPr>
            </w:pPr>
          </w:p>
        </w:tc>
      </w:tr>
    </w:tbl>
    <w:p>
      <w:pPr>
        <w:jc w:val="both"/>
        <w:rPr>
          <w:rFonts w:ascii="arial" w:eastAsia="arial" w:hAnsi="arial" w:cs="arial"/>
          <w:sz w:val="20"/>
          <w:lang w:val="en-US" w:eastAsia="en-US" w:bidi="ar-SA"/>
        </w:rPr>
      </w:pPr>
      <w:bookmarkStart w:id="325" w:name="Legislation Cited_32"/>
      <w:bookmarkEnd w:id="325"/>
      <w:r>
        <w:rPr>
          <w:rFonts w:ascii="arial" w:eastAsia="arial" w:hAnsi="arial" w:cs="arial"/>
          <w:sz w:val="20"/>
          <w:lang w:val="en-US" w:eastAsia="en-US" w:bidi="ar-SA"/>
        </w:rPr>
        <w:br/>
      </w:r>
    </w:p>
    <w:p>
      <w:pPr>
        <w:keepNext/>
        <w:spacing w:before="24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Statutes, Regulations and Rules Cited:</w:t>
      </w:r>
    </w:p>
    <w:p>
      <w:pPr>
        <w:spacing w:line="60" w:lineRule="exact"/>
        <w:rPr>
          <w:rFonts w:ascii="arial" w:eastAsia="arial" w:hAnsi="arial" w:cs="arial"/>
          <w:sz w:val="20"/>
          <w:lang w:val="en-US" w:eastAsia="en-US" w:bidi="ar-SA"/>
        </w:rPr>
      </w:pPr>
      <w:r>
        <w:pict>
          <v:line id="_x0000_s1257" style="position:absolute;z-index:251758592"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Business Practices and Consumer Protection Act, </w:t>
      </w:r>
      <w:hyperlink r:id="rId1040" w:history="1">
        <w:r>
          <w:rPr>
            <w:rFonts w:ascii="arial" w:eastAsia="arial" w:hAnsi="arial" w:cs="arial"/>
            <w:i/>
            <w:color w:val="0077CC"/>
            <w:sz w:val="20"/>
            <w:u w:val="single"/>
            <w:shd w:val="clear" w:color="auto" w:fill="FFFFFF"/>
            <w:lang w:val="en-US" w:eastAsia="en-US" w:bidi="ar-SA"/>
          </w:rPr>
          <w:t>SBC 2004, CHAPTER 2, s. 1</w:t>
        </w:r>
      </w:hyperlink>
      <w:r>
        <w:rPr>
          <w:rFonts w:ascii="arial" w:eastAsia="arial" w:hAnsi="arial" w:cs="arial"/>
          <w:color w:val="000000"/>
          <w:sz w:val="20"/>
          <w:lang w:val="en-US" w:eastAsia="en-US" w:bidi="ar-SA"/>
        </w:rPr>
        <w:t>, s. 4, s. 4(1), s. 5, s. 171, s. 172</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Class Proceeding Act, </w:t>
      </w:r>
      <w:hyperlink r:id="rId1041" w:history="1">
        <w:r>
          <w:rPr>
            <w:rFonts w:ascii="arial" w:eastAsia="arial" w:hAnsi="arial" w:cs="arial"/>
            <w:i/>
            <w:color w:val="0077CC"/>
            <w:sz w:val="20"/>
            <w:u w:val="single"/>
            <w:shd w:val="clear" w:color="auto" w:fill="FFFFFF"/>
            <w:lang w:val="en-US" w:eastAsia="en-US" w:bidi="ar-SA"/>
          </w:rPr>
          <w:t>RSBC 1996, CHAPTER 50, s. 1</w:t>
        </w:r>
      </w:hyperlink>
      <w:r>
        <w:rPr>
          <w:rFonts w:ascii="arial" w:eastAsia="arial" w:hAnsi="arial" w:cs="arial"/>
          <w:color w:val="000000"/>
          <w:sz w:val="20"/>
          <w:lang w:val="en-US" w:eastAsia="en-US" w:bidi="ar-SA"/>
        </w:rPr>
        <w:t>, s. 4, s. 4(1), s. 4(1)(a), s. 4(1)(b), s. 4(1)(c), s. 4(1)(e), s. 4(2), s. 7, s. 27, s. 29</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Sale of Goods Act, </w:t>
      </w:r>
      <w:hyperlink r:id="rId1042" w:history="1">
        <w:r>
          <w:rPr>
            <w:rFonts w:ascii="arial" w:eastAsia="arial" w:hAnsi="arial" w:cs="arial"/>
            <w:i/>
            <w:color w:val="0077CC"/>
            <w:sz w:val="20"/>
            <w:u w:val="single"/>
            <w:shd w:val="clear" w:color="auto" w:fill="FFFFFF"/>
            <w:lang w:val="en-US" w:eastAsia="en-US" w:bidi="ar-SA"/>
          </w:rPr>
          <w:t>RSBC 1996, CHAPTER 410, s. 1</w:t>
        </w:r>
      </w:hyperlink>
      <w:r>
        <w:rPr>
          <w:rFonts w:ascii="arial" w:eastAsia="arial" w:hAnsi="arial" w:cs="arial"/>
          <w:color w:val="000000"/>
          <w:sz w:val="20"/>
          <w:lang w:val="en-US" w:eastAsia="en-US" w:bidi="ar-SA"/>
        </w:rPr>
        <w:t>, s. 18, s. 18(a), s. 18(b), s. 20</w:t>
      </w:r>
      <w:r>
        <w:rPr>
          <w:rFonts w:ascii="arial" w:eastAsia="arial" w:hAnsi="arial" w:cs="arial"/>
          <w:sz w:val="20"/>
          <w:lang w:val="en-US" w:eastAsia="en-US" w:bidi="ar-SA"/>
        </w:rPr>
        <w:cr/>
      </w:r>
    </w:p>
    <w:p>
      <w:pPr>
        <w:keepNext/>
        <w:spacing w:before="240" w:line="340" w:lineRule="atLeast"/>
        <w:rPr>
          <w:rFonts w:ascii="arial" w:eastAsia="arial" w:hAnsi="arial" w:cs="arial"/>
          <w:sz w:val="20"/>
          <w:lang w:val="en-US" w:eastAsia="en-US" w:bidi="ar-SA"/>
        </w:rPr>
      </w:pPr>
      <w:bookmarkStart w:id="326" w:name="Counsel_46"/>
      <w:bookmarkEnd w:id="326"/>
      <w:r>
        <w:rPr>
          <w:rFonts w:ascii="arial" w:eastAsia="arial" w:hAnsi="arial" w:cs="arial"/>
          <w:b/>
          <w:color w:val="000000"/>
          <w:sz w:val="28"/>
          <w:lang w:val="en-US" w:eastAsia="en-US" w:bidi="ar-SA"/>
        </w:rPr>
        <w:t>Counsel</w:t>
      </w:r>
    </w:p>
    <w:p>
      <w:pPr>
        <w:spacing w:line="60" w:lineRule="exact"/>
        <w:rPr>
          <w:rFonts w:ascii="arial" w:eastAsia="arial" w:hAnsi="arial" w:cs="arial"/>
          <w:sz w:val="20"/>
          <w:lang w:val="en-US" w:eastAsia="en-US" w:bidi="ar-SA"/>
        </w:rPr>
      </w:pPr>
      <w:r>
        <w:pict>
          <v:line id="_x0000_s1258" style="position:absolute;z-index:251809792"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Counsel for the Plaintiff: J.A. Hanson and M. Willemse.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Counsel for the Defendants: B.W. Dixon and M.T. Maniago.</w:t>
      </w:r>
      <w:r>
        <w:rPr>
          <w:rFonts w:ascii="arial" w:eastAsia="arial" w:hAnsi="arial" w:cs="arial"/>
          <w:sz w:val="20"/>
          <w:lang w:val="en-US" w:eastAsia="en-US" w:bidi="ar-SA"/>
        </w:rPr>
        <w:cr/>
      </w:r>
    </w:p>
    <w:p>
      <w:pPr>
        <w:spacing w:after="240"/>
        <w:rPr>
          <w:rFonts w:ascii="arial" w:eastAsia="arial" w:hAnsi="arial" w:cs="arial"/>
          <w:sz w:val="20"/>
          <w:lang w:val="en-US" w:eastAsia="en-US" w:bidi="ar-SA"/>
        </w:rPr>
      </w:pPr>
      <w:bookmarkStart w:id="327" w:name="Judgment_47"/>
      <w:bookmarkEnd w:id="327"/>
      <w:r>
        <w:pict>
          <v:line id="_x0000_s1259" style="position:absolute;z-index:251858944" from="0,12pt" to="512pt,12pt" strokecolor="#009ddb" strokeweight="1.5pt">
            <v:stroke linestyle="single"/>
          </v:line>
        </w:pict>
      </w:r>
    </w:p>
    <w:p>
      <w:pPr>
        <w:spacing w:before="120" w:line="260" w:lineRule="atLeast"/>
        <w:jc w:val="center"/>
        <w:rPr>
          <w:rFonts w:ascii="arial" w:eastAsia="arial" w:hAnsi="arial" w:cs="arial"/>
          <w:sz w:val="20"/>
          <w:lang w:val="en-US" w:eastAsia="en-US" w:bidi="ar-SA"/>
        </w:rPr>
      </w:pPr>
      <w:r>
        <w:rPr>
          <w:rFonts w:ascii="arial" w:eastAsia="arial" w:hAnsi="arial" w:cs="arial"/>
          <w:b/>
          <w:color w:val="000000"/>
          <w:sz w:val="20"/>
          <w:lang w:val="en-US" w:eastAsia="en-US" w:bidi="ar-SA"/>
        </w:rPr>
        <w:t>Reasons for Judgment</w:t>
      </w:r>
      <w:r>
        <w:rPr>
          <w:rFonts w:ascii="arial" w:eastAsia="arial" w:hAnsi="arial" w:cs="arial"/>
          <w:sz w:val="20"/>
          <w:lang w:val="en-US" w:eastAsia="en-US" w:bidi="ar-SA"/>
        </w:rPr>
        <w:cr/>
      </w:r>
    </w:p>
    <w:p>
      <w:pPr>
        <w:rPr>
          <w:rFonts w:ascii="arial" w:eastAsia="arial" w:hAnsi="arial" w:cs="arial"/>
          <w:sz w:val="20"/>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2187"/>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rFonts w:ascii="arial" w:eastAsia="arial" w:hAnsi="arial" w:cs="arial"/>
                <w:sz w:val="20"/>
                <w:lang w:val="en-US" w:eastAsia="en-US" w:bidi="ar-SA"/>
              </w:rPr>
            </w:pPr>
            <w:bookmarkStart w:id="328" w:name="D.J. DARDI J._0"/>
            <w:bookmarkEnd w:id="328"/>
            <w:r>
              <w:rPr>
                <w:rFonts w:ascii="arial" w:eastAsia="arial" w:hAnsi="arial" w:cs="arial"/>
                <w:b/>
                <w:color w:val="000000"/>
                <w:sz w:val="30"/>
                <w:lang w:val="en-US" w:eastAsia="en-US" w:bidi="ar-SA"/>
              </w:rPr>
              <w:t>D.J. DARDI J.</w:t>
            </w:r>
          </w:p>
        </w:tc>
      </w:tr>
    </w:tbl>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INTRODUCTION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The proposed representative plaintiff, Alisha Koubi, leased a 2007 Mazda3 from the defendant dealer, Signature Mazda on September 24, 2006. She asserts that there is a defect in the door lock mechanism of the Mazda3, which permits entry without use of either a tool or a key.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xml:space="preserve">  Ms. Koubi seeks to certify her action as a class proceeding pursuant to the </w:t>
      </w:r>
      <w:r>
        <w:rPr>
          <w:rFonts w:ascii="arial" w:eastAsia="arial" w:hAnsi="arial" w:cs="arial"/>
          <w:i/>
          <w:color w:val="000000"/>
          <w:sz w:val="20"/>
          <w:lang w:val="en-US" w:eastAsia="en-US" w:bidi="ar-SA"/>
        </w:rPr>
        <w:t>Class Proceeding Act</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R.S.B.C. 1996, c. 50</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CPA</w:t>
      </w:r>
      <w:r>
        <w:rPr>
          <w:rFonts w:ascii="arial" w:eastAsia="arial" w:hAnsi="arial" w:cs="arial"/>
          <w:color w:val="000000"/>
          <w:sz w:val="20"/>
          <w:lang w:val="en-US" w:eastAsia="en-US" w:bidi="ar-SA"/>
        </w:rPr>
        <w:t>]. The defendants oppose this application.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xml:space="preserve">  The issue on this application is whether the plaintiff's action is suitable for certification. To establish her action as a class proceeding, the plaintiff must satisfy the criteria set out in s. 4(1) of the </w:t>
      </w:r>
      <w:r>
        <w:rPr>
          <w:rFonts w:ascii="arial" w:eastAsia="arial" w:hAnsi="arial" w:cs="arial"/>
          <w:i/>
          <w:color w:val="000000"/>
          <w:sz w:val="20"/>
          <w:lang w:val="en-US" w:eastAsia="en-US" w:bidi="ar-SA"/>
        </w:rPr>
        <w:t>CPA</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The definition of the class which the plaintiff seeks to certify is: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All owners and lessees of Mazda3 vehicles with a door lock mechanism of equivalent design to that of the Plaintiff's vehicle, who bought or leased their vehicles from one of the Defendant Dealers and who are residents of the Province of British Columbia (the "Class").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The subject Mazda3 vehicles were produced for Canada from October 2003 through December 31, 2006, and were sold through a network of 20 authorized dealers in B.C. All of the 20 authorized dealers are defendants in the action. The entire class purchased its vehicles from one of these dealers and, as a result, have a direct contractual relationship with one of the defendants. Defence counsel has entered one appearance on behalf of all of the defendants with the exception of four defendants who they advise are not active dealers.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Class action lawsuits have been commenced in B.C. (the within action), Ontario and Quebec concerning the alleged Mazda3 door lock defect.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Before turning to the analysis, it is necessary to outline the positions of the parties and briefly summarize the evidence upon which they rely. In doing so, I am not making any findings of fact nor resolving any conflicts in the evidence.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POSITION OF THE PARTIES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Plaintiff's Position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The plaintiff submits that if the case is not certified as a class action, it will be uneconomic for individual claimants to proceed with the litigation. The common questions will remain unanswered and the defendants will have avoided being held accountable for their actions. In the plaintiff's submission, the class will be denied access to justice.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The plaintiff seeks an order that the common issues to be determined in these proceedings are as follows:</w:t>
      </w:r>
      <w:r>
        <w:rPr>
          <w:rFonts w:ascii="arial" w:eastAsia="arial" w:hAnsi="arial" w:cs="arial"/>
          <w:sz w:val="20"/>
          <w:lang w:val="en-US" w:eastAsia="en-US" w:bidi="ar-SA"/>
        </w:rPr>
        <w:cr/>
      </w:r>
    </w:p>
    <w:p>
      <w:pPr>
        <w:numPr>
          <w:numId w:val="16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Was the door lock mechanism defective?</w:t>
      </w:r>
    </w:p>
    <w:p>
      <w:pPr>
        <w:numPr>
          <w:numId w:val="2"/>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Did the sale or lease of the Mazda3 vehicles with this door lock mechanism breach the implied warranties as to quality and fitness pursuant to ss. 18(a) and (b) of the </w:t>
      </w:r>
      <w:r>
        <w:rPr>
          <w:rFonts w:ascii="arial" w:eastAsia="arial" w:hAnsi="arial" w:cs="arial"/>
          <w:i/>
          <w:color w:val="000000"/>
          <w:sz w:val="20"/>
          <w:lang w:val="en-US" w:eastAsia="en-US" w:bidi="ar-SA"/>
        </w:rPr>
        <w:t>Sale of Goods</w:t>
      </w:r>
      <w:r>
        <w:rPr>
          <w:rFonts w:ascii="arial" w:eastAsia="arial" w:hAnsi="arial" w:cs="arial"/>
          <w:color w:val="000000"/>
          <w:sz w:val="20"/>
          <w:lang w:val="en-US" w:eastAsia="en-US" w:bidi="ar-SA"/>
        </w:rPr>
        <w:t xml:space="preserve"> Act, </w:t>
      </w:r>
      <w:r>
        <w:rPr>
          <w:rFonts w:ascii="arial" w:eastAsia="arial" w:hAnsi="arial" w:cs="arial"/>
          <w:i/>
          <w:color w:val="000000"/>
          <w:sz w:val="20"/>
          <w:lang w:val="en-US" w:eastAsia="en-US" w:bidi="ar-SA"/>
        </w:rPr>
        <w:t>R.S.B.C. 1996, c. 410</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SGA</w:t>
      </w:r>
      <w:r>
        <w:rPr>
          <w:rFonts w:ascii="arial" w:eastAsia="arial" w:hAnsi="arial" w:cs="arial"/>
          <w:color w:val="000000"/>
          <w:sz w:val="20"/>
          <w:lang w:val="en-US" w:eastAsia="en-US" w:bidi="ar-SA"/>
        </w:rPr>
        <w:t>]?</w:t>
      </w:r>
    </w:p>
    <w:p>
      <w:pPr>
        <w:numPr>
          <w:numId w:val="3"/>
        </w:numPr>
        <w:tabs>
          <w:tab w:val="num" w:pos="1120"/>
          <w:tab w:val="clear" w:pos="184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On what date did the defendants learn that the door lock mechanism in these Mazda3 vehicles was defective?</w:t>
      </w:r>
    </w:p>
    <w:p>
      <w:pPr>
        <w:numPr>
          <w:numId w:val="4"/>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Did the defendant supplier's representations or lack thereof concerning the performance characteristics and quality of the Mazda3 vehicle constitute "deceptive acts" under the </w:t>
      </w:r>
      <w:r>
        <w:rPr>
          <w:rFonts w:ascii="arial" w:eastAsia="arial" w:hAnsi="arial" w:cs="arial"/>
          <w:i/>
          <w:color w:val="000000"/>
          <w:sz w:val="20"/>
          <w:lang w:val="en-US" w:eastAsia="en-US" w:bidi="ar-SA"/>
        </w:rPr>
        <w:t>Business Practices and Consumer Protection Act</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S.B.C. 2004, c. 2</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BPCPA</w:t>
      </w:r>
      <w:r>
        <w:rPr>
          <w:rFonts w:ascii="arial" w:eastAsia="arial" w:hAnsi="arial" w:cs="arial"/>
          <w:color w:val="000000"/>
          <w:sz w:val="20"/>
          <w:lang w:val="en-US" w:eastAsia="en-US" w:bidi="ar-SA"/>
        </w:rPr>
        <w:t>]?</w:t>
      </w:r>
    </w:p>
    <w:p>
      <w:pPr>
        <w:numPr>
          <w:numId w:val="5"/>
        </w:numPr>
        <w:tabs>
          <w:tab w:val="num" w:pos="1120"/>
          <w:tab w:val="clear" w:pos="184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If the answer to question 4 is yes, did the defendant supplier do so with knowledge that its representations were false?</w:t>
      </w:r>
    </w:p>
    <w:p>
      <w:pPr>
        <w:numPr>
          <w:numId w:val="6"/>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Is the Class entitled to damages for loss of use and enjoyment of their vehicles on an aggregate basis pursuant to s. 29 of the </w:t>
      </w:r>
      <w:r>
        <w:rPr>
          <w:rFonts w:ascii="arial" w:eastAsia="arial" w:hAnsi="arial" w:cs="arial"/>
          <w:i/>
          <w:color w:val="000000"/>
          <w:sz w:val="20"/>
          <w:lang w:val="en-US" w:eastAsia="en-US" w:bidi="ar-SA"/>
        </w:rPr>
        <w:t>CPA</w:t>
      </w:r>
      <w:r>
        <w:rPr>
          <w:rFonts w:ascii="arial" w:eastAsia="arial" w:hAnsi="arial" w:cs="arial"/>
          <w:color w:val="000000"/>
          <w:sz w:val="20"/>
          <w:lang w:val="en-US" w:eastAsia="en-US" w:bidi="ar-SA"/>
        </w:rPr>
        <w:t>?</w:t>
      </w:r>
    </w:p>
    <w:p>
      <w:pPr>
        <w:numPr>
          <w:numId w:val="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Is part or all of the Class entitled to punitive damages?</w:t>
      </w:r>
    </w:p>
    <w:p>
      <w:pPr>
        <w:numPr>
          <w:numId w:val="8"/>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If part or all of the Class is entitled to punitive damages, what is the quantum of such damages, and is the Class entitled to an award of such damages on an aggregate basis pursuant to s. 29 of the </w:t>
      </w:r>
      <w:r>
        <w:rPr>
          <w:rFonts w:ascii="arial" w:eastAsia="arial" w:hAnsi="arial" w:cs="arial"/>
          <w:i/>
          <w:color w:val="000000"/>
          <w:sz w:val="20"/>
          <w:lang w:val="en-US" w:eastAsia="en-US" w:bidi="ar-SA"/>
        </w:rPr>
        <w:t>CPA</w:t>
      </w:r>
      <w:r>
        <w:rPr>
          <w:rFonts w:ascii="arial" w:eastAsia="arial" w:hAnsi="arial" w:cs="arial"/>
          <w:color w:val="000000"/>
          <w:sz w:val="20"/>
          <w:lang w:val="en-US" w:eastAsia="en-US" w:bidi="ar-SA"/>
        </w:rPr>
        <w:t>?</w:t>
      </w:r>
    </w:p>
    <w:p>
      <w:pPr>
        <w:numPr>
          <w:numId w:val="9"/>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By virtue of waiver of tort, are the defendants liable, on a restitutionary basis, to account to the Class for any part of the proceeds of the sale of Mazda3 vehicles?</w:t>
      </w:r>
    </w:p>
    <w:p>
      <w:pPr>
        <w:numPr>
          <w:numId w:val="10"/>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If the defendants are liable to the Class on a restitutionary basis, in what amount are they liable?</w:t>
      </w:r>
    </w:p>
    <w:p>
      <w:pPr>
        <w:numPr>
          <w:numId w:val="11"/>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Is eligibility for some or all or part of the relief claimed by the Class dependant on the class members having acquired their vehicles primarily for "personal, family or household" purposes as opposed to primarily "business" purposes?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The plaintiff seeks to hold Mazda Canada Inc. ("Mazda Canada") and its authorized dealers responsible for mental distress and punitive damages. She claims she and all owners of Mazda3 vehicles have suffered fear and upset at the prospect that their vehicles might be the subject to criminal break and entry. For purposes of this certification hearing, the plaintiff has abandoned the claim for property loss or damage relating to any actual or attempted break-in.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The plaintiff also seeks restitutionary relief including an accounting and disgorgement of profits.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Plaintiff's Evidence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When deciding which car to lease or purchase, Ms. Koubi researched the features of the 2007 Mazda3. She began to investigate the purchase of a new vehicle in late 2005 and continued her research until September 2006 when she decided to lease the Mazda3. For the most part, she conducted her research online but also spoke with a salesperson at Signature Mazda and reviewed promotional literature concerning the features of the Mazda3.</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Ms. Koubi claims that in deciding which type of vehicle to lease or purchase she looked for a vehicle with good quality security features including quality door locks because her job involves travelling between job sites with her laptop and confidential documents.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Website promotional materials and brochure literature concerning the Mazda3 vehicles claimed that the vehicle had "high levels of craftsmanship" and a "strong" design with many "telltale signs of Mazda quality and attention to detail", including "door locks".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w:t>
      </w:r>
      <w:r>
        <w:rPr>
          <w:rFonts w:ascii="arial" w:eastAsia="arial" w:hAnsi="arial" w:cs="arial"/>
          <w:color w:val="000000"/>
          <w:sz w:val="20"/>
          <w:lang w:val="en-US" w:eastAsia="en-US" w:bidi="ar-SA"/>
        </w:rPr>
        <w:t>  While the brochure made these claims about quality, owners of the Mazda3 vehicle were experiencing widespread keyless break-ins, leaving the vehicles with dents above the driver's side door. After becoming aware of the door lock problem, Ms. Koubi started to notice a large number of Mazda3 vehicles with dents around the driver's side door.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w:t>
      </w:r>
      <w:r>
        <w:rPr>
          <w:rFonts w:ascii="arial" w:eastAsia="arial" w:hAnsi="arial" w:cs="arial"/>
          <w:color w:val="000000"/>
          <w:sz w:val="20"/>
          <w:lang w:val="en-US" w:eastAsia="en-US" w:bidi="ar-SA"/>
        </w:rPr>
        <w:t>  The alleged defect existed in all Mazda3 automobiles for the model years 2004 to 2006 and part of 2007. According to estimates of Mazda Canada, approximately 17,909 vehicles were sold in B.C. with the same lock mechanism during the model years 2004 to 2007.</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w:t>
      </w:r>
      <w:r>
        <w:rPr>
          <w:rFonts w:ascii="arial" w:eastAsia="arial" w:hAnsi="arial" w:cs="arial"/>
          <w:color w:val="000000"/>
          <w:sz w:val="20"/>
          <w:lang w:val="en-US" w:eastAsia="en-US" w:bidi="ar-SA"/>
        </w:rPr>
        <w:t>  At the end of January 2007, Mazda Canada made available to authorized dearlers on request a reinforcement plate (the "Reinforcement") to address the alleged defective door lock mechanism. However, until January 2008, when it instituted a "Special Service Program", Mazda Canada only advised Mazda3 owners and lessees of availability of the Reinforcement if those owners and lessees complained to their dealerships.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w:t>
      </w:r>
      <w:r>
        <w:rPr>
          <w:rFonts w:ascii="arial" w:eastAsia="arial" w:hAnsi="arial" w:cs="arial"/>
          <w:color w:val="000000"/>
          <w:sz w:val="20"/>
          <w:lang w:val="en-US" w:eastAsia="en-US" w:bidi="ar-SA"/>
        </w:rPr>
        <w:t>  Ms. Koubi's vehicle had the Reinforcement installed at no charge during a servicing of her vehicle on September 7, 2007. She did not receive the January and April 2008 letters from Mazda Canada offering the free installation of the Reinforcement and a rebate offer towards the purchase and installation of a shock sensor alarm. She is aware of this letter because she received a copy from another Mazda3 owner.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w:t>
      </w:r>
      <w:r>
        <w:rPr>
          <w:rFonts w:ascii="arial" w:eastAsia="arial" w:hAnsi="arial" w:cs="arial"/>
          <w:color w:val="000000"/>
          <w:sz w:val="20"/>
          <w:lang w:val="en-US" w:eastAsia="en-US" w:bidi="ar-SA"/>
        </w:rPr>
        <w:t>  Ms. Koubi claims that she would not have purchased the vehicle had she known of the problem. She remains concerned that someone might attempt to break into her vehicle and states that she must be "extra careful where [she] parks the vehicle". She believes the door lock defect "has attached a stigma to [her] Mazda3 vehicle". She has not been the victim of any criminal attack on her vehicle.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w:t>
      </w:r>
      <w:r>
        <w:rPr>
          <w:rFonts w:ascii="arial" w:eastAsia="arial" w:hAnsi="arial" w:cs="arial"/>
          <w:color w:val="000000"/>
          <w:sz w:val="20"/>
          <w:lang w:val="en-US" w:eastAsia="en-US" w:bidi="ar-SA"/>
        </w:rPr>
        <w:t>  Plaintiff's counsel retained a metallurgical engineer, Murray Swayze, to conduct a failure analysis concerning the driver's side door locks on the Mazda3 vehicles.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w:t>
      </w:r>
      <w:r>
        <w:rPr>
          <w:rFonts w:ascii="arial" w:eastAsia="arial" w:hAnsi="arial" w:cs="arial"/>
          <w:color w:val="000000"/>
          <w:sz w:val="20"/>
          <w:lang w:val="en-US" w:eastAsia="en-US" w:bidi="ar-SA"/>
        </w:rPr>
        <w:t>  Mr. Swayze prepared a report dated April 1, 2008 in which he describes the nature of his investigation, discusses his findings and sets out his conclusions concerning the break-in potential of vehicles with the relevant door lock mechanism:</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Conclusions:</w:t>
      </w:r>
    </w:p>
    <w:p>
      <w:pPr>
        <w:numPr>
          <w:numId w:val="1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attempted drivers' side door break-in on the Mazda 3 car ... in this investigation was repeatedly successful using the low impact load applied by a soft shoulder check.</w:t>
      </w:r>
    </w:p>
    <w:p>
      <w:pPr>
        <w:numPr>
          <w:numId w:val="1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drivers' side door break-in was successful due to a combination of the following:</w:t>
      </w:r>
    </w:p>
    <w:p>
      <w:pPr>
        <w:numPr>
          <w:numId w:val="14"/>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The very low strength of the door skin, which allowed deformation and thus displacement of the door lock barrel relative to the lock module under low loads.</w:t>
      </w:r>
    </w:p>
    <w:p>
      <w:pPr>
        <w:numPr>
          <w:numId w:val="14"/>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The lack of structural support between the door skin mounted key lock barrel and the door lock module.</w:t>
      </w:r>
    </w:p>
    <w:p>
      <w:pPr>
        <w:numPr>
          <w:numId w:val="14"/>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The Mazda 3 door lock design component that required a downward motion of the door lock linkage to unlock the drivers' side door.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w:t>
      </w:r>
      <w:r>
        <w:rPr>
          <w:rFonts w:ascii="arial" w:eastAsia="arial" w:hAnsi="arial" w:cs="arial"/>
          <w:color w:val="000000"/>
          <w:sz w:val="20"/>
          <w:lang w:val="en-US" w:eastAsia="en-US" w:bidi="ar-SA"/>
        </w:rPr>
        <w:t>  Mr. Swayze examined a Mazda3 door lock that had been modified with the Reinforcement and described it as a "significant modification" involving the "inclusion of the relatively large bracket", which is "attached to the door lock key barrel by a bolt and to the door lock module by a screw".</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Defendants' Position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w:t>
      </w:r>
      <w:r>
        <w:rPr>
          <w:rFonts w:ascii="arial" w:eastAsia="arial" w:hAnsi="arial" w:cs="arial"/>
          <w:color w:val="000000"/>
          <w:sz w:val="20"/>
          <w:lang w:val="en-US" w:eastAsia="en-US" w:bidi="ar-SA"/>
        </w:rPr>
        <w:t>  The defendants submit that class proceedings impose a considerable burden on defendants and the courts. Even a claim that is without merit can have significant adverse repercussions for a defendant's commercial reputation when an official notice of certification is published. As a result, the courts should rigorously scrutinize applications for certification.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w:t>
      </w:r>
      <w:r>
        <w:rPr>
          <w:rFonts w:ascii="arial" w:eastAsia="arial" w:hAnsi="arial" w:cs="arial"/>
          <w:color w:val="000000"/>
          <w:sz w:val="20"/>
          <w:lang w:val="en-US" w:eastAsia="en-US" w:bidi="ar-SA"/>
        </w:rPr>
        <w:t xml:space="preserve">  The defendants' primary opposition to this application is grounded in the submission that the claims of the proposed class are not sufficiently common to meet the requirements of s. 4(1)(c) of the </w:t>
      </w:r>
      <w:r>
        <w:rPr>
          <w:rFonts w:ascii="arial" w:eastAsia="arial" w:hAnsi="arial" w:cs="arial"/>
          <w:i/>
          <w:color w:val="000000"/>
          <w:sz w:val="20"/>
          <w:lang w:val="en-US" w:eastAsia="en-US" w:bidi="ar-SA"/>
        </w:rPr>
        <w:t>CPA</w:t>
      </w:r>
      <w:r>
        <w:rPr>
          <w:rFonts w:ascii="arial" w:eastAsia="arial" w:hAnsi="arial" w:cs="arial"/>
          <w:color w:val="000000"/>
          <w:sz w:val="20"/>
          <w:lang w:val="en-US" w:eastAsia="en-US" w:bidi="ar-SA"/>
        </w:rPr>
        <w:t>. The overarching theme of their argument is that the plaintiff is unable to demonstrate that the alleged defect caused or is likely to cause a class-wide harm. There is no basis upon which to conclude that a trial of this proposed representative plaintiff's claims would avoid duplication of fact-finding in respect of any other claim. The individual issues overwhelm any possible common issues, and in the context of the claim as a whole, a class proceeding is not the preferable procedure.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Defendants' Evidence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w:t>
      </w:r>
      <w:r>
        <w:rPr>
          <w:rFonts w:ascii="arial" w:eastAsia="arial" w:hAnsi="arial" w:cs="arial"/>
          <w:color w:val="000000"/>
          <w:sz w:val="20"/>
          <w:lang w:val="en-US" w:eastAsia="en-US" w:bidi="ar-SA"/>
        </w:rPr>
        <w:t>  The defendants present statistics from the B.C. Ministry of Public Safety and Solicitor General that show significant variance in the relative incidence of thefts from automobiles among different communities. For example, in 2004 the rate of theft from auto offences per 1,000 people in Nanaimo was 32.6, while in Delta it was 6.4. This variance, they argue, suggests there is no commonality to the experiences of criminal attacks on vehicles across B.C.</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w:t>
      </w:r>
      <w:r>
        <w:rPr>
          <w:rFonts w:ascii="arial" w:eastAsia="arial" w:hAnsi="arial" w:cs="arial"/>
          <w:color w:val="000000"/>
          <w:sz w:val="20"/>
          <w:lang w:val="en-US" w:eastAsia="en-US" w:bidi="ar-SA"/>
        </w:rPr>
        <w:t>  The defendants rely on the expert evidence of Kevin Jewell, a qualified locksmith. In his report, he asserts that any vehicle can be broken into by methods ranging in sophistication from simply breaking a side window to manipulating the lock cylinder with tools. Locks and alarm systems serve as deterrents only.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w:t>
      </w:r>
      <w:r>
        <w:rPr>
          <w:rFonts w:ascii="arial" w:eastAsia="arial" w:hAnsi="arial" w:cs="arial"/>
          <w:color w:val="000000"/>
          <w:sz w:val="20"/>
          <w:lang w:val="en-US" w:eastAsia="en-US" w:bidi="ar-SA"/>
        </w:rPr>
        <w:t>  The design and operation of the Mazda3 lock assembly is, in the opinion of Mr. Jewell, not uncommon. While he acknowledges that it is conceivable that a criminal could use forcible distortion of the outer door panel to manipulate the linkage rods in the lock mechanism, he deposes at para. 41 of his affidavit: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It is my opinion that the lock assembly used in the manufacture of model year 2004 to 2007 Mazda 3 is inherently as strong as the lock systems used by many other automotive manufacturers producing vehicles for the North American market. The Mazda Lock Assembly is in fact resistant against some of the methods of physical compromise commonly used by thieves and holds certain advantages over other automotive lock systems in use in some other vehicles in the North American market.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w:t>
      </w:r>
      <w:r>
        <w:rPr>
          <w:rFonts w:ascii="arial" w:eastAsia="arial" w:hAnsi="arial" w:cs="arial"/>
          <w:color w:val="000000"/>
          <w:sz w:val="20"/>
          <w:lang w:val="en-US" w:eastAsia="en-US" w:bidi="ar-SA"/>
        </w:rPr>
        <w:t>  Donald MacPhee, the Director of Customer Service and Parts for Mazda Canada, deposes that all Mazda3 vehicles met the Canadian Motor Vehicle Safety Standards in force on the date of the production of the vehicles.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w:t>
      </w:r>
      <w:r>
        <w:rPr>
          <w:rFonts w:ascii="arial" w:eastAsia="arial" w:hAnsi="arial" w:cs="arial"/>
          <w:color w:val="000000"/>
          <w:sz w:val="20"/>
          <w:lang w:val="en-US" w:eastAsia="en-US" w:bidi="ar-SA"/>
        </w:rPr>
        <w:t>  He first became aware of a criminal attack on a Mazda3 vehicle on or about October 2, 2006. According to Mr. MacPhee, Mazda Canada introduced the Reinforcement to the assembly process on or about December 31, 2006 (part-way through the 2007 model year). The production change applied to all vehicles bound for the North American market as it was not feasible to distinguish among vehicles during production. The Reinforcement was developed as a countermeasure to address customer satisfaction issues because of reports received by Mazda Canada of criminal attacks on Mazda3 vehicles, centered principally in the Victoria, B.C. area. He deposes at paras. 26-27 of his affidavit: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Mazda Motor Corporation developed as a counter-measure a lock protector, a reinforcement that mounts to the lock cylinder and provides a brace between the door lock cylinder assembly and the door latch assembly. This entailed, among other things, design and manufacture of a new lock cylinder housing with an additional attachment point and the design and manufacture of the bracket itself.</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As referred to above, the lock reinforcement was introduced to the assembly line on or about December 31, 2006. There was a later change to the bracket, including an additional mounting point on the door latch assembly, and that running change was made on the production line in or about May 2007.</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w:t>
      </w:r>
      <w:r>
        <w:rPr>
          <w:rFonts w:ascii="arial" w:eastAsia="arial" w:hAnsi="arial" w:cs="arial"/>
          <w:color w:val="000000"/>
          <w:sz w:val="20"/>
          <w:lang w:val="en-US" w:eastAsia="en-US" w:bidi="ar-SA"/>
        </w:rPr>
        <w:t>  Mazda Canada claims that they took measures to deal with the situation soon after they began receiving reports of criminal attacks on Mazda3 vehicles. As of February 2007, the criminal attacks were largely confined to the Vancouver and Victoria areas of B.C. As of February 28, 2007, when either a Mazda3 vehicle was brought in for service, a customer contacted a dealer regarding an attack on their vehicle, or a customer expressed any concern about a potential attack, B.C. dealers were to seek approval from the customer and install the Reinforcement at no charge.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w:t>
      </w:r>
      <w:r>
        <w:rPr>
          <w:rFonts w:ascii="arial" w:eastAsia="arial" w:hAnsi="arial" w:cs="arial"/>
          <w:color w:val="000000"/>
          <w:sz w:val="20"/>
          <w:lang w:val="en-US" w:eastAsia="en-US" w:bidi="ar-SA"/>
        </w:rPr>
        <w:t>  Mazda Canada also began working with law enforcement authorities to deter attempts on criminal attacks on the subject Mazda3 vehicles.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w:t>
      </w:r>
      <w:r>
        <w:rPr>
          <w:rFonts w:ascii="arial" w:eastAsia="arial" w:hAnsi="arial" w:cs="arial"/>
          <w:color w:val="000000"/>
          <w:sz w:val="20"/>
          <w:lang w:val="en-US" w:eastAsia="en-US" w:bidi="ar-SA"/>
        </w:rPr>
        <w:t>  Mazda Canada states that it was reluctant to publicize the problem because media reports and dissemination on the internet of information on the Mazda3 attacks appeared to exacerbate the problem and increase the frequency of break-ins. According to Mr. MacPhee, through the course of 2007, customers were experiencing criminal attacks throughout different parts of Canada, although not to the extent experienced in the larger urban centres of B.C.</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w:t>
      </w:r>
      <w:r>
        <w:rPr>
          <w:rFonts w:ascii="arial" w:eastAsia="arial" w:hAnsi="arial" w:cs="arial"/>
          <w:color w:val="000000"/>
          <w:sz w:val="20"/>
          <w:lang w:val="en-US" w:eastAsia="en-US" w:bidi="ar-SA"/>
        </w:rPr>
        <w:t>  To deter criminal attacks and ensure customer satisfaction, Mazda Canada eventually decided to offer the Reinforcement to owners or lessees of the subject Mazda3 vehicles across Canada through a "Special Service Program". Mazda Canada implements a Special Service Program when it is necessary to institute a national customer contact program; a letter is sent out by Mazda Canada to all owners or lessees of subject vehicles across the country requesting that they make arrangements to attend at a local dealership to have a particular issue addressed. Pursuant to this Special Service Program, Mazda Canada offered free installation of the Reinforcement, if it had not already been installed, and a rebate offer towards the purchase and installation of a shock sensor system. Based on their customer contact information at the time, Mazda Canada eventually mailed two letters dated January 2008 and April 2008 to the owners and lessees of the subject Mazda3 vehicles "explaining" the Special Service Program.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34</w:t>
      </w:r>
      <w:r>
        <w:rPr>
          <w:rFonts w:ascii="arial" w:eastAsia="arial" w:hAnsi="arial" w:cs="arial"/>
          <w:color w:val="000000"/>
          <w:sz w:val="20"/>
          <w:lang w:val="en-US" w:eastAsia="en-US" w:bidi="ar-SA"/>
        </w:rPr>
        <w:t>  By March 31, 2009, the completion rate for the installation of the Reinforcements in Mazda3 vehicles bought or leased in B.C. was approximately 84 percent.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CERTIFICATION REQUIREMENTS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35</w:t>
      </w:r>
      <w:r>
        <w:rPr>
          <w:rFonts w:ascii="arial" w:eastAsia="arial" w:hAnsi="arial" w:cs="arial"/>
          <w:color w:val="000000"/>
          <w:sz w:val="20"/>
          <w:lang w:val="en-US" w:eastAsia="en-US" w:bidi="ar-SA"/>
        </w:rPr>
        <w:t xml:space="preserve">  The </w:t>
      </w:r>
      <w:r>
        <w:rPr>
          <w:rFonts w:ascii="arial" w:eastAsia="arial" w:hAnsi="arial" w:cs="arial"/>
          <w:i/>
          <w:color w:val="000000"/>
          <w:sz w:val="20"/>
          <w:lang w:val="en-US" w:eastAsia="en-US" w:bidi="ar-SA"/>
        </w:rPr>
        <w:t>CPA</w:t>
      </w:r>
      <w:r>
        <w:rPr>
          <w:rFonts w:ascii="arial" w:eastAsia="arial" w:hAnsi="arial" w:cs="arial"/>
          <w:color w:val="000000"/>
          <w:sz w:val="20"/>
          <w:lang w:val="en-US" w:eastAsia="en-US" w:bidi="ar-SA"/>
        </w:rPr>
        <w:t xml:space="preserve"> is a procedural statute. Section 4 of the </w:t>
      </w:r>
      <w:r>
        <w:rPr>
          <w:rFonts w:ascii="arial" w:eastAsia="arial" w:hAnsi="arial" w:cs="arial"/>
          <w:i/>
          <w:color w:val="000000"/>
          <w:sz w:val="20"/>
          <w:lang w:val="en-US" w:eastAsia="en-US" w:bidi="ar-SA"/>
        </w:rPr>
        <w:t>CPA</w:t>
      </w:r>
      <w:r>
        <w:rPr>
          <w:rFonts w:ascii="arial" w:eastAsia="arial" w:hAnsi="arial" w:cs="arial"/>
          <w:color w:val="000000"/>
          <w:sz w:val="20"/>
          <w:lang w:val="en-US" w:eastAsia="en-US" w:bidi="ar-SA"/>
        </w:rPr>
        <w:t xml:space="preserve"> sets out the statutory requirements for certification and provides: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4 (1) The court must certify a proceeding as a class proceeding on an application under section 2 or 3 if all of the following requirements are met:</w:t>
      </w:r>
    </w:p>
    <w:p>
      <w:pPr>
        <w:numPr>
          <w:numId w:val="1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pleadings disclose a cause of action;</w:t>
      </w:r>
    </w:p>
    <w:p>
      <w:pPr>
        <w:numPr>
          <w:numId w:val="1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there is an identifiable class of 2 or more persons;</w:t>
      </w:r>
    </w:p>
    <w:p>
      <w:pPr>
        <w:numPr>
          <w:numId w:val="1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claims of the class members raise common issues, whether or not those common issues predominate over issues affecting only individual members;</w:t>
      </w:r>
    </w:p>
    <w:p>
      <w:pPr>
        <w:numPr>
          <w:numId w:val="1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 class proceeding would be the preferable procedure for the fair and efficient resolution of the common issues;</w:t>
      </w:r>
    </w:p>
    <w:p>
      <w:pPr>
        <w:numPr>
          <w:numId w:val="1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there is a representative plaintiff who</w:t>
      </w:r>
    </w:p>
    <w:p>
      <w:pPr>
        <w:numPr>
          <w:numId w:val="16"/>
        </w:numPr>
        <w:tabs>
          <w:tab w:val="clear" w:pos="112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would fairly and adequately represent the interests of the class,</w:t>
      </w:r>
    </w:p>
    <w:p>
      <w:pPr>
        <w:numPr>
          <w:numId w:val="17"/>
        </w:numPr>
        <w:tabs>
          <w:tab w:val="clear" w:pos="112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has produced a plan for the proceeding that sets out a workable method of advancing the proceeding on behalf of the class and of notifying class members of the proceeding, and</w:t>
      </w:r>
    </w:p>
    <w:p>
      <w:pPr>
        <w:numPr>
          <w:numId w:val="18"/>
        </w:numPr>
        <w:tabs>
          <w:tab w:val="clear" w:pos="112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does not have, on the common issues, an interest that is in conflict with the interests of other class members.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36</w:t>
      </w:r>
      <w:r>
        <w:rPr>
          <w:rFonts w:ascii="arial" w:eastAsia="arial" w:hAnsi="arial" w:cs="arial"/>
          <w:color w:val="000000"/>
          <w:sz w:val="20"/>
          <w:lang w:val="en-US" w:eastAsia="en-US" w:bidi="ar-SA"/>
        </w:rPr>
        <w:t xml:space="preserve">  In essence, the court must assess whether there is cause of action shared by an identifiable class from which common issues arise that can be resolved in a fair, efficient and manageable way that will advance the proceeding: </w:t>
      </w:r>
      <w:r>
        <w:rPr>
          <w:rFonts w:ascii="arial" w:eastAsia="arial" w:hAnsi="arial" w:cs="arial"/>
          <w:i/>
          <w:color w:val="000000"/>
          <w:sz w:val="20"/>
          <w:lang w:val="en-US" w:eastAsia="en-US" w:bidi="ar-SA"/>
        </w:rPr>
        <w:t>Glover v. Toronto (City)</w:t>
      </w:r>
      <w:r>
        <w:rPr>
          <w:rFonts w:ascii="arial" w:eastAsia="arial" w:hAnsi="arial" w:cs="arial"/>
          <w:color w:val="000000"/>
          <w:sz w:val="20"/>
          <w:lang w:val="en-US" w:eastAsia="en-US" w:bidi="ar-SA"/>
        </w:rPr>
        <w:t xml:space="preserve">, </w:t>
      </w:r>
      <w:hyperlink r:id="rId1043" w:history="1">
        <w:r>
          <w:rPr>
            <w:rFonts w:ascii="arial" w:eastAsia="arial" w:hAnsi="arial" w:cs="arial"/>
            <w:i/>
            <w:color w:val="0077CC"/>
            <w:sz w:val="20"/>
            <w:u w:val="single"/>
            <w:shd w:val="clear" w:color="auto" w:fill="FFFFFF"/>
            <w:lang w:val="en-US" w:eastAsia="en-US" w:bidi="ar-SA"/>
          </w:rPr>
          <w:t>[2009] O.J. No. 1523</w:t>
        </w:r>
      </w:hyperlink>
      <w:r>
        <w:rPr>
          <w:rFonts w:ascii="arial" w:eastAsia="arial" w:hAnsi="arial" w:cs="arial"/>
          <w:color w:val="000000"/>
          <w:sz w:val="20"/>
          <w:lang w:val="en-US" w:eastAsia="en-US" w:bidi="ar-SA"/>
        </w:rPr>
        <w:t xml:space="preserve"> at para. 16 (Sup. 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ANALYSIS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General Interpretative Principles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37</w:t>
      </w:r>
      <w:r>
        <w:rPr>
          <w:rFonts w:ascii="arial" w:eastAsia="arial" w:hAnsi="arial" w:cs="arial"/>
          <w:color w:val="000000"/>
          <w:sz w:val="20"/>
          <w:lang w:val="en-US" w:eastAsia="en-US" w:bidi="ar-SA"/>
        </w:rPr>
        <w:t xml:space="preserve">  As observed by the Court in </w:t>
      </w:r>
      <w:r>
        <w:rPr>
          <w:rFonts w:ascii="arial" w:eastAsia="arial" w:hAnsi="arial" w:cs="arial"/>
          <w:i/>
          <w:color w:val="000000"/>
          <w:sz w:val="20"/>
          <w:lang w:val="en-US" w:eastAsia="en-US" w:bidi="ar-SA"/>
        </w:rPr>
        <w:t>Sun-Rype Products Ltd. v. Archer Daniels Midland Company</w:t>
      </w:r>
      <w:r>
        <w:rPr>
          <w:rFonts w:ascii="arial" w:eastAsia="arial" w:hAnsi="arial" w:cs="arial"/>
          <w:color w:val="000000"/>
          <w:sz w:val="20"/>
          <w:lang w:val="en-US" w:eastAsia="en-US" w:bidi="ar-SA"/>
        </w:rPr>
        <w:t xml:space="preserve">, </w:t>
      </w:r>
      <w:hyperlink r:id="rId1044" w:history="1">
        <w:r>
          <w:rPr>
            <w:rFonts w:ascii="arial" w:eastAsia="arial" w:hAnsi="arial" w:cs="arial"/>
            <w:i/>
            <w:color w:val="0077CC"/>
            <w:sz w:val="20"/>
            <w:u w:val="single"/>
            <w:shd w:val="clear" w:color="auto" w:fill="FFFFFF"/>
            <w:lang w:val="en-US" w:eastAsia="en-US" w:bidi="ar-SA"/>
          </w:rPr>
          <w:t>2010 BCSC 472</w:t>
        </w:r>
      </w:hyperlink>
      <w:r>
        <w:rPr>
          <w:rFonts w:ascii="arial" w:eastAsia="arial" w:hAnsi="arial" w:cs="arial"/>
          <w:color w:val="000000"/>
          <w:sz w:val="20"/>
          <w:lang w:val="en-US" w:eastAsia="en-US" w:bidi="ar-SA"/>
        </w:rPr>
        <w:t xml:space="preserve"> at para. 19, the provisions of s. 4(1) are mandatory: "[t]he court must certify an action as a class proceeding if all of the criteria of s. 4(1) of the </w:t>
      </w:r>
      <w:r>
        <w:rPr>
          <w:rFonts w:ascii="arial" w:eastAsia="arial" w:hAnsi="arial" w:cs="arial"/>
          <w:i/>
          <w:color w:val="000000"/>
          <w:sz w:val="20"/>
          <w:lang w:val="en-US" w:eastAsia="en-US" w:bidi="ar-SA"/>
        </w:rPr>
        <w:t>CPA</w:t>
      </w:r>
      <w:r>
        <w:rPr>
          <w:rFonts w:ascii="arial" w:eastAsia="arial" w:hAnsi="arial" w:cs="arial"/>
          <w:color w:val="000000"/>
          <w:sz w:val="20"/>
          <w:lang w:val="en-US" w:eastAsia="en-US" w:bidi="ar-SA"/>
        </w:rPr>
        <w:t xml:space="preserve"> are met and if there is no other reason to refuse to make the order".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38</w:t>
      </w:r>
      <w:r>
        <w:rPr>
          <w:rFonts w:ascii="arial" w:eastAsia="arial" w:hAnsi="arial" w:cs="arial"/>
          <w:color w:val="000000"/>
          <w:sz w:val="20"/>
          <w:lang w:val="en-US" w:eastAsia="en-US" w:bidi="ar-SA"/>
        </w:rPr>
        <w:t>  The plaintiff bears the onus of establishing that the action satisfies these requirements.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39</w:t>
      </w:r>
      <w:r>
        <w:rPr>
          <w:rFonts w:ascii="arial" w:eastAsia="arial" w:hAnsi="arial" w:cs="arial"/>
          <w:color w:val="000000"/>
          <w:sz w:val="20"/>
          <w:lang w:val="en-US" w:eastAsia="en-US" w:bidi="ar-SA"/>
        </w:rPr>
        <w:t xml:space="preserve">  In interpreting the </w:t>
      </w:r>
      <w:r>
        <w:rPr>
          <w:rFonts w:ascii="arial" w:eastAsia="arial" w:hAnsi="arial" w:cs="arial"/>
          <w:i/>
          <w:color w:val="000000"/>
          <w:sz w:val="20"/>
          <w:lang w:val="en-US" w:eastAsia="en-US" w:bidi="ar-SA"/>
        </w:rPr>
        <w:t>CPA</w:t>
      </w:r>
      <w:r>
        <w:rPr>
          <w:rFonts w:ascii="arial" w:eastAsia="arial" w:hAnsi="arial" w:cs="arial"/>
          <w:color w:val="000000"/>
          <w:sz w:val="20"/>
          <w:lang w:val="en-US" w:eastAsia="en-US" w:bidi="ar-SA"/>
        </w:rPr>
        <w:t xml:space="preserve">, a court should keep in mind the significant advantages that a class action offers as a procedural tool as formulated in </w:t>
      </w:r>
      <w:r>
        <w:rPr>
          <w:rFonts w:ascii="arial" w:eastAsia="arial" w:hAnsi="arial" w:cs="arial"/>
          <w:i/>
          <w:color w:val="000000"/>
          <w:sz w:val="20"/>
          <w:lang w:val="en-US" w:eastAsia="en-US" w:bidi="ar-SA"/>
        </w:rPr>
        <w:t>Hollick v. Toronto (City)</w:t>
      </w:r>
      <w:r>
        <w:rPr>
          <w:rFonts w:ascii="arial" w:eastAsia="arial" w:hAnsi="arial" w:cs="arial"/>
          <w:color w:val="000000"/>
          <w:sz w:val="20"/>
          <w:lang w:val="en-US" w:eastAsia="en-US" w:bidi="ar-SA"/>
        </w:rPr>
        <w:t xml:space="preserve">, </w:t>
      </w:r>
      <w:hyperlink r:id="rId946" w:history="1">
        <w:r>
          <w:rPr>
            <w:rFonts w:ascii="arial" w:eastAsia="arial" w:hAnsi="arial" w:cs="arial"/>
            <w:i/>
            <w:color w:val="0077CC"/>
            <w:sz w:val="20"/>
            <w:u w:val="single"/>
            <w:shd w:val="clear" w:color="auto" w:fill="FFFFFF"/>
            <w:lang w:val="en-US" w:eastAsia="en-US" w:bidi="ar-SA"/>
          </w:rPr>
          <w:t>[2001] 3 S.C.R. 158</w:t>
        </w:r>
      </w:hyperlink>
      <w:r>
        <w:rPr>
          <w:rFonts w:ascii="arial" w:eastAsia="arial" w:hAnsi="arial" w:cs="arial"/>
          <w:color w:val="000000"/>
          <w:sz w:val="20"/>
          <w:lang w:val="en-US" w:eastAsia="en-US" w:bidi="ar-SA"/>
        </w:rPr>
        <w:t xml:space="preserve"> at para. 15:</w:t>
      </w:r>
      <w:r>
        <w:rPr>
          <w:rFonts w:ascii="arial" w:eastAsia="arial" w:hAnsi="arial" w:cs="arial"/>
          <w:sz w:val="20"/>
          <w:lang w:val="en-US" w:eastAsia="en-US" w:bidi="ar-SA"/>
        </w:rPr>
        <w:cr/>
      </w:r>
    </w:p>
    <w:p>
      <w:pPr>
        <w:numPr>
          <w:numId w:val="1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enhancement of judicial efficiency by avoiding unnecessary duplication in fact-finding and legal analysis;</w:t>
      </w:r>
    </w:p>
    <w:p>
      <w:pPr>
        <w:numPr>
          <w:numId w:val="2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improved access to justice for those claims that might not otherwise be asserted; and</w:t>
      </w:r>
    </w:p>
    <w:p>
      <w:pPr>
        <w:numPr>
          <w:numId w:val="2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modification of the behaviour of actual and potential wrongdoers.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40</w:t>
      </w:r>
      <w:r>
        <w:rPr>
          <w:rFonts w:ascii="arial" w:eastAsia="arial" w:hAnsi="arial" w:cs="arial"/>
          <w:color w:val="000000"/>
          <w:sz w:val="20"/>
          <w:lang w:val="en-US" w:eastAsia="en-US" w:bidi="ar-SA"/>
        </w:rPr>
        <w:t xml:space="preserve">  At the certification stage of the class proceeding, the court should apply a liberal and purposive analysis and construe the provisions of the </w:t>
      </w:r>
      <w:r>
        <w:rPr>
          <w:rFonts w:ascii="arial" w:eastAsia="arial" w:hAnsi="arial" w:cs="arial"/>
          <w:i/>
          <w:color w:val="000000"/>
          <w:sz w:val="20"/>
          <w:lang w:val="en-US" w:eastAsia="en-US" w:bidi="ar-SA"/>
        </w:rPr>
        <w:t>CPA</w:t>
      </w:r>
      <w:r>
        <w:rPr>
          <w:rFonts w:ascii="arial" w:eastAsia="arial" w:hAnsi="arial" w:cs="arial"/>
          <w:color w:val="000000"/>
          <w:sz w:val="20"/>
          <w:lang w:val="en-US" w:eastAsia="en-US" w:bidi="ar-SA"/>
        </w:rPr>
        <w:t xml:space="preserve"> generously: </w:t>
      </w:r>
      <w:r>
        <w:rPr>
          <w:rFonts w:ascii="arial" w:eastAsia="arial" w:hAnsi="arial" w:cs="arial"/>
          <w:i/>
          <w:color w:val="000000"/>
          <w:sz w:val="20"/>
          <w:lang w:val="en-US" w:eastAsia="en-US" w:bidi="ar-SA"/>
        </w:rPr>
        <w:t>Hollick</w:t>
      </w:r>
      <w:r>
        <w:rPr>
          <w:rFonts w:ascii="arial" w:eastAsia="arial" w:hAnsi="arial" w:cs="arial"/>
          <w:color w:val="000000"/>
          <w:sz w:val="20"/>
          <w:lang w:val="en-US" w:eastAsia="en-US" w:bidi="ar-SA"/>
        </w:rPr>
        <w:t xml:space="preserve"> at para. 15; and </w:t>
      </w:r>
      <w:r>
        <w:rPr>
          <w:rFonts w:ascii="arial" w:eastAsia="arial" w:hAnsi="arial" w:cs="arial"/>
          <w:i/>
          <w:color w:val="000000"/>
          <w:sz w:val="20"/>
          <w:lang w:val="en-US" w:eastAsia="en-US" w:bidi="ar-SA"/>
        </w:rPr>
        <w:t>Pro Sys Consultants Ltd. v. Infineon Technologies AG</w:t>
      </w:r>
      <w:r>
        <w:rPr>
          <w:rFonts w:ascii="arial" w:eastAsia="arial" w:hAnsi="arial" w:cs="arial"/>
          <w:color w:val="000000"/>
          <w:sz w:val="20"/>
          <w:lang w:val="en-US" w:eastAsia="en-US" w:bidi="ar-SA"/>
        </w:rPr>
        <w:t xml:space="preserve">, </w:t>
      </w:r>
      <w:hyperlink r:id="rId1045" w:history="1">
        <w:r>
          <w:rPr>
            <w:rFonts w:ascii="arial" w:eastAsia="arial" w:hAnsi="arial" w:cs="arial"/>
            <w:i/>
            <w:color w:val="0077CC"/>
            <w:sz w:val="20"/>
            <w:u w:val="single"/>
            <w:shd w:val="clear" w:color="auto" w:fill="FFFFFF"/>
            <w:lang w:val="en-US" w:eastAsia="en-US" w:bidi="ar-SA"/>
          </w:rPr>
          <w:t>2009 BCCA 503</w:t>
        </w:r>
      </w:hyperlink>
      <w:r>
        <w:rPr>
          <w:rFonts w:ascii="arial" w:eastAsia="arial" w:hAnsi="arial" w:cs="arial"/>
          <w:color w:val="000000"/>
          <w:sz w:val="20"/>
          <w:lang w:val="en-US" w:eastAsia="en-US" w:bidi="ar-SA"/>
        </w:rPr>
        <w:t xml:space="preserve"> at para. 64. The focus is on the form of the action, rather than an assessment of the merits of the claim. The plaintiff, however, must still show that there is a basis in fact for each of the criteria listed in s. 4(1) other than the requirement that the pleadings disclose a cause of action: </w:t>
      </w:r>
      <w:r>
        <w:rPr>
          <w:rFonts w:ascii="arial" w:eastAsia="arial" w:hAnsi="arial" w:cs="arial"/>
          <w:i/>
          <w:color w:val="000000"/>
          <w:sz w:val="20"/>
          <w:lang w:val="en-US" w:eastAsia="en-US" w:bidi="ar-SA"/>
        </w:rPr>
        <w:t>Hollick</w:t>
      </w:r>
      <w:r>
        <w:rPr>
          <w:rFonts w:ascii="arial" w:eastAsia="arial" w:hAnsi="arial" w:cs="arial"/>
          <w:color w:val="000000"/>
          <w:sz w:val="20"/>
          <w:lang w:val="en-US" w:eastAsia="en-US" w:bidi="ar-SA"/>
        </w:rPr>
        <w:t xml:space="preserve"> at para. 25.</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41</w:t>
      </w:r>
      <w:r>
        <w:rPr>
          <w:rFonts w:ascii="arial" w:eastAsia="arial" w:hAnsi="arial" w:cs="arial"/>
          <w:color w:val="000000"/>
          <w:sz w:val="20"/>
          <w:lang w:val="en-US" w:eastAsia="en-US" w:bidi="ar-SA"/>
        </w:rPr>
        <w:t>  I turn next to consider each of the statutory requirements for certification.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Causes of Action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42</w:t>
      </w:r>
      <w:r>
        <w:rPr>
          <w:rFonts w:ascii="arial" w:eastAsia="arial" w:hAnsi="arial" w:cs="arial"/>
          <w:color w:val="000000"/>
          <w:sz w:val="20"/>
          <w:lang w:val="en-US" w:eastAsia="en-US" w:bidi="ar-SA"/>
        </w:rPr>
        <w:t xml:space="preserve">  The requirement under s. 4(1)(a) of the </w:t>
      </w:r>
      <w:r>
        <w:rPr>
          <w:rFonts w:ascii="arial" w:eastAsia="arial" w:hAnsi="arial" w:cs="arial"/>
          <w:i/>
          <w:color w:val="000000"/>
          <w:sz w:val="20"/>
          <w:lang w:val="en-US" w:eastAsia="en-US" w:bidi="ar-SA"/>
        </w:rPr>
        <w:t>CPA</w:t>
      </w:r>
      <w:r>
        <w:rPr>
          <w:rFonts w:ascii="arial" w:eastAsia="arial" w:hAnsi="arial" w:cs="arial"/>
          <w:color w:val="000000"/>
          <w:sz w:val="20"/>
          <w:lang w:val="en-US" w:eastAsia="en-US" w:bidi="ar-SA"/>
        </w:rPr>
        <w:t xml:space="preserve"> with respect to disclosing a cause of action is a relatively low threshold. In essence, the judicial test is the same as that applied on a Rule 19(24) application. The plaintiff will fail only if the claim is "certain to fail" or if it is "plain and obvious" that the statement of claim discloses no reasonable cause of action: </w:t>
      </w:r>
      <w:r>
        <w:rPr>
          <w:rFonts w:ascii="arial" w:eastAsia="arial" w:hAnsi="arial" w:cs="arial"/>
          <w:i/>
          <w:color w:val="000000"/>
          <w:sz w:val="20"/>
          <w:lang w:val="en-US" w:eastAsia="en-US" w:bidi="ar-SA"/>
        </w:rPr>
        <w:t>Samos Investments Inc. v. Pattison</w:t>
      </w:r>
      <w:r>
        <w:rPr>
          <w:rFonts w:ascii="arial" w:eastAsia="arial" w:hAnsi="arial" w:cs="arial"/>
          <w:color w:val="000000"/>
          <w:sz w:val="20"/>
          <w:lang w:val="en-US" w:eastAsia="en-US" w:bidi="ar-SA"/>
        </w:rPr>
        <w:t xml:space="preserve">, </w:t>
      </w:r>
      <w:hyperlink r:id="rId1046" w:history="1">
        <w:r>
          <w:rPr>
            <w:rFonts w:ascii="arial" w:eastAsia="arial" w:hAnsi="arial" w:cs="arial"/>
            <w:i/>
            <w:color w:val="0077CC"/>
            <w:sz w:val="20"/>
            <w:u w:val="single"/>
            <w:shd w:val="clear" w:color="auto" w:fill="FFFFFF"/>
            <w:lang w:val="en-US" w:eastAsia="en-US" w:bidi="ar-SA"/>
          </w:rPr>
          <w:t>2001 BCSC 1790</w:t>
        </w:r>
      </w:hyperlink>
      <w:r>
        <w:rPr>
          <w:rFonts w:ascii="arial" w:eastAsia="arial" w:hAnsi="arial" w:cs="arial"/>
          <w:color w:val="000000"/>
          <w:sz w:val="20"/>
          <w:lang w:val="en-US" w:eastAsia="en-US" w:bidi="ar-SA"/>
        </w:rPr>
        <w:t xml:space="preserve"> at para. 59, aff'd </w:t>
      </w:r>
      <w:hyperlink r:id="rId1047" w:history="1">
        <w:r>
          <w:rPr>
            <w:rFonts w:ascii="arial" w:eastAsia="arial" w:hAnsi="arial" w:cs="arial"/>
            <w:i/>
            <w:color w:val="0077CC"/>
            <w:sz w:val="20"/>
            <w:u w:val="single"/>
            <w:shd w:val="clear" w:color="auto" w:fill="FFFFFF"/>
            <w:lang w:val="en-US" w:eastAsia="en-US" w:bidi="ar-SA"/>
          </w:rPr>
          <w:t>2003 BCCA 87</w:t>
        </w:r>
      </w:hyperlink>
      <w:r>
        <w:rPr>
          <w:rFonts w:ascii="arial" w:eastAsia="arial" w:hAnsi="arial" w:cs="arial"/>
          <w:color w:val="000000"/>
          <w:sz w:val="20"/>
          <w:lang w:val="en-US" w:eastAsia="en-US" w:bidi="ar-SA"/>
        </w:rPr>
        <w:t xml:space="preserve">; and </w:t>
      </w:r>
      <w:r>
        <w:rPr>
          <w:rFonts w:ascii="arial" w:eastAsia="arial" w:hAnsi="arial" w:cs="arial"/>
          <w:i/>
          <w:color w:val="000000"/>
          <w:sz w:val="20"/>
          <w:lang w:val="en-US" w:eastAsia="en-US" w:bidi="ar-SA"/>
        </w:rPr>
        <w:t>Endean v. Canadian Red Cross Society</w:t>
      </w:r>
      <w:r>
        <w:rPr>
          <w:rFonts w:ascii="arial" w:eastAsia="arial" w:hAnsi="arial" w:cs="arial"/>
          <w:color w:val="000000"/>
          <w:sz w:val="20"/>
          <w:lang w:val="en-US" w:eastAsia="en-US" w:bidi="ar-SA"/>
        </w:rPr>
        <w:t xml:space="preserve"> </w:t>
      </w:r>
      <w:hyperlink r:id="rId451" w:history="1">
        <w:r>
          <w:rPr>
            <w:rFonts w:ascii="arial" w:eastAsia="arial" w:hAnsi="arial" w:cs="arial"/>
            <w:i/>
            <w:color w:val="0077CC"/>
            <w:sz w:val="20"/>
            <w:u w:val="single"/>
            <w:shd w:val="clear" w:color="auto" w:fill="FFFFFF"/>
            <w:lang w:val="en-US" w:eastAsia="en-US" w:bidi="ar-SA"/>
          </w:rPr>
          <w:t>(1998), 48 B.C.L.R. (3d) 90</w:t>
        </w:r>
      </w:hyperlink>
      <w:r>
        <w:rPr>
          <w:rFonts w:ascii="arial" w:eastAsia="arial" w:hAnsi="arial" w:cs="arial"/>
          <w:color w:val="000000"/>
          <w:sz w:val="20"/>
          <w:lang w:val="en-US" w:eastAsia="en-US" w:bidi="ar-SA"/>
        </w:rPr>
        <w:t xml:space="preserve"> at paras. 6-8 (C.A.).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43</w:t>
      </w:r>
      <w:r>
        <w:rPr>
          <w:rFonts w:ascii="arial" w:eastAsia="arial" w:hAnsi="arial" w:cs="arial"/>
          <w:color w:val="000000"/>
          <w:sz w:val="20"/>
          <w:lang w:val="en-US" w:eastAsia="en-US" w:bidi="ar-SA"/>
        </w:rPr>
        <w:t xml:space="preserve">  Matters of law not fully settled in the jurisprudence must be permitted to proceed: </w:t>
      </w:r>
      <w:r>
        <w:rPr>
          <w:rFonts w:ascii="arial" w:eastAsia="arial" w:hAnsi="arial" w:cs="arial"/>
          <w:i/>
          <w:color w:val="000000"/>
          <w:sz w:val="20"/>
          <w:lang w:val="en-US" w:eastAsia="en-US" w:bidi="ar-SA"/>
        </w:rPr>
        <w:t>Hunt v. Carey Canada Inc.</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[1990] 2 S.C.R. 959</w:t>
      </w:r>
      <w:r>
        <w:rPr>
          <w:rFonts w:ascii="arial" w:eastAsia="arial" w:hAnsi="arial" w:cs="arial"/>
          <w:color w:val="000000"/>
          <w:sz w:val="20"/>
          <w:lang w:val="en-US" w:eastAsia="en-US" w:bidi="ar-SA"/>
        </w:rPr>
        <w:t xml:space="preserve"> at 990-91.</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44</w:t>
      </w:r>
      <w:r>
        <w:rPr>
          <w:rFonts w:ascii="arial" w:eastAsia="arial" w:hAnsi="arial" w:cs="arial"/>
          <w:color w:val="000000"/>
          <w:sz w:val="20"/>
          <w:lang w:val="en-US" w:eastAsia="en-US" w:bidi="ar-SA"/>
        </w:rPr>
        <w:t xml:space="preserve">  The plaintiff alleges that the defendants contravened the </w:t>
      </w:r>
      <w:r>
        <w:rPr>
          <w:rFonts w:ascii="arial" w:eastAsia="arial" w:hAnsi="arial" w:cs="arial"/>
          <w:i/>
          <w:color w:val="000000"/>
          <w:sz w:val="20"/>
          <w:lang w:val="en-US" w:eastAsia="en-US" w:bidi="ar-SA"/>
        </w:rPr>
        <w:t>SGA</w:t>
      </w:r>
      <w:r>
        <w:rPr>
          <w:rFonts w:ascii="arial" w:eastAsia="arial" w:hAnsi="arial" w:cs="arial"/>
          <w:color w:val="000000"/>
          <w:sz w:val="20"/>
          <w:lang w:val="en-US" w:eastAsia="en-US" w:bidi="ar-SA"/>
        </w:rPr>
        <w:t xml:space="preserve"> and the </w:t>
      </w:r>
      <w:r>
        <w:rPr>
          <w:rFonts w:ascii="arial" w:eastAsia="arial" w:hAnsi="arial" w:cs="arial"/>
          <w:i/>
          <w:color w:val="000000"/>
          <w:sz w:val="20"/>
          <w:lang w:val="en-US" w:eastAsia="en-US" w:bidi="ar-SA"/>
        </w:rPr>
        <w:t>BPCPA</w:t>
      </w:r>
      <w:r>
        <w:rPr>
          <w:rFonts w:ascii="arial" w:eastAsia="arial" w:hAnsi="arial" w:cs="arial"/>
          <w:color w:val="000000"/>
          <w:sz w:val="20"/>
          <w:lang w:val="en-US" w:eastAsia="en-US" w:bidi="ar-SA"/>
        </w:rPr>
        <w:t xml:space="preserve">. She originally claimed that the </w:t>
      </w:r>
      <w:r>
        <w:rPr>
          <w:rFonts w:ascii="arial" w:eastAsia="arial" w:hAnsi="arial" w:cs="arial"/>
          <w:i/>
          <w:color w:val="000000"/>
          <w:sz w:val="20"/>
          <w:lang w:val="en-US" w:eastAsia="en-US" w:bidi="ar-SA"/>
        </w:rPr>
        <w:t>Trade Practices Act</w:t>
      </w:r>
      <w:r>
        <w:rPr>
          <w:rFonts w:ascii="arial" w:eastAsia="arial" w:hAnsi="arial" w:cs="arial"/>
          <w:color w:val="000000"/>
          <w:sz w:val="20"/>
          <w:lang w:val="en-US" w:eastAsia="en-US" w:bidi="ar-SA"/>
        </w:rPr>
        <w:t xml:space="preserve">, </w:t>
      </w:r>
      <w:hyperlink r:id="rId520" w:history="1">
        <w:r>
          <w:rPr>
            <w:rFonts w:ascii="arial" w:eastAsia="arial" w:hAnsi="arial" w:cs="arial"/>
            <w:i/>
            <w:color w:val="0077CC"/>
            <w:sz w:val="20"/>
            <w:u w:val="single"/>
            <w:shd w:val="clear" w:color="auto" w:fill="FFFFFF"/>
            <w:lang w:val="en-US" w:eastAsia="en-US" w:bidi="ar-SA"/>
          </w:rPr>
          <w:t>R.S.B.C. 1996, c. 457</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TPA</w:t>
      </w:r>
      <w:r>
        <w:rPr>
          <w:rFonts w:ascii="arial" w:eastAsia="arial" w:hAnsi="arial" w:cs="arial"/>
          <w:color w:val="000000"/>
          <w:sz w:val="20"/>
          <w:lang w:val="en-US" w:eastAsia="en-US" w:bidi="ar-SA"/>
        </w:rPr>
        <w:t xml:space="preserve">], applied to those class members who purchased or leased their Mazda3 prior to July 4, 2004. However, plaintiff's counsel conceded at the hearing that the </w:t>
      </w:r>
      <w:r>
        <w:rPr>
          <w:rFonts w:ascii="arial" w:eastAsia="arial" w:hAnsi="arial" w:cs="arial"/>
          <w:i/>
          <w:color w:val="000000"/>
          <w:sz w:val="20"/>
          <w:lang w:val="en-US" w:eastAsia="en-US" w:bidi="ar-SA"/>
        </w:rPr>
        <w:t>TPA</w:t>
      </w:r>
      <w:r>
        <w:rPr>
          <w:rFonts w:ascii="arial" w:eastAsia="arial" w:hAnsi="arial" w:cs="arial"/>
          <w:color w:val="000000"/>
          <w:sz w:val="20"/>
          <w:lang w:val="en-US" w:eastAsia="en-US" w:bidi="ar-SA"/>
        </w:rPr>
        <w:t xml:space="preserve"> has no application to this case. She also asserts a cause of action derived from the emerging doctrine of "waiver of tort".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45</w:t>
      </w:r>
      <w:r>
        <w:rPr>
          <w:rFonts w:ascii="arial" w:eastAsia="arial" w:hAnsi="arial" w:cs="arial"/>
          <w:color w:val="000000"/>
          <w:sz w:val="20"/>
          <w:lang w:val="en-US" w:eastAsia="en-US" w:bidi="ar-SA"/>
        </w:rPr>
        <w:t>  I will address each of the causes of action in turn.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i/>
          <w:color w:val="000000"/>
          <w:sz w:val="20"/>
          <w:u w:val="single"/>
          <w:lang w:val="en-US" w:eastAsia="en-US" w:bidi="ar-SA"/>
        </w:rPr>
        <w:t>SGA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46</w:t>
      </w:r>
      <w:r>
        <w:rPr>
          <w:rFonts w:ascii="arial" w:eastAsia="arial" w:hAnsi="arial" w:cs="arial"/>
          <w:color w:val="000000"/>
          <w:sz w:val="20"/>
          <w:lang w:val="en-US" w:eastAsia="en-US" w:bidi="ar-SA"/>
        </w:rPr>
        <w:t xml:space="preserve">  The plaintiff's action as against the defendant dealers alleges a contravention of s. 18 of the </w:t>
      </w:r>
      <w:r>
        <w:rPr>
          <w:rFonts w:ascii="arial" w:eastAsia="arial" w:hAnsi="arial" w:cs="arial"/>
          <w:i/>
          <w:color w:val="000000"/>
          <w:sz w:val="20"/>
          <w:lang w:val="en-US" w:eastAsia="en-US" w:bidi="ar-SA"/>
        </w:rPr>
        <w:t>SGA</w:t>
      </w:r>
      <w:r>
        <w:rPr>
          <w:rFonts w:ascii="arial" w:eastAsia="arial" w:hAnsi="arial" w:cs="arial"/>
          <w:color w:val="000000"/>
          <w:sz w:val="20"/>
          <w:lang w:val="en-US" w:eastAsia="en-US" w:bidi="ar-SA"/>
        </w:rPr>
        <w:t>, which provides in part: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Subject to this and any other Act, there is no implied warranty or condition as to the quality or fitness for any particular purpose of goods supplied under a contract of sale or lease, except as follows:</w:t>
      </w:r>
    </w:p>
    <w:p>
      <w:pPr>
        <w:numPr>
          <w:numId w:val="2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if the buyer or lessee, expressly or by implication, makes known to the seller or lessor the particular purpose for which the goods are required, so as to show that the buyer or lessee relies on the seller's or lessor's skill or judgment, and the goods are of a description that it is in the course of the seller's or lessor's business to supply, whether the seller or lessor is the manufacturer or not, there is an </w:t>
      </w:r>
      <w:r>
        <w:rPr>
          <w:rFonts w:ascii="arial" w:eastAsia="arial" w:hAnsi="arial" w:cs="arial"/>
          <w:color w:val="000000"/>
          <w:sz w:val="20"/>
          <w:u w:val="single"/>
          <w:lang w:val="en-US" w:eastAsia="en-US" w:bidi="ar-SA"/>
        </w:rPr>
        <w:t>implied condition that the goods are reasonably fit for that purpose</w:t>
      </w:r>
      <w:r>
        <w:rPr>
          <w:rFonts w:ascii="arial" w:eastAsia="arial" w:hAnsi="arial" w:cs="arial"/>
          <w:color w:val="000000"/>
          <w:sz w:val="20"/>
          <w:lang w:val="en-US" w:eastAsia="en-US" w:bidi="ar-SA"/>
        </w:rPr>
        <w:t xml:space="preserve"> ...</w:t>
      </w:r>
    </w:p>
    <w:p>
      <w:pPr>
        <w:numPr>
          <w:numId w:val="2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if goods are bought by description from a seller or lessor who deals in goods of that description, whether the seller or lessor is the manufacturer or not, there is an </w:t>
      </w:r>
      <w:r>
        <w:rPr>
          <w:rFonts w:ascii="arial" w:eastAsia="arial" w:hAnsi="arial" w:cs="arial"/>
          <w:color w:val="000000"/>
          <w:sz w:val="20"/>
          <w:u w:val="single"/>
          <w:lang w:val="en-US" w:eastAsia="en-US" w:bidi="ar-SA"/>
        </w:rPr>
        <w:t>implied condition that the goods are of merchantable quality</w:t>
      </w:r>
      <w:r>
        <w:rPr>
          <w:rFonts w:ascii="arial" w:eastAsia="arial" w:hAnsi="arial" w:cs="arial"/>
          <w:color w:val="000000"/>
          <w:sz w:val="20"/>
          <w:lang w:val="en-US" w:eastAsia="en-US" w:bidi="ar-SA"/>
        </w:rPr>
        <w:t>; but if the buyer or lessee has examined the goods there is no implied condition as regards defects that the examination ought to have revealed[.]</w:t>
      </w:r>
    </w:p>
    <w:p>
      <w:pPr>
        <w:spacing w:before="120" w:line="260" w:lineRule="atLeast"/>
        <w:ind w:left="2880"/>
        <w:rPr>
          <w:rFonts w:ascii="arial" w:eastAsia="arial" w:hAnsi="arial" w:cs="arial"/>
          <w:sz w:val="20"/>
          <w:lang w:val="en-US" w:eastAsia="en-US" w:bidi="ar-SA"/>
        </w:rPr>
      </w:pPr>
      <w:r>
        <w:rPr>
          <w:rFonts w:ascii="arial" w:eastAsia="arial" w:hAnsi="arial" w:cs="arial"/>
          <w:color w:val="000000"/>
          <w:sz w:val="20"/>
          <w:lang w:val="en-US" w:eastAsia="en-US" w:bidi="ar-SA"/>
        </w:rPr>
        <w:t>[Emphasis added.]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47</w:t>
      </w:r>
      <w:r>
        <w:rPr>
          <w:rFonts w:ascii="arial" w:eastAsia="arial" w:hAnsi="arial" w:cs="arial"/>
          <w:color w:val="000000"/>
          <w:sz w:val="20"/>
          <w:lang w:val="en-US" w:eastAsia="en-US" w:bidi="ar-SA"/>
        </w:rPr>
        <w:t xml:space="preserve">  Although the merits of the claim are disputed, the defendants concede that the pleadings disclose a cause of action under s. 18(a) and (b) of the </w:t>
      </w:r>
      <w:r>
        <w:rPr>
          <w:rFonts w:ascii="arial" w:eastAsia="arial" w:hAnsi="arial" w:cs="arial"/>
          <w:i/>
          <w:color w:val="000000"/>
          <w:sz w:val="20"/>
          <w:lang w:val="en-US" w:eastAsia="en-US" w:bidi="ar-SA"/>
        </w:rPr>
        <w:t>SGA</w:t>
      </w:r>
      <w:r>
        <w:rPr>
          <w:rFonts w:ascii="arial" w:eastAsia="arial" w:hAnsi="arial" w:cs="arial"/>
          <w:color w:val="000000"/>
          <w:sz w:val="20"/>
          <w:lang w:val="en-US" w:eastAsia="en-US" w:bidi="ar-SA"/>
        </w:rPr>
        <w:t xml:space="preserve"> against the defendant dealers. This cause of action is available only to those persons who purchased or leased their vehicle for primarily personal purposes from one of the defendant dealers: </w:t>
      </w:r>
      <w:r>
        <w:rPr>
          <w:rFonts w:ascii="arial" w:eastAsia="arial" w:hAnsi="arial" w:cs="arial"/>
          <w:i/>
          <w:color w:val="000000"/>
          <w:sz w:val="20"/>
          <w:lang w:val="en-US" w:eastAsia="en-US" w:bidi="ar-SA"/>
        </w:rPr>
        <w:t>SGA</w:t>
      </w:r>
      <w:r>
        <w:rPr>
          <w:rFonts w:ascii="arial" w:eastAsia="arial" w:hAnsi="arial" w:cs="arial"/>
          <w:color w:val="000000"/>
          <w:sz w:val="20"/>
          <w:lang w:val="en-US" w:eastAsia="en-US" w:bidi="ar-SA"/>
        </w:rPr>
        <w:t xml:space="preserve"> s. 1 definition of "lease" and s. 20.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i/>
          <w:color w:val="000000"/>
          <w:sz w:val="20"/>
          <w:u w:val="single"/>
          <w:lang w:val="en-US" w:eastAsia="en-US" w:bidi="ar-SA"/>
        </w:rPr>
        <w:t>BPCPA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48</w:t>
      </w:r>
      <w:r>
        <w:rPr>
          <w:rFonts w:ascii="arial" w:eastAsia="arial" w:hAnsi="arial" w:cs="arial"/>
          <w:color w:val="000000"/>
          <w:sz w:val="20"/>
          <w:lang w:val="en-US" w:eastAsia="en-US" w:bidi="ar-SA"/>
        </w:rPr>
        <w:t xml:space="preserve">  The plaintiff also asserts a statutory cause of action against Mazda Canada pursuant to the </w:t>
      </w:r>
      <w:r>
        <w:rPr>
          <w:rFonts w:ascii="arial" w:eastAsia="arial" w:hAnsi="arial" w:cs="arial"/>
          <w:i/>
          <w:color w:val="000000"/>
          <w:sz w:val="20"/>
          <w:lang w:val="en-US" w:eastAsia="en-US" w:bidi="ar-SA"/>
        </w:rPr>
        <w:t>BPCPA</w:t>
      </w:r>
      <w:r>
        <w:rPr>
          <w:rFonts w:ascii="arial" w:eastAsia="arial" w:hAnsi="arial" w:cs="arial"/>
          <w:color w:val="000000"/>
          <w:sz w:val="20"/>
          <w:lang w:val="en-US" w:eastAsia="en-US" w:bidi="ar-SA"/>
        </w:rPr>
        <w:t xml:space="preserve">. This statute came into effect July 4, 2004 and replaced the </w:t>
      </w:r>
      <w:r>
        <w:rPr>
          <w:rFonts w:ascii="arial" w:eastAsia="arial" w:hAnsi="arial" w:cs="arial"/>
          <w:i/>
          <w:color w:val="000000"/>
          <w:sz w:val="20"/>
          <w:lang w:val="en-US" w:eastAsia="en-US" w:bidi="ar-SA"/>
        </w:rPr>
        <w:t>TPA</w:t>
      </w:r>
      <w:r>
        <w:rPr>
          <w:rFonts w:ascii="arial" w:eastAsia="arial" w:hAnsi="arial" w:cs="arial"/>
          <w:color w:val="000000"/>
          <w:sz w:val="20"/>
          <w:lang w:val="en-US" w:eastAsia="en-US" w:bidi="ar-SA"/>
        </w:rPr>
        <w:t xml:space="preserve">. The relevant provisions are similar in the two statutes, but to the extent that they differ, the </w:t>
      </w:r>
      <w:r>
        <w:rPr>
          <w:rFonts w:ascii="arial" w:eastAsia="arial" w:hAnsi="arial" w:cs="arial"/>
          <w:i/>
          <w:color w:val="000000"/>
          <w:sz w:val="20"/>
          <w:lang w:val="en-US" w:eastAsia="en-US" w:bidi="ar-SA"/>
        </w:rPr>
        <w:t>BPCPA</w:t>
      </w:r>
      <w:r>
        <w:rPr>
          <w:rFonts w:ascii="arial" w:eastAsia="arial" w:hAnsi="arial" w:cs="arial"/>
          <w:color w:val="000000"/>
          <w:sz w:val="20"/>
          <w:lang w:val="en-US" w:eastAsia="en-US" w:bidi="ar-SA"/>
        </w:rPr>
        <w:t xml:space="preserve"> does not operate retroactively: </w:t>
      </w:r>
      <w:r>
        <w:rPr>
          <w:rFonts w:ascii="arial" w:eastAsia="arial" w:hAnsi="arial" w:cs="arial"/>
          <w:i/>
          <w:color w:val="000000"/>
          <w:sz w:val="20"/>
          <w:lang w:val="en-US" w:eastAsia="en-US" w:bidi="ar-SA"/>
        </w:rPr>
        <w:t>Knight v. Imperial Tobacco Canada Ltd.</w:t>
      </w:r>
      <w:r>
        <w:rPr>
          <w:rFonts w:ascii="arial" w:eastAsia="arial" w:hAnsi="arial" w:cs="arial"/>
          <w:color w:val="000000"/>
          <w:sz w:val="20"/>
          <w:lang w:val="en-US" w:eastAsia="en-US" w:bidi="ar-SA"/>
        </w:rPr>
        <w:t xml:space="preserve">, </w:t>
      </w:r>
      <w:hyperlink r:id="rId522" w:history="1">
        <w:r>
          <w:rPr>
            <w:rFonts w:ascii="arial" w:eastAsia="arial" w:hAnsi="arial" w:cs="arial"/>
            <w:i/>
            <w:color w:val="0077CC"/>
            <w:sz w:val="20"/>
            <w:u w:val="single"/>
            <w:shd w:val="clear" w:color="auto" w:fill="FFFFFF"/>
            <w:lang w:val="en-US" w:eastAsia="en-US" w:bidi="ar-SA"/>
          </w:rPr>
          <w:t>2005 BCSC 172</w:t>
        </w:r>
      </w:hyperlink>
      <w:r>
        <w:rPr>
          <w:rFonts w:ascii="arial" w:eastAsia="arial" w:hAnsi="arial" w:cs="arial"/>
          <w:color w:val="000000"/>
          <w:sz w:val="20"/>
          <w:lang w:val="en-US" w:eastAsia="en-US" w:bidi="ar-SA"/>
        </w:rPr>
        <w:t xml:space="preserve"> at paras. 17-21, varied on other grounds </w:t>
      </w:r>
      <w:hyperlink r:id="rId1048" w:history="1">
        <w:r>
          <w:rPr>
            <w:rFonts w:ascii="arial" w:eastAsia="arial" w:hAnsi="arial" w:cs="arial"/>
            <w:i/>
            <w:color w:val="0077CC"/>
            <w:sz w:val="20"/>
            <w:u w:val="single"/>
            <w:shd w:val="clear" w:color="auto" w:fill="FFFFFF"/>
            <w:lang w:val="en-US" w:eastAsia="en-US" w:bidi="ar-SA"/>
          </w:rPr>
          <w:t>2006 BCCA 235</w:t>
        </w:r>
      </w:hyperlink>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49</w:t>
      </w:r>
      <w:r>
        <w:rPr>
          <w:rFonts w:ascii="arial" w:eastAsia="arial" w:hAnsi="arial" w:cs="arial"/>
          <w:color w:val="000000"/>
          <w:sz w:val="20"/>
          <w:lang w:val="en-US" w:eastAsia="en-US" w:bidi="ar-SA"/>
        </w:rPr>
        <w:t xml:space="preserve">  The </w:t>
      </w:r>
      <w:r>
        <w:rPr>
          <w:rFonts w:ascii="arial" w:eastAsia="arial" w:hAnsi="arial" w:cs="arial"/>
          <w:i/>
          <w:color w:val="000000"/>
          <w:sz w:val="20"/>
          <w:lang w:val="en-US" w:eastAsia="en-US" w:bidi="ar-SA"/>
        </w:rPr>
        <w:t>BPCPA</w:t>
      </w:r>
      <w:r>
        <w:rPr>
          <w:rFonts w:ascii="arial" w:eastAsia="arial" w:hAnsi="arial" w:cs="arial"/>
          <w:color w:val="000000"/>
          <w:sz w:val="20"/>
          <w:lang w:val="en-US" w:eastAsia="en-US" w:bidi="ar-SA"/>
        </w:rPr>
        <w:t xml:space="preserve"> applies to "consumer transactions", which are defined at s. 1 as "a supply of goods or services or real property" for purposes that are "primarily personal, family or household".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50</w:t>
      </w:r>
      <w:r>
        <w:rPr>
          <w:rFonts w:ascii="arial" w:eastAsia="arial" w:hAnsi="arial" w:cs="arial"/>
          <w:color w:val="000000"/>
          <w:sz w:val="20"/>
          <w:lang w:val="en-US" w:eastAsia="en-US" w:bidi="ar-SA"/>
        </w:rPr>
        <w:t xml:space="preserve">  The plaintiff alleges that Mazda Canada has committed a deceptive act or practice contrary to ss. 4 and 5 in the </w:t>
      </w:r>
      <w:r>
        <w:rPr>
          <w:rFonts w:ascii="arial" w:eastAsia="arial" w:hAnsi="arial" w:cs="arial"/>
          <w:i/>
          <w:color w:val="000000"/>
          <w:sz w:val="20"/>
          <w:lang w:val="en-US" w:eastAsia="en-US" w:bidi="ar-SA"/>
        </w:rPr>
        <w:t>BPCPA.</w:t>
      </w:r>
      <w:r>
        <w:rPr>
          <w:rFonts w:ascii="arial" w:eastAsia="arial" w:hAnsi="arial" w:cs="arial"/>
          <w:color w:val="000000"/>
          <w:sz w:val="20"/>
          <w:lang w:val="en-US" w:eastAsia="en-US" w:bidi="ar-SA"/>
        </w:rPr>
        <w:t xml:space="preserve"> Section 4(1)provides: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"deceptive act or practice" means, in relation to a consumer transaction,</w:t>
      </w:r>
    </w:p>
    <w:p>
      <w:pPr>
        <w:numPr>
          <w:numId w:val="2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an oral, written, visual, descriptive or other representation by a supplier, or</w:t>
      </w:r>
    </w:p>
    <w:p>
      <w:pPr>
        <w:numPr>
          <w:numId w:val="2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any conduct by a supplier</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that has the capacity, tendency, or effect of deceiving or misleading a consumer or guarantor;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51</w:t>
      </w:r>
      <w:r>
        <w:rPr>
          <w:rFonts w:ascii="arial" w:eastAsia="arial" w:hAnsi="arial" w:cs="arial"/>
          <w:color w:val="000000"/>
          <w:sz w:val="20"/>
          <w:lang w:val="en-US" w:eastAsia="en-US" w:bidi="ar-SA"/>
        </w:rPr>
        <w:t xml:space="preserve">  The </w:t>
      </w:r>
      <w:r>
        <w:rPr>
          <w:rFonts w:ascii="arial" w:eastAsia="arial" w:hAnsi="arial" w:cs="arial"/>
          <w:i/>
          <w:color w:val="000000"/>
          <w:sz w:val="20"/>
          <w:lang w:val="en-US" w:eastAsia="en-US" w:bidi="ar-SA"/>
        </w:rPr>
        <w:t>BPCPA</w:t>
      </w:r>
      <w:r>
        <w:rPr>
          <w:rFonts w:ascii="arial" w:eastAsia="arial" w:hAnsi="arial" w:cs="arial"/>
          <w:color w:val="000000"/>
          <w:sz w:val="20"/>
          <w:lang w:val="en-US" w:eastAsia="en-US" w:bidi="ar-SA"/>
        </w:rPr>
        <w:t xml:space="preserve"> outlines at ss. 171 and 172 the remedies available to a consumer if a transaction is found to be tainted by a deceptive practice.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52</w:t>
      </w:r>
      <w:r>
        <w:rPr>
          <w:rFonts w:ascii="arial" w:eastAsia="arial" w:hAnsi="arial" w:cs="arial"/>
          <w:color w:val="000000"/>
          <w:sz w:val="20"/>
          <w:lang w:val="en-US" w:eastAsia="en-US" w:bidi="ar-SA"/>
        </w:rPr>
        <w:t xml:space="preserve">  The defendants concede that the pleadings read generously, disclose a cause of action for all class members who purchased or leased their vehicles for a primarily personal purpose, against Mazda Canada, under the </w:t>
      </w:r>
      <w:r>
        <w:rPr>
          <w:rFonts w:ascii="arial" w:eastAsia="arial" w:hAnsi="arial" w:cs="arial"/>
          <w:i/>
          <w:color w:val="000000"/>
          <w:sz w:val="20"/>
          <w:lang w:val="en-US" w:eastAsia="en-US" w:bidi="ar-SA"/>
        </w:rPr>
        <w:t>BPCPA</w:t>
      </w:r>
      <w:r>
        <w:rPr>
          <w:rFonts w:ascii="arial" w:eastAsia="arial" w:hAnsi="arial" w:cs="arial"/>
          <w:color w:val="000000"/>
          <w:sz w:val="20"/>
          <w:lang w:val="en-US" w:eastAsia="en-US" w:bidi="ar-SA"/>
        </w:rPr>
        <w:t xml:space="preserve"> on account of an alleged "deceptive act or practice".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u w:val="single"/>
          <w:lang w:val="en-US" w:eastAsia="en-US" w:bidi="ar-SA"/>
        </w:rPr>
        <w:t>Waiver of Tort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53</w:t>
      </w:r>
      <w:r>
        <w:rPr>
          <w:rFonts w:ascii="arial" w:eastAsia="arial" w:hAnsi="arial" w:cs="arial"/>
          <w:color w:val="000000"/>
          <w:sz w:val="20"/>
          <w:lang w:val="en-US" w:eastAsia="en-US" w:bidi="ar-SA"/>
        </w:rPr>
        <w:t>  The plaintiff also claims waiver of tort as an alternative cause of action. She asserts this as an overarching cause of action which affords a remedy to the entire class.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54</w:t>
      </w:r>
      <w:r>
        <w:rPr>
          <w:rFonts w:ascii="arial" w:eastAsia="arial" w:hAnsi="arial" w:cs="arial"/>
          <w:color w:val="000000"/>
          <w:sz w:val="20"/>
          <w:lang w:val="en-US" w:eastAsia="en-US" w:bidi="ar-SA"/>
        </w:rPr>
        <w:t>  Paragraph 73 of the statement of claim reads: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In the alternative, the Plaintiff and the Class are entitled to elect to waive the tort and require the Defendants to disgorge some portion of the revenue they received from the sale of the Mazda3 vehicles, through an accounting or other such restitutionary remedy.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55</w:t>
      </w:r>
      <w:r>
        <w:rPr>
          <w:rFonts w:ascii="arial" w:eastAsia="arial" w:hAnsi="arial" w:cs="arial"/>
          <w:color w:val="000000"/>
          <w:sz w:val="20"/>
          <w:lang w:val="en-US" w:eastAsia="en-US" w:bidi="ar-SA"/>
        </w:rPr>
        <w:t>  The plaintiff submits that although she has not alleged a specific tort, she has pleaded elements of wrongful or tortious conduct, with respect to the door lock. The plaintiff argues that the defendants, with knowledge of the alleged defect, marketed "an unfit product for profit"; they engaged in a deceptive act when they asserted that the Mazda3 had quality components, while at the same time installing the Reinforcement for those owners who complained.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56</w:t>
      </w:r>
      <w:r>
        <w:rPr>
          <w:rFonts w:ascii="arial" w:eastAsia="arial" w:hAnsi="arial" w:cs="arial"/>
          <w:color w:val="000000"/>
          <w:sz w:val="20"/>
          <w:lang w:val="en-US" w:eastAsia="en-US" w:bidi="ar-SA"/>
        </w:rPr>
        <w:t>  In para. 72 of the statement of claim, she claims that the defendants engaged in "reckless and wrongful conduct" because Mazda Canada failed to inform the buying public of the alleged defect as soon as it was known to them.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57</w:t>
      </w:r>
      <w:r>
        <w:rPr>
          <w:rFonts w:ascii="arial" w:eastAsia="arial" w:hAnsi="arial" w:cs="arial"/>
          <w:color w:val="000000"/>
          <w:sz w:val="20"/>
          <w:lang w:val="en-US" w:eastAsia="en-US" w:bidi="ar-SA"/>
        </w:rPr>
        <w:t>  She asserts that, on the authorities, these claims may be sufficient to trigger a restitutionary remedy under the doctrine of waiver of tort.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58</w:t>
      </w:r>
      <w:r>
        <w:rPr>
          <w:rFonts w:ascii="arial" w:eastAsia="arial" w:hAnsi="arial" w:cs="arial"/>
          <w:color w:val="000000"/>
          <w:sz w:val="20"/>
          <w:lang w:val="en-US" w:eastAsia="en-US" w:bidi="ar-SA"/>
        </w:rPr>
        <w:t xml:space="preserve">  The plaintiff concedes that it will be necessary to amend the statement of claim to make clear that she is asserting the waiver of tort as a cause of action and not merely as a remedy. Courts in B.C. have adopted a low threshold for the requirement in s. 4(1)(a). Courts should read the statement of claim as generously as possible and, within reason, allow amendments to accommodate drafting deficiencies: </w:t>
      </w:r>
      <w:r>
        <w:rPr>
          <w:rFonts w:ascii="arial" w:eastAsia="arial" w:hAnsi="arial" w:cs="arial"/>
          <w:i/>
          <w:color w:val="000000"/>
          <w:sz w:val="20"/>
          <w:lang w:val="en-US" w:eastAsia="en-US" w:bidi="ar-SA"/>
        </w:rPr>
        <w:t>Fakhri v. Alfafa's Canada Inc.</w:t>
      </w:r>
      <w:r>
        <w:rPr>
          <w:rFonts w:ascii="arial" w:eastAsia="arial" w:hAnsi="arial" w:cs="arial"/>
          <w:color w:val="000000"/>
          <w:sz w:val="20"/>
          <w:lang w:val="en-US" w:eastAsia="en-US" w:bidi="ar-SA"/>
        </w:rPr>
        <w:t xml:space="preserve">, </w:t>
      </w:r>
      <w:hyperlink r:id="rId1049" w:history="1">
        <w:r>
          <w:rPr>
            <w:rFonts w:ascii="arial" w:eastAsia="arial" w:hAnsi="arial" w:cs="arial"/>
            <w:i/>
            <w:color w:val="0077CC"/>
            <w:sz w:val="20"/>
            <w:u w:val="single"/>
            <w:shd w:val="clear" w:color="auto" w:fill="FFFFFF"/>
            <w:lang w:val="en-US" w:eastAsia="en-US" w:bidi="ar-SA"/>
          </w:rPr>
          <w:t>2003 BCSC 1717</w:t>
        </w:r>
      </w:hyperlink>
      <w:r>
        <w:rPr>
          <w:rFonts w:ascii="arial" w:eastAsia="arial" w:hAnsi="arial" w:cs="arial"/>
          <w:color w:val="000000"/>
          <w:sz w:val="20"/>
          <w:lang w:val="en-US" w:eastAsia="en-US" w:bidi="ar-SA"/>
        </w:rPr>
        <w:t xml:space="preserve"> at para. 42. For purposes of these reasons, I assume that the plaintiff will make those amendments to her statement of claim.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59</w:t>
      </w:r>
      <w:r>
        <w:rPr>
          <w:rFonts w:ascii="arial" w:eastAsia="arial" w:hAnsi="arial" w:cs="arial"/>
          <w:color w:val="000000"/>
          <w:sz w:val="20"/>
          <w:lang w:val="en-US" w:eastAsia="en-US" w:bidi="ar-SA"/>
        </w:rPr>
        <w:t>  The defendants submit that waiver of tort is not an independent cause of action. Rather, they assert that waiver of tort is a choice of remedy for a tort that has been proven. Since it is essential that all the elements of a tort be proven, the doctrine has no application in this case.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60</w:t>
      </w:r>
      <w:r>
        <w:rPr>
          <w:rFonts w:ascii="arial" w:eastAsia="arial" w:hAnsi="arial" w:cs="arial"/>
          <w:color w:val="000000"/>
          <w:sz w:val="20"/>
          <w:lang w:val="en-US" w:eastAsia="en-US" w:bidi="ar-SA"/>
        </w:rPr>
        <w:t xml:space="preserve">  Waiver of tort is an emerging doctrine in Canadian jurisprudence. In </w:t>
      </w:r>
      <w:r>
        <w:rPr>
          <w:rFonts w:ascii="arial" w:eastAsia="arial" w:hAnsi="arial" w:cs="arial"/>
          <w:i/>
          <w:color w:val="000000"/>
          <w:sz w:val="20"/>
          <w:lang w:val="en-US" w:eastAsia="en-US" w:bidi="ar-SA"/>
        </w:rPr>
        <w:t>Pro-Sys v. Microsoft</w:t>
      </w:r>
      <w:r>
        <w:rPr>
          <w:rFonts w:ascii="arial" w:eastAsia="arial" w:hAnsi="arial" w:cs="arial"/>
          <w:color w:val="000000"/>
          <w:sz w:val="20"/>
          <w:lang w:val="en-US" w:eastAsia="en-US" w:bidi="ar-SA"/>
        </w:rPr>
        <w:t xml:space="preserve">, </w:t>
      </w:r>
      <w:hyperlink r:id="rId1050" w:history="1">
        <w:r>
          <w:rPr>
            <w:rFonts w:ascii="arial" w:eastAsia="arial" w:hAnsi="arial" w:cs="arial"/>
            <w:i/>
            <w:color w:val="0077CC"/>
            <w:sz w:val="20"/>
            <w:u w:val="single"/>
            <w:shd w:val="clear" w:color="auto" w:fill="FFFFFF"/>
            <w:lang w:val="en-US" w:eastAsia="en-US" w:bidi="ar-SA"/>
          </w:rPr>
          <w:t>2010 BCSC 285</w:t>
        </w:r>
      </w:hyperlink>
      <w:r>
        <w:rPr>
          <w:rFonts w:ascii="arial" w:eastAsia="arial" w:hAnsi="arial" w:cs="arial"/>
          <w:color w:val="000000"/>
          <w:sz w:val="20"/>
          <w:lang w:val="en-US" w:eastAsia="en-US" w:bidi="ar-SA"/>
        </w:rPr>
        <w:t xml:space="preserve"> at para. 42, the Court referred to the description of waiver of tort by Peter D. Maddaugh and John D. McCamus in </w:t>
      </w:r>
      <w:r>
        <w:rPr>
          <w:rFonts w:ascii="arial" w:eastAsia="arial" w:hAnsi="arial" w:cs="arial"/>
          <w:i/>
          <w:color w:val="000000"/>
          <w:sz w:val="20"/>
          <w:lang w:val="en-US" w:eastAsia="en-US" w:bidi="ar-SA"/>
        </w:rPr>
        <w:t>The Law of Restitution</w:t>
      </w:r>
      <w:r>
        <w:rPr>
          <w:rFonts w:ascii="arial" w:eastAsia="arial" w:hAnsi="arial" w:cs="arial"/>
          <w:color w:val="000000"/>
          <w:sz w:val="20"/>
          <w:lang w:val="en-US" w:eastAsia="en-US" w:bidi="ar-SA"/>
        </w:rPr>
        <w:t>, looseleaf (Aurora, Ont.: Canada Law Book, 2009) as follows: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doctrine known as "waiver of tort" is perhaps one of the lesser appreciated areas within the scope of the law of restitution. From the outset, it seems to have engendered an undue amount of confusion and needless complexity. ... One source of this confusion stems from the doctrine's very name. As one writer has pointed out, not entirely facetiously, it has "nothing whatever to do with waiver and really very little to do with tort". Although the phrase might be interpreted to mean that the plaintiff is somehow excusing the defendant from the wrongful act and thereby forgoing the remedy at law, the plaintiff, in fact, does no such thing. Rather, the plaintiff is simply giving up the right to sue in tort and instead electing to base the claim in restitution, thereby seeking to recoup the benefits that the defendant has derived from the tortious conduct.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61</w:t>
      </w:r>
      <w:r>
        <w:rPr>
          <w:rFonts w:ascii="arial" w:eastAsia="arial" w:hAnsi="arial" w:cs="arial"/>
          <w:color w:val="000000"/>
          <w:sz w:val="20"/>
          <w:lang w:val="en-US" w:eastAsia="en-US" w:bidi="ar-SA"/>
        </w:rPr>
        <w:t>  Considerable uncertainty emerges from the recent jurisprudence over whether waiver of tort exists as an independent cause of action or whether it is necessary to establish an actionable tort as a prerequisite to bringing a restitutionary claim.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62</w:t>
      </w:r>
      <w:r>
        <w:rPr>
          <w:rFonts w:ascii="arial" w:eastAsia="arial" w:hAnsi="arial" w:cs="arial"/>
          <w:color w:val="000000"/>
          <w:sz w:val="20"/>
          <w:lang w:val="en-US" w:eastAsia="en-US" w:bidi="ar-SA"/>
        </w:rPr>
        <w:t xml:space="preserve">  There is support in the recent authorities and among some academic commentators that an action in restitution is available to compel a defendant to disgorge an unjust enrichment gained through a wide-range of wrongdoings, such as breach of contract, breach of statutory duty, or breach of fiduciary duty: </w:t>
      </w:r>
      <w:r>
        <w:rPr>
          <w:rFonts w:ascii="arial" w:eastAsia="arial" w:hAnsi="arial" w:cs="arial"/>
          <w:i/>
          <w:color w:val="000000"/>
          <w:sz w:val="20"/>
          <w:lang w:val="en-US" w:eastAsia="en-US" w:bidi="ar-SA"/>
        </w:rPr>
        <w:t>The Law of Restitution</w:t>
      </w:r>
      <w:r>
        <w:rPr>
          <w:rFonts w:ascii="arial" w:eastAsia="arial" w:hAnsi="arial" w:cs="arial"/>
          <w:color w:val="000000"/>
          <w:sz w:val="20"/>
          <w:lang w:val="en-US" w:eastAsia="en-US" w:bidi="ar-SA"/>
        </w:rPr>
        <w:t xml:space="preserve"> at 24-2, n. 4.</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63</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Griffin v. Dell Canada Inc.</w:t>
      </w:r>
      <w:r>
        <w:rPr>
          <w:rFonts w:ascii="arial" w:eastAsia="arial" w:hAnsi="arial" w:cs="arial"/>
          <w:color w:val="000000"/>
          <w:sz w:val="20"/>
          <w:lang w:val="en-US" w:eastAsia="en-US" w:bidi="ar-SA"/>
        </w:rPr>
        <w:t xml:space="preserve">, </w:t>
      </w:r>
      <w:hyperlink r:id="rId1051" w:history="1">
        <w:r>
          <w:rPr>
            <w:rFonts w:ascii="arial" w:eastAsia="arial" w:hAnsi="arial" w:cs="arial"/>
            <w:i/>
            <w:color w:val="0077CC"/>
            <w:sz w:val="20"/>
            <w:u w:val="single"/>
            <w:shd w:val="clear" w:color="auto" w:fill="FFFFFF"/>
            <w:lang w:val="en-US" w:eastAsia="en-US" w:bidi="ar-SA"/>
          </w:rPr>
          <w:t>[2009] O.J. No. 418</w:t>
        </w:r>
      </w:hyperlink>
      <w:r>
        <w:rPr>
          <w:rFonts w:ascii="arial" w:eastAsia="arial" w:hAnsi="arial" w:cs="arial"/>
          <w:color w:val="000000"/>
          <w:sz w:val="20"/>
          <w:lang w:val="en-US" w:eastAsia="en-US" w:bidi="ar-SA"/>
        </w:rPr>
        <w:t xml:space="preserve"> at para. 63 (Sup. Ct.), the Court noted that "the main uncertainty about waiver of tort is about the scope of the wrongdoing that will come within the doctrine" (see also </w:t>
      </w:r>
      <w:r>
        <w:rPr>
          <w:rFonts w:ascii="arial" w:eastAsia="arial" w:hAnsi="arial" w:cs="arial"/>
          <w:i/>
          <w:color w:val="000000"/>
          <w:sz w:val="20"/>
          <w:lang w:val="en-US" w:eastAsia="en-US" w:bidi="ar-SA"/>
        </w:rPr>
        <w:t>Haddad v. Kaitlin Group Ltd.</w:t>
      </w:r>
      <w:r>
        <w:rPr>
          <w:rFonts w:ascii="arial" w:eastAsia="arial" w:hAnsi="arial" w:cs="arial"/>
          <w:color w:val="000000"/>
          <w:sz w:val="20"/>
          <w:lang w:val="en-US" w:eastAsia="en-US" w:bidi="ar-SA"/>
        </w:rPr>
        <w:t xml:space="preserve">, </w:t>
      </w:r>
      <w:hyperlink r:id="rId1052" w:history="1">
        <w:r>
          <w:rPr>
            <w:rFonts w:ascii="arial" w:eastAsia="arial" w:hAnsi="arial" w:cs="arial"/>
            <w:i/>
            <w:color w:val="0077CC"/>
            <w:sz w:val="20"/>
            <w:u w:val="single"/>
            <w:shd w:val="clear" w:color="auto" w:fill="FFFFFF"/>
            <w:lang w:val="en-US" w:eastAsia="en-US" w:bidi="ar-SA"/>
          </w:rPr>
          <w:t>[2008] O.J. No. 5127</w:t>
        </w:r>
      </w:hyperlink>
      <w:r>
        <w:rPr>
          <w:rFonts w:ascii="arial" w:eastAsia="arial" w:hAnsi="arial" w:cs="arial"/>
          <w:color w:val="000000"/>
          <w:sz w:val="20"/>
          <w:lang w:val="en-US" w:eastAsia="en-US" w:bidi="ar-SA"/>
        </w:rPr>
        <w:t xml:space="preserve"> at para. 38 (Sup. 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64</w:t>
      </w:r>
      <w:r>
        <w:rPr>
          <w:rFonts w:ascii="arial" w:eastAsia="arial" w:hAnsi="arial" w:cs="arial"/>
          <w:color w:val="000000"/>
          <w:sz w:val="20"/>
          <w:lang w:val="en-US" w:eastAsia="en-US" w:bidi="ar-SA"/>
        </w:rPr>
        <w:t xml:space="preserve">  Counsel referred in their submissions at the hearing to </w:t>
      </w:r>
      <w:r>
        <w:rPr>
          <w:rFonts w:ascii="arial" w:eastAsia="arial" w:hAnsi="arial" w:cs="arial"/>
          <w:i/>
          <w:color w:val="000000"/>
          <w:sz w:val="20"/>
          <w:lang w:val="en-US" w:eastAsia="en-US" w:bidi="ar-SA"/>
        </w:rPr>
        <w:t>Pro-Sys Consultants Ltd. v. Infineon Technologies AG</w:t>
      </w:r>
      <w:r>
        <w:rPr>
          <w:rFonts w:ascii="arial" w:eastAsia="arial" w:hAnsi="arial" w:cs="arial"/>
          <w:color w:val="000000"/>
          <w:sz w:val="20"/>
          <w:lang w:val="en-US" w:eastAsia="en-US" w:bidi="ar-SA"/>
        </w:rPr>
        <w:t xml:space="preserve">, </w:t>
      </w:r>
      <w:hyperlink r:id="rId1053" w:history="1">
        <w:r>
          <w:rPr>
            <w:rFonts w:ascii="arial" w:eastAsia="arial" w:hAnsi="arial" w:cs="arial"/>
            <w:i/>
            <w:color w:val="0077CC"/>
            <w:sz w:val="20"/>
            <w:u w:val="single"/>
            <w:shd w:val="clear" w:color="auto" w:fill="FFFFFF"/>
            <w:lang w:val="en-US" w:eastAsia="en-US" w:bidi="ar-SA"/>
          </w:rPr>
          <w:t>2008 BCSC 575</w:t>
        </w:r>
      </w:hyperlink>
      <w:r>
        <w:rPr>
          <w:rFonts w:ascii="arial" w:eastAsia="arial" w:hAnsi="arial" w:cs="arial"/>
          <w:color w:val="000000"/>
          <w:sz w:val="20"/>
          <w:lang w:val="en-US" w:eastAsia="en-US" w:bidi="ar-SA"/>
        </w:rPr>
        <w:t xml:space="preserve">. While the present case was under reserve, counsel for the defendants brought to the Court's attention the fact that the Court of Appeal reversed the chambers judge's, </w:t>
      </w:r>
      <w:hyperlink r:id="rId1053" w:history="1">
        <w:r>
          <w:rPr>
            <w:rFonts w:ascii="arial" w:eastAsia="arial" w:hAnsi="arial" w:cs="arial"/>
            <w:i/>
            <w:color w:val="0077CC"/>
            <w:sz w:val="20"/>
            <w:u w:val="single"/>
            <w:shd w:val="clear" w:color="auto" w:fill="FFFFFF"/>
            <w:lang w:val="en-US" w:eastAsia="en-US" w:bidi="ar-SA"/>
          </w:rPr>
          <w:t>[2008] B.C.J. No. 831</w:t>
        </w:r>
      </w:hyperlink>
      <w:r>
        <w:rPr>
          <w:rFonts w:ascii="arial" w:eastAsia="arial" w:hAnsi="arial" w:cs="arial"/>
          <w:color w:val="000000"/>
          <w:sz w:val="20"/>
          <w:lang w:val="en-US" w:eastAsia="en-US" w:bidi="ar-SA"/>
        </w:rPr>
        <w:t xml:space="preserve">, decision: </w:t>
      </w:r>
      <w:hyperlink r:id="rId1045" w:history="1">
        <w:r>
          <w:rPr>
            <w:rFonts w:ascii="arial" w:eastAsia="arial" w:hAnsi="arial" w:cs="arial"/>
            <w:i/>
            <w:color w:val="0077CC"/>
            <w:sz w:val="20"/>
            <w:u w:val="single"/>
            <w:shd w:val="clear" w:color="auto" w:fill="FFFFFF"/>
            <w:lang w:val="en-US" w:eastAsia="en-US" w:bidi="ar-SA"/>
          </w:rPr>
          <w:t>2009 BCCA 503</w:t>
        </w:r>
      </w:hyperlink>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65</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Infineon</w:t>
      </w:r>
      <w:r>
        <w:rPr>
          <w:rFonts w:ascii="arial" w:eastAsia="arial" w:hAnsi="arial" w:cs="arial"/>
          <w:color w:val="000000"/>
          <w:sz w:val="20"/>
          <w:lang w:val="en-US" w:eastAsia="en-US" w:bidi="ar-SA"/>
        </w:rPr>
        <w:t xml:space="preserve">, the plaintiff sued the defendant manufacturers of "DRAM", a semiconductor memory chip, for unlawful overcharges resulting from price-fixing. It sought damages in tort for civil conspiracy to fix prices and for intentional interference with economic interests, damages pursuant to the </w:t>
      </w:r>
      <w:r>
        <w:rPr>
          <w:rFonts w:ascii="arial" w:eastAsia="arial" w:hAnsi="arial" w:cs="arial"/>
          <w:i/>
          <w:color w:val="000000"/>
          <w:sz w:val="20"/>
          <w:lang w:val="en-US" w:eastAsia="en-US" w:bidi="ar-SA"/>
        </w:rPr>
        <w:t>Competition Act,</w:t>
      </w:r>
      <w:r>
        <w:rPr>
          <w:rFonts w:ascii="arial" w:eastAsia="arial" w:hAnsi="arial" w:cs="arial"/>
          <w:color w:val="000000"/>
          <w:sz w:val="20"/>
          <w:lang w:val="en-US" w:eastAsia="en-US" w:bidi="ar-SA"/>
        </w:rPr>
        <w:t xml:space="preserve"> </w:t>
      </w:r>
      <w:hyperlink r:id="rId1054" w:history="1">
        <w:r>
          <w:rPr>
            <w:rFonts w:ascii="arial" w:eastAsia="arial" w:hAnsi="arial" w:cs="arial"/>
            <w:i/>
            <w:color w:val="0077CC"/>
            <w:sz w:val="20"/>
            <w:u w:val="single"/>
            <w:shd w:val="clear" w:color="auto" w:fill="FFFFFF"/>
            <w:lang w:val="en-US" w:eastAsia="en-US" w:bidi="ar-SA"/>
          </w:rPr>
          <w:t>R.S.C. 1985, c. C-34</w:t>
        </w:r>
      </w:hyperlink>
      <w:r>
        <w:rPr>
          <w:rFonts w:ascii="arial" w:eastAsia="arial" w:hAnsi="arial" w:cs="arial"/>
          <w:color w:val="000000"/>
          <w:sz w:val="20"/>
          <w:lang w:val="en-US" w:eastAsia="en-US" w:bidi="ar-SA"/>
        </w:rPr>
        <w:t>, for price fixing and other anti-competitive offences and punitive damages. It also sought restitutionary awards in unjust enrichment, constructive trust and waiver of tort, including orders that the defendants account for the disgorgement of profits of their unlawful conspiracy. The chambers judge dismissed the certification application.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66</w:t>
      </w:r>
      <w:r>
        <w:rPr>
          <w:rFonts w:ascii="arial" w:eastAsia="arial" w:hAnsi="arial" w:cs="arial"/>
          <w:color w:val="000000"/>
          <w:sz w:val="20"/>
          <w:lang w:val="en-US" w:eastAsia="en-US" w:bidi="ar-SA"/>
        </w:rPr>
        <w:t>  The Court of Appeal concluded that the issue of the defendants' alleged wrongful conduct could be tried as a common issue and that the common issue trial would have the potential to decide liability and determine the entire action without resort to individualized inquiries. It held at para. 4 that a class proceeding would clearly be the preferable procedure.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67</w:t>
      </w:r>
      <w:r>
        <w:rPr>
          <w:rFonts w:ascii="arial" w:eastAsia="arial" w:hAnsi="arial" w:cs="arial"/>
          <w:color w:val="000000"/>
          <w:sz w:val="20"/>
          <w:lang w:val="en-US" w:eastAsia="en-US" w:bidi="ar-SA"/>
        </w:rPr>
        <w:t xml:space="preserve">  The Court of Appeal stated that the claim for waiver of tort might be advanced by a class as a whole without requiring proof of individual loss in circumstances where the defendant realized a gain as a result of their wrongful conduct. As the Court observed in </w:t>
      </w:r>
      <w:r>
        <w:rPr>
          <w:rFonts w:ascii="arial" w:eastAsia="arial" w:hAnsi="arial" w:cs="arial"/>
          <w:i/>
          <w:color w:val="000000"/>
          <w:sz w:val="20"/>
          <w:lang w:val="en-US" w:eastAsia="en-US" w:bidi="ar-SA"/>
        </w:rPr>
        <w:t>Gautam v. Canada Line Rapid Transit Inc.</w:t>
      </w:r>
      <w:r>
        <w:rPr>
          <w:rFonts w:ascii="arial" w:eastAsia="arial" w:hAnsi="arial" w:cs="arial"/>
          <w:color w:val="000000"/>
          <w:sz w:val="20"/>
          <w:lang w:val="en-US" w:eastAsia="en-US" w:bidi="ar-SA"/>
        </w:rPr>
        <w:t xml:space="preserve">, </w:t>
      </w:r>
      <w:hyperlink r:id="rId1055" w:history="1">
        <w:r>
          <w:rPr>
            <w:rFonts w:ascii="arial" w:eastAsia="arial" w:hAnsi="arial" w:cs="arial"/>
            <w:i/>
            <w:color w:val="0077CC"/>
            <w:sz w:val="20"/>
            <w:u w:val="single"/>
            <w:shd w:val="clear" w:color="auto" w:fill="FFFFFF"/>
            <w:lang w:val="en-US" w:eastAsia="en-US" w:bidi="ar-SA"/>
          </w:rPr>
          <w:t>2010 BCSC 163</w:t>
        </w:r>
      </w:hyperlink>
      <w:r>
        <w:rPr>
          <w:rFonts w:ascii="arial" w:eastAsia="arial" w:hAnsi="arial" w:cs="arial"/>
          <w:color w:val="000000"/>
          <w:sz w:val="20"/>
          <w:lang w:val="en-US" w:eastAsia="en-US" w:bidi="ar-SA"/>
        </w:rPr>
        <w:t xml:space="preserve"> at para. 42, the parameters of what constitutes "wrongful conduct" appear not to have been fully defined.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68</w:t>
      </w:r>
      <w:r>
        <w:rPr>
          <w:rFonts w:ascii="arial" w:eastAsia="arial" w:hAnsi="arial" w:cs="arial"/>
          <w:color w:val="000000"/>
          <w:sz w:val="20"/>
          <w:lang w:val="en-US" w:eastAsia="en-US" w:bidi="ar-SA"/>
        </w:rPr>
        <w:t xml:space="preserve">  Waiver of tort is described as a restitutionary claim in which the wrongdoer is compelled to disgorge the fruits of the wrongdoing. The Court of Appeal in </w:t>
      </w:r>
      <w:r>
        <w:rPr>
          <w:rFonts w:ascii="arial" w:eastAsia="arial" w:hAnsi="arial" w:cs="arial"/>
          <w:i/>
          <w:color w:val="000000"/>
          <w:sz w:val="20"/>
          <w:lang w:val="en-US" w:eastAsia="en-US" w:bidi="ar-SA"/>
        </w:rPr>
        <w:t>Infineon</w:t>
      </w:r>
      <w:r>
        <w:rPr>
          <w:rFonts w:ascii="arial" w:eastAsia="arial" w:hAnsi="arial" w:cs="arial"/>
          <w:color w:val="000000"/>
          <w:sz w:val="20"/>
          <w:lang w:val="en-US" w:eastAsia="en-US" w:bidi="ar-SA"/>
        </w:rPr>
        <w:t xml:space="preserve"> articulated that these benefit-based claims are to be distinguished from loss-based claims such as claims in tort and contract, where the object is to compensate the innocent party for a loss.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69</w:t>
      </w:r>
      <w:r>
        <w:rPr>
          <w:rFonts w:ascii="arial" w:eastAsia="arial" w:hAnsi="arial" w:cs="arial"/>
          <w:color w:val="000000"/>
          <w:sz w:val="20"/>
          <w:lang w:val="en-US" w:eastAsia="en-US" w:bidi="ar-SA"/>
        </w:rPr>
        <w:t xml:space="preserve">  The Court of Appeal in </w:t>
      </w:r>
      <w:r>
        <w:rPr>
          <w:rFonts w:ascii="arial" w:eastAsia="arial" w:hAnsi="arial" w:cs="arial"/>
          <w:i/>
          <w:color w:val="000000"/>
          <w:sz w:val="20"/>
          <w:lang w:val="en-US" w:eastAsia="en-US" w:bidi="ar-SA"/>
        </w:rPr>
        <w:t>Infineon</w:t>
      </w:r>
      <w:r>
        <w:rPr>
          <w:rFonts w:ascii="arial" w:eastAsia="arial" w:hAnsi="arial" w:cs="arial"/>
          <w:color w:val="000000"/>
          <w:sz w:val="20"/>
          <w:lang w:val="en-US" w:eastAsia="en-US" w:bidi="ar-SA"/>
        </w:rPr>
        <w:t xml:space="preserve"> cited with approval the Court's conclusions in </w:t>
      </w:r>
      <w:r>
        <w:rPr>
          <w:rFonts w:ascii="arial" w:eastAsia="arial" w:hAnsi="arial" w:cs="arial"/>
          <w:i/>
          <w:color w:val="000000"/>
          <w:sz w:val="20"/>
          <w:lang w:val="en-US" w:eastAsia="en-US" w:bidi="ar-SA"/>
        </w:rPr>
        <w:t>Serhan v. Johnson &amp; Johnson</w:t>
      </w:r>
      <w:r>
        <w:rPr>
          <w:rFonts w:ascii="arial" w:eastAsia="arial" w:hAnsi="arial" w:cs="arial"/>
          <w:color w:val="000000"/>
          <w:sz w:val="20"/>
          <w:lang w:val="en-US" w:eastAsia="en-US" w:bidi="ar-SA"/>
        </w:rPr>
        <w:t xml:space="preserve"> </w:t>
      </w:r>
      <w:hyperlink r:id="rId1056" w:history="1">
        <w:r>
          <w:rPr>
            <w:rFonts w:ascii="arial" w:eastAsia="arial" w:hAnsi="arial" w:cs="arial"/>
            <w:i/>
            <w:color w:val="0077CC"/>
            <w:sz w:val="20"/>
            <w:u w:val="single"/>
            <w:shd w:val="clear" w:color="auto" w:fill="FFFFFF"/>
            <w:lang w:val="en-US" w:eastAsia="en-US" w:bidi="ar-SA"/>
          </w:rPr>
          <w:t>(2006), 85 O.R. (3d) 665</w:t>
        </w:r>
      </w:hyperlink>
      <w:r>
        <w:rPr>
          <w:rFonts w:ascii="arial" w:eastAsia="arial" w:hAnsi="arial" w:cs="arial"/>
          <w:color w:val="000000"/>
          <w:sz w:val="20"/>
          <w:lang w:val="en-US" w:eastAsia="en-US" w:bidi="ar-SA"/>
        </w:rPr>
        <w:t xml:space="preserve"> at para. 157 (Div. Ct.):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[157] Given the uncertain state of the law concerning both waiver of tort and the potential of disgorgement liability and the circumstances under which the remedy of a constructive trust may be recognized, it is not appropriate that the court should embark upon an analysis of this nature and significance at this early stage without a complete factual foundation. This is particularly so given the policy implications of the issues raised in this proceeding, implications for which the class proceedings regime in this province is specifically designed in that it is intended to provide a mechanism for correcting the behaviour of wrongdoers who would, absent its specialized procedures, be immune from legal consequences for their behaviour.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70</w:t>
      </w:r>
      <w:r>
        <w:rPr>
          <w:rFonts w:ascii="arial" w:eastAsia="arial" w:hAnsi="arial" w:cs="arial"/>
          <w:color w:val="000000"/>
          <w:sz w:val="20"/>
          <w:lang w:val="en-US" w:eastAsia="en-US" w:bidi="ar-SA"/>
        </w:rPr>
        <w:t>  At this point, doctrinally, the criteria for waiver of tort requires clarification. It is unclear given the unsettled state of the jurisprudence whether allegations of wrongful conduct in a product liability case such as this would ground a claim for restitutionary relief. It is at least arguable that such an action may be grounded in the wrongful conduct of the defendants without any need to prove all the elements of an actionable tort. It is also arguable that the plaintiff class members have an independent cause of action which would allow class members to recover any benefit the defendant gained from its alleged wrongful acts without having to demonstrate harm or prove damages to the class members.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71</w:t>
      </w:r>
      <w:r>
        <w:rPr>
          <w:rFonts w:ascii="arial" w:eastAsia="arial" w:hAnsi="arial" w:cs="arial"/>
          <w:color w:val="000000"/>
          <w:sz w:val="20"/>
          <w:lang w:val="en-US" w:eastAsia="en-US" w:bidi="ar-SA"/>
        </w:rPr>
        <w:t xml:space="preserve">  In the result, I conclude that the jurisprudence with respect to waiver of tort is not sufficiently settled such that I am permitted to strike the claim. It is a novel claim, but it is not "plain and obvious" that based on the allegations of wrongful conduct in this case that the claim for waiver of tort would fail. This cause of action satisfies the criterion under s. 4(1)(a) of the </w:t>
      </w:r>
      <w:r>
        <w:rPr>
          <w:rFonts w:ascii="arial" w:eastAsia="arial" w:hAnsi="arial" w:cs="arial"/>
          <w:i/>
          <w:color w:val="000000"/>
          <w:sz w:val="20"/>
          <w:lang w:val="en-US" w:eastAsia="en-US" w:bidi="ar-SA"/>
        </w:rPr>
        <w:t>CPA</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u w:val="single"/>
          <w:lang w:val="en-US" w:eastAsia="en-US" w:bidi="ar-SA"/>
        </w:rPr>
        <w:t>Conclusion on Causes of Action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72</w:t>
      </w:r>
      <w:r>
        <w:rPr>
          <w:rFonts w:ascii="arial" w:eastAsia="arial" w:hAnsi="arial" w:cs="arial"/>
          <w:color w:val="000000"/>
          <w:sz w:val="20"/>
          <w:lang w:val="en-US" w:eastAsia="en-US" w:bidi="ar-SA"/>
        </w:rPr>
        <w:t xml:space="preserve">  The requirement under s. 4(1)(a) of the </w:t>
      </w:r>
      <w:r>
        <w:rPr>
          <w:rFonts w:ascii="arial" w:eastAsia="arial" w:hAnsi="arial" w:cs="arial"/>
          <w:i/>
          <w:color w:val="000000"/>
          <w:sz w:val="20"/>
          <w:lang w:val="en-US" w:eastAsia="en-US" w:bidi="ar-SA"/>
        </w:rPr>
        <w:t>CPA</w:t>
      </w:r>
      <w:r>
        <w:rPr>
          <w:rFonts w:ascii="arial" w:eastAsia="arial" w:hAnsi="arial" w:cs="arial"/>
          <w:color w:val="000000"/>
          <w:sz w:val="20"/>
          <w:lang w:val="en-US" w:eastAsia="en-US" w:bidi="ar-SA"/>
        </w:rPr>
        <w:t xml:space="preserve"> is satisfied. The pleadings disclose a cause of action under both the </w:t>
      </w:r>
      <w:r>
        <w:rPr>
          <w:rFonts w:ascii="arial" w:eastAsia="arial" w:hAnsi="arial" w:cs="arial"/>
          <w:i/>
          <w:color w:val="000000"/>
          <w:sz w:val="20"/>
          <w:lang w:val="en-US" w:eastAsia="en-US" w:bidi="ar-SA"/>
        </w:rPr>
        <w:t>SGA</w:t>
      </w:r>
      <w:r>
        <w:rPr>
          <w:rFonts w:ascii="arial" w:eastAsia="arial" w:hAnsi="arial" w:cs="arial"/>
          <w:color w:val="000000"/>
          <w:sz w:val="20"/>
          <w:lang w:val="en-US" w:eastAsia="en-US" w:bidi="ar-SA"/>
        </w:rPr>
        <w:t xml:space="preserve"> and the </w:t>
      </w:r>
      <w:r>
        <w:rPr>
          <w:rFonts w:ascii="arial" w:eastAsia="arial" w:hAnsi="arial" w:cs="arial"/>
          <w:i/>
          <w:color w:val="000000"/>
          <w:sz w:val="20"/>
          <w:lang w:val="en-US" w:eastAsia="en-US" w:bidi="ar-SA"/>
        </w:rPr>
        <w:t>BPCPA</w:t>
      </w:r>
      <w:r>
        <w:rPr>
          <w:rFonts w:ascii="arial" w:eastAsia="arial" w:hAnsi="arial" w:cs="arial"/>
          <w:color w:val="000000"/>
          <w:sz w:val="20"/>
          <w:lang w:val="en-US" w:eastAsia="en-US" w:bidi="ar-SA"/>
        </w:rPr>
        <w:t>. Further, it is not plain and obvious that the claim for waiver of tort would fail.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Identifiable Class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73</w:t>
      </w:r>
      <w:r>
        <w:rPr>
          <w:rFonts w:ascii="arial" w:eastAsia="arial" w:hAnsi="arial" w:cs="arial"/>
          <w:color w:val="000000"/>
          <w:sz w:val="20"/>
          <w:lang w:val="en-US" w:eastAsia="en-US" w:bidi="ar-SA"/>
        </w:rPr>
        <w:t xml:space="preserve">  The size of the potential class is a factor which may affect the analysis for whether the class action is the preferable procedure. For the purposes of s. 4(1)(b) of the </w:t>
      </w:r>
      <w:r>
        <w:rPr>
          <w:rFonts w:ascii="arial" w:eastAsia="arial" w:hAnsi="arial" w:cs="arial"/>
          <w:i/>
          <w:color w:val="000000"/>
          <w:sz w:val="20"/>
          <w:lang w:val="en-US" w:eastAsia="en-US" w:bidi="ar-SA"/>
        </w:rPr>
        <w:t>CPA</w:t>
      </w:r>
      <w:r>
        <w:rPr>
          <w:rFonts w:ascii="arial" w:eastAsia="arial" w:hAnsi="arial" w:cs="arial"/>
          <w:color w:val="000000"/>
          <w:sz w:val="20"/>
          <w:lang w:val="en-US" w:eastAsia="en-US" w:bidi="ar-SA"/>
        </w:rPr>
        <w:t>, the question is only whether there is an identifiable class of two or more persons.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74</w:t>
      </w:r>
      <w:r>
        <w:rPr>
          <w:rFonts w:ascii="arial" w:eastAsia="arial" w:hAnsi="arial" w:cs="arial"/>
          <w:color w:val="000000"/>
          <w:sz w:val="20"/>
          <w:lang w:val="en-US" w:eastAsia="en-US" w:bidi="ar-SA"/>
        </w:rPr>
        <w:t>  In this case, the plaintiff alleges the class is everyone who bought or leased a Mazda3 in the relevant time period. The class description proposed by the plaintiff contains objectively identifiable characteristics.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75</w:t>
      </w:r>
      <w:r>
        <w:rPr>
          <w:rFonts w:ascii="arial" w:eastAsia="arial" w:hAnsi="arial" w:cs="arial"/>
          <w:color w:val="000000"/>
          <w:sz w:val="20"/>
          <w:lang w:val="en-US" w:eastAsia="en-US" w:bidi="ar-SA"/>
        </w:rPr>
        <w:t>  As referred to above, Mr. MacPhee has deposed that the Mazda Canada has records of the sales (including leases) of vehicles with the relevant lock mechanism and that the records show sales by authorized dealers in B.C. totalling 17,909. This information establishes the existence and scope of the class.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76</w:t>
      </w:r>
      <w:r>
        <w:rPr>
          <w:rFonts w:ascii="arial" w:eastAsia="arial" w:hAnsi="arial" w:cs="arial"/>
          <w:color w:val="000000"/>
          <w:sz w:val="20"/>
          <w:lang w:val="en-US" w:eastAsia="en-US" w:bidi="ar-SA"/>
        </w:rPr>
        <w:t xml:space="preserve">  There must nonetheless be some rational relationship between the class and the proposed common issues. This requirement has been characterized as an "air of reality" test. A court should examine the reality of the linkage between the plaintiff's claim and the proposed class: </w:t>
      </w:r>
      <w:r>
        <w:rPr>
          <w:rFonts w:ascii="arial" w:eastAsia="arial" w:hAnsi="arial" w:cs="arial"/>
          <w:i/>
          <w:color w:val="000000"/>
          <w:sz w:val="20"/>
          <w:lang w:val="en-US" w:eastAsia="en-US" w:bidi="ar-SA"/>
        </w:rPr>
        <w:t>Chartrand v. General Motors Corp.</w:t>
      </w:r>
      <w:r>
        <w:rPr>
          <w:rFonts w:ascii="arial" w:eastAsia="arial" w:hAnsi="arial" w:cs="arial"/>
          <w:color w:val="000000"/>
          <w:sz w:val="20"/>
          <w:lang w:val="en-US" w:eastAsia="en-US" w:bidi="ar-SA"/>
        </w:rPr>
        <w:t xml:space="preserve">, </w:t>
      </w:r>
      <w:hyperlink r:id="rId1057" w:history="1">
        <w:r>
          <w:rPr>
            <w:rFonts w:ascii="arial" w:eastAsia="arial" w:hAnsi="arial" w:cs="arial"/>
            <w:i/>
            <w:color w:val="0077CC"/>
            <w:sz w:val="20"/>
            <w:u w:val="single"/>
            <w:shd w:val="clear" w:color="auto" w:fill="FFFFFF"/>
            <w:lang w:val="en-US" w:eastAsia="en-US" w:bidi="ar-SA"/>
          </w:rPr>
          <w:t>2008 BCSC 1781</w:t>
        </w:r>
      </w:hyperlink>
      <w:r>
        <w:rPr>
          <w:rFonts w:ascii="arial" w:eastAsia="arial" w:hAnsi="arial" w:cs="arial"/>
          <w:color w:val="000000"/>
          <w:sz w:val="20"/>
          <w:lang w:val="en-US" w:eastAsia="en-US" w:bidi="ar-SA"/>
        </w:rPr>
        <w:t xml:space="preserve"> at para. 61.</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77</w:t>
      </w:r>
      <w:r>
        <w:rPr>
          <w:rFonts w:ascii="arial" w:eastAsia="arial" w:hAnsi="arial" w:cs="arial"/>
          <w:color w:val="000000"/>
          <w:sz w:val="20"/>
          <w:lang w:val="en-US" w:eastAsia="en-US" w:bidi="ar-SA"/>
        </w:rPr>
        <w:t>  Since June 2007, counsel for the plaintiff has been contacted by approximately 128 owners of the subject Mazda3 vehicles who have allegedly suffered a loss as a result of the defect in the door lock mechanism. The plaintiff also produced various internet blogs which she asserts are evidence of Mazda3 owners' concern about the door lock issue. Notably, the completion rate for the installation of the Reinforcements in Mazda3 vehicles bought or leased in B.C. was approximately 84 percent.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78</w:t>
      </w:r>
      <w:r>
        <w:rPr>
          <w:rFonts w:ascii="arial" w:eastAsia="arial" w:hAnsi="arial" w:cs="arial"/>
          <w:color w:val="000000"/>
          <w:sz w:val="20"/>
          <w:lang w:val="en-US" w:eastAsia="en-US" w:bidi="ar-SA"/>
        </w:rPr>
        <w:t>  There is an evidentiary basis to support the assertion that there is an identifiable class with a rational relationship to the proposed common issues.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79</w:t>
      </w:r>
      <w:r>
        <w:rPr>
          <w:rFonts w:ascii="arial" w:eastAsia="arial" w:hAnsi="arial" w:cs="arial"/>
          <w:color w:val="000000"/>
          <w:sz w:val="20"/>
          <w:lang w:val="en-US" w:eastAsia="en-US" w:bidi="ar-SA"/>
        </w:rPr>
        <w:t xml:space="preserve">  In the result, the requirement in s. 4(1)(b) of the </w:t>
      </w:r>
      <w:r>
        <w:rPr>
          <w:rFonts w:ascii="arial" w:eastAsia="arial" w:hAnsi="arial" w:cs="arial"/>
          <w:i/>
          <w:color w:val="000000"/>
          <w:sz w:val="20"/>
          <w:lang w:val="en-US" w:eastAsia="en-US" w:bidi="ar-SA"/>
        </w:rPr>
        <w:t>CPA</w:t>
      </w:r>
      <w:r>
        <w:rPr>
          <w:rFonts w:ascii="arial" w:eastAsia="arial" w:hAnsi="arial" w:cs="arial"/>
          <w:color w:val="000000"/>
          <w:sz w:val="20"/>
          <w:lang w:val="en-US" w:eastAsia="en-US" w:bidi="ar-SA"/>
        </w:rPr>
        <w:t xml:space="preserve"> is satisfied.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Common Issues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80</w:t>
      </w:r>
      <w:r>
        <w:rPr>
          <w:rFonts w:ascii="arial" w:eastAsia="arial" w:hAnsi="arial" w:cs="arial"/>
          <w:color w:val="000000"/>
          <w:sz w:val="20"/>
          <w:lang w:val="en-US" w:eastAsia="en-US" w:bidi="ar-SA"/>
        </w:rPr>
        <w:t xml:space="preserve">  Section 1 of the </w:t>
      </w:r>
      <w:r>
        <w:rPr>
          <w:rFonts w:ascii="arial" w:eastAsia="arial" w:hAnsi="arial" w:cs="arial"/>
          <w:i/>
          <w:color w:val="000000"/>
          <w:sz w:val="20"/>
          <w:lang w:val="en-US" w:eastAsia="en-US" w:bidi="ar-SA"/>
        </w:rPr>
        <w:t>CPA</w:t>
      </w:r>
      <w:r>
        <w:rPr>
          <w:rFonts w:ascii="arial" w:eastAsia="arial" w:hAnsi="arial" w:cs="arial"/>
          <w:color w:val="000000"/>
          <w:sz w:val="20"/>
          <w:lang w:val="en-US" w:eastAsia="en-US" w:bidi="ar-SA"/>
        </w:rPr>
        <w:t xml:space="preserve"> defines common issues as "common but not necessarily identical issues of fact" or "common but not necessarily identical issues of law that arise from common but not necessarily identical facts".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81</w:t>
      </w:r>
      <w:r>
        <w:rPr>
          <w:rFonts w:ascii="arial" w:eastAsia="arial" w:hAnsi="arial" w:cs="arial"/>
          <w:color w:val="000000"/>
          <w:sz w:val="20"/>
          <w:lang w:val="en-US" w:eastAsia="en-US" w:bidi="ar-SA"/>
        </w:rPr>
        <w:t xml:space="preserve">  This is the critical inquiry which lies at the heart of a class proceeding: </w:t>
      </w:r>
      <w:r>
        <w:rPr>
          <w:rFonts w:ascii="arial" w:eastAsia="arial" w:hAnsi="arial" w:cs="arial"/>
          <w:i/>
          <w:color w:val="000000"/>
          <w:sz w:val="20"/>
          <w:lang w:val="en-US" w:eastAsia="en-US" w:bidi="ar-SA"/>
        </w:rPr>
        <w:t>Campbell v. Flexwatt Corp.</w:t>
      </w:r>
      <w:r>
        <w:rPr>
          <w:rFonts w:ascii="arial" w:eastAsia="arial" w:hAnsi="arial" w:cs="arial"/>
          <w:color w:val="000000"/>
          <w:sz w:val="20"/>
          <w:lang w:val="en-US" w:eastAsia="en-US" w:bidi="ar-SA"/>
        </w:rPr>
        <w:t xml:space="preserve"> </w:t>
      </w:r>
      <w:hyperlink r:id="rId1058" w:history="1">
        <w:r>
          <w:rPr>
            <w:rFonts w:ascii="arial" w:eastAsia="arial" w:hAnsi="arial" w:cs="arial"/>
            <w:i/>
            <w:color w:val="0077CC"/>
            <w:sz w:val="20"/>
            <w:u w:val="single"/>
            <w:shd w:val="clear" w:color="auto" w:fill="FFFFFF"/>
            <w:lang w:val="en-US" w:eastAsia="en-US" w:bidi="ar-SA"/>
          </w:rPr>
          <w:t>(1997), 44 B.C.L.R. (3d) 343</w:t>
        </w:r>
      </w:hyperlink>
      <w:r>
        <w:rPr>
          <w:rFonts w:ascii="arial" w:eastAsia="arial" w:hAnsi="arial" w:cs="arial"/>
          <w:color w:val="000000"/>
          <w:sz w:val="20"/>
          <w:lang w:val="en-US" w:eastAsia="en-US" w:bidi="ar-SA"/>
        </w:rPr>
        <w:t xml:space="preserve"> at para. 62 (C.A.).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82</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Western Canadian Shopping Centres Ltd. v. Dutton</w:t>
      </w:r>
      <w:r>
        <w:rPr>
          <w:rFonts w:ascii="arial" w:eastAsia="arial" w:hAnsi="arial" w:cs="arial"/>
          <w:color w:val="000000"/>
          <w:sz w:val="20"/>
          <w:lang w:val="en-US" w:eastAsia="en-US" w:bidi="ar-SA"/>
        </w:rPr>
        <w:t xml:space="preserve">, </w:t>
      </w:r>
      <w:hyperlink r:id="rId945" w:history="1">
        <w:r>
          <w:rPr>
            <w:rFonts w:ascii="arial" w:eastAsia="arial" w:hAnsi="arial" w:cs="arial"/>
            <w:i/>
            <w:color w:val="0077CC"/>
            <w:sz w:val="20"/>
            <w:u w:val="single"/>
            <w:shd w:val="clear" w:color="auto" w:fill="FFFFFF"/>
            <w:lang w:val="en-US" w:eastAsia="en-US" w:bidi="ar-SA"/>
          </w:rPr>
          <w:t>2001 SCC 46</w:t>
        </w:r>
      </w:hyperlink>
      <w:r>
        <w:rPr>
          <w:rFonts w:ascii="arial" w:eastAsia="arial" w:hAnsi="arial" w:cs="arial"/>
          <w:color w:val="000000"/>
          <w:sz w:val="20"/>
          <w:lang w:val="en-US" w:eastAsia="en-US" w:bidi="ar-SA"/>
        </w:rPr>
        <w:t xml:space="preserve"> at para. 39, the comments of McLachlin C.J.C. with respect to the test of "commonality" are instructive: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Commonality tests have been a source of confusion in the courts. The commonality question should be approached purposively. The underlying question is whether allowing the suit to proceed as a representative one will avoid duplication of fact-finding or legal analysis. Thus an issue will be "common" only where its resolution is necessary to the resolution of each class member's claim. It is not essential that the class members be identically situated </w:t>
      </w:r>
      <w:r>
        <w:rPr>
          <w:rFonts w:ascii="arial" w:eastAsia="arial" w:hAnsi="arial" w:cs="arial"/>
          <w:i/>
          <w:color w:val="000000"/>
          <w:sz w:val="20"/>
          <w:lang w:val="en-US" w:eastAsia="en-US" w:bidi="ar-SA"/>
        </w:rPr>
        <w:t>vis-à-vis</w:t>
      </w:r>
      <w:r>
        <w:rPr>
          <w:rFonts w:ascii="arial" w:eastAsia="arial" w:hAnsi="arial" w:cs="arial"/>
          <w:color w:val="000000"/>
          <w:sz w:val="20"/>
          <w:lang w:val="en-US" w:eastAsia="en-US" w:bidi="ar-SA"/>
        </w:rPr>
        <w:t xml:space="preserve"> the opposing party. Nor is it necessary that common issues predominate over non-common issues or that the resolution of the common issues would be determinative of each class member's claim. However, the class members' claims must share a substantial common ingredient to justify a class action.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83</w:t>
      </w:r>
      <w:r>
        <w:rPr>
          <w:rFonts w:ascii="arial" w:eastAsia="arial" w:hAnsi="arial" w:cs="arial"/>
          <w:color w:val="000000"/>
          <w:sz w:val="20"/>
          <w:lang w:val="en-US" w:eastAsia="en-US" w:bidi="ar-SA"/>
        </w:rPr>
        <w:t xml:space="preserve">  It emerges from the authorities that the resolution of the common issue must advance the litigation, but it is not necessary that the resolution of the common issues be determinative of liability. The resolution of the point in question must be applicable to all in the class or subclass who will be bound by it and must be capable of extrapolation to all defendants who will be bound by it: </w:t>
      </w:r>
      <w:r>
        <w:rPr>
          <w:rFonts w:ascii="arial" w:eastAsia="arial" w:hAnsi="arial" w:cs="arial"/>
          <w:i/>
          <w:color w:val="000000"/>
          <w:sz w:val="20"/>
          <w:lang w:val="en-US" w:eastAsia="en-US" w:bidi="ar-SA"/>
        </w:rPr>
        <w:t>Harrington v. Dow Corning Corp.</w:t>
      </w:r>
      <w:r>
        <w:rPr>
          <w:rFonts w:ascii="arial" w:eastAsia="arial" w:hAnsi="arial" w:cs="arial"/>
          <w:color w:val="000000"/>
          <w:sz w:val="20"/>
          <w:lang w:val="en-US" w:eastAsia="en-US" w:bidi="ar-SA"/>
        </w:rPr>
        <w:t xml:space="preserve">, </w:t>
      </w:r>
      <w:hyperlink r:id="rId1059" w:history="1">
        <w:r>
          <w:rPr>
            <w:rFonts w:ascii="arial" w:eastAsia="arial" w:hAnsi="arial" w:cs="arial"/>
            <w:i/>
            <w:color w:val="0077CC"/>
            <w:sz w:val="20"/>
            <w:u w:val="single"/>
            <w:shd w:val="clear" w:color="auto" w:fill="FFFFFF"/>
            <w:lang w:val="en-US" w:eastAsia="en-US" w:bidi="ar-SA"/>
          </w:rPr>
          <w:t>2000 BCCA 605</w:t>
        </w:r>
      </w:hyperlink>
      <w:r>
        <w:rPr>
          <w:rFonts w:ascii="arial" w:eastAsia="arial" w:hAnsi="arial" w:cs="arial"/>
          <w:color w:val="000000"/>
          <w:sz w:val="20"/>
          <w:lang w:val="en-US" w:eastAsia="en-US" w:bidi="ar-SA"/>
        </w:rPr>
        <w:t xml:space="preserve"> paras. 20-24. The court must not engage in weighing the merits of the proposed common issues.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84</w:t>
      </w:r>
      <w:r>
        <w:rPr>
          <w:rFonts w:ascii="arial" w:eastAsia="arial" w:hAnsi="arial" w:cs="arial"/>
          <w:color w:val="000000"/>
          <w:sz w:val="20"/>
          <w:lang w:val="en-US" w:eastAsia="en-US" w:bidi="ar-SA"/>
        </w:rPr>
        <w:t>  The question of whether the common issues justify a class action may require the court to examine the significance of the common issues in relation to the individual issues. This will depend on consideration of the preferable procedure, which will be discussed under the next heading.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85</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Rumley v. British Columbia</w:t>
      </w:r>
      <w:r>
        <w:rPr>
          <w:rFonts w:ascii="arial" w:eastAsia="arial" w:hAnsi="arial" w:cs="arial"/>
          <w:color w:val="000000"/>
          <w:sz w:val="20"/>
          <w:lang w:val="en-US" w:eastAsia="en-US" w:bidi="ar-SA"/>
        </w:rPr>
        <w:t xml:space="preserve">, </w:t>
      </w:r>
      <w:hyperlink r:id="rId975" w:history="1">
        <w:r>
          <w:rPr>
            <w:rFonts w:ascii="arial" w:eastAsia="arial" w:hAnsi="arial" w:cs="arial"/>
            <w:i/>
            <w:color w:val="0077CC"/>
            <w:sz w:val="20"/>
            <w:u w:val="single"/>
            <w:shd w:val="clear" w:color="auto" w:fill="FFFFFF"/>
            <w:lang w:val="en-US" w:eastAsia="en-US" w:bidi="ar-SA"/>
          </w:rPr>
          <w:t>2001 SCC 69</w:t>
        </w:r>
      </w:hyperlink>
      <w:r>
        <w:rPr>
          <w:rFonts w:ascii="arial" w:eastAsia="arial" w:hAnsi="arial" w:cs="arial"/>
          <w:color w:val="000000"/>
          <w:sz w:val="20"/>
          <w:lang w:val="en-US" w:eastAsia="en-US" w:bidi="ar-SA"/>
        </w:rPr>
        <w:t xml:space="preserve"> at para. 33, McLachlin C.J.C. states that while the </w:t>
      </w:r>
      <w:r>
        <w:rPr>
          <w:rFonts w:ascii="arial" w:eastAsia="arial" w:hAnsi="arial" w:cs="arial"/>
          <w:i/>
          <w:color w:val="000000"/>
          <w:sz w:val="20"/>
          <w:lang w:val="en-US" w:eastAsia="en-US" w:bidi="ar-SA"/>
        </w:rPr>
        <w:t>CPA</w:t>
      </w:r>
      <w:r>
        <w:rPr>
          <w:rFonts w:ascii="arial" w:eastAsia="arial" w:hAnsi="arial" w:cs="arial"/>
          <w:color w:val="000000"/>
          <w:sz w:val="20"/>
          <w:lang w:val="en-US" w:eastAsia="en-US" w:bidi="ar-SA"/>
        </w:rPr>
        <w:t xml:space="preserve"> clearly contemplates that the predominance of common issues "over issues affecting only individual members" will be a factor in the preferability inquiry, "it makes equally clear that predominance should not be a factor at the commonality stage". She concludes at para. 33 that "the question at the commonality stage is, at least under the British Columbia </w:t>
      </w:r>
      <w:r>
        <w:rPr>
          <w:rFonts w:ascii="arial" w:eastAsia="arial" w:hAnsi="arial" w:cs="arial"/>
          <w:i/>
          <w:color w:val="000000"/>
          <w:sz w:val="20"/>
          <w:lang w:val="en-US" w:eastAsia="en-US" w:bidi="ar-SA"/>
        </w:rPr>
        <w:t>Class Proceedings Act</w:t>
      </w:r>
      <w:r>
        <w:rPr>
          <w:rFonts w:ascii="arial" w:eastAsia="arial" w:hAnsi="arial" w:cs="arial"/>
          <w:color w:val="000000"/>
          <w:sz w:val="20"/>
          <w:lang w:val="en-US" w:eastAsia="en-US" w:bidi="ar-SA"/>
        </w:rPr>
        <w:t>, quite narrow".</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86</w:t>
      </w:r>
      <w:r>
        <w:rPr>
          <w:rFonts w:ascii="arial" w:eastAsia="arial" w:hAnsi="arial" w:cs="arial"/>
          <w:color w:val="000000"/>
          <w:sz w:val="20"/>
          <w:lang w:val="en-US" w:eastAsia="en-US" w:bidi="ar-SA"/>
        </w:rPr>
        <w:t>  I will address each of the common issues in turn.</w:t>
      </w:r>
      <w:r>
        <w:rPr>
          <w:rFonts w:ascii="arial" w:eastAsia="arial" w:hAnsi="arial" w:cs="arial"/>
          <w:sz w:val="20"/>
          <w:lang w:val="en-US" w:eastAsia="en-US" w:bidi="ar-SA"/>
        </w:rPr>
        <w:cr/>
      </w:r>
    </w:p>
    <w:p>
      <w:pPr>
        <w:numPr>
          <w:numId w:val="24"/>
        </w:numPr>
        <w:tabs>
          <w:tab w:val="num" w:pos="760"/>
          <w:tab w:val="clear" w:pos="1480"/>
        </w:tabs>
        <w:spacing w:before="120" w:line="260" w:lineRule="atLeast"/>
        <w:ind w:left="760"/>
        <w:jc w:val="both"/>
        <w:rPr>
          <w:rFonts w:ascii="arial" w:eastAsia="arial" w:hAnsi="arial" w:cs="arial"/>
          <w:sz w:val="20"/>
          <w:lang w:val="en-US" w:eastAsia="en-US" w:bidi="ar-SA"/>
        </w:rPr>
      </w:pPr>
      <w:r>
        <w:rPr>
          <w:rFonts w:ascii="arial" w:eastAsia="arial" w:hAnsi="arial" w:cs="arial"/>
          <w:color w:val="000000"/>
          <w:sz w:val="20"/>
          <w:u w:val="single"/>
          <w:lang w:val="en-US" w:eastAsia="en-US" w:bidi="ar-SA"/>
        </w:rPr>
        <w:t>Was the door lock mechanism defective?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u w:val="single"/>
          <w:lang w:val="en-US" w:eastAsia="en-US" w:bidi="ar-SA"/>
        </w:rPr>
        <w:t xml:space="preserve">(2) Did the sale or lease of the Mazda3 vehicle with this door lock mechanism breach the implied warranties as to quality and fitness pursuant to ss. 18(a) and (b) of the </w:t>
      </w:r>
      <w:r>
        <w:rPr>
          <w:rFonts w:ascii="arial" w:eastAsia="arial" w:hAnsi="arial" w:cs="arial"/>
          <w:i/>
          <w:color w:val="000000"/>
          <w:sz w:val="20"/>
          <w:u w:val="single"/>
          <w:lang w:val="en-US" w:eastAsia="en-US" w:bidi="ar-SA"/>
        </w:rPr>
        <w:t>SGA</w:t>
      </w:r>
      <w:r>
        <w:rPr>
          <w:rFonts w:ascii="arial" w:eastAsia="arial" w:hAnsi="arial" w:cs="arial"/>
          <w:color w:val="000000"/>
          <w:sz w:val="20"/>
          <w:u w:val="single"/>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87</w:t>
      </w:r>
      <w:r>
        <w:rPr>
          <w:rFonts w:ascii="arial" w:eastAsia="arial" w:hAnsi="arial" w:cs="arial"/>
          <w:color w:val="000000"/>
          <w:sz w:val="20"/>
          <w:lang w:val="en-US" w:eastAsia="en-US" w:bidi="ar-SA"/>
        </w:rPr>
        <w:t>  The plaintiff submits that these common issues constitute the heart of the lawsuit. All the other claims turn on a finding that the door lock mechanism was defective.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88</w:t>
      </w:r>
      <w:r>
        <w:rPr>
          <w:rFonts w:ascii="arial" w:eastAsia="arial" w:hAnsi="arial" w:cs="arial"/>
          <w:color w:val="000000"/>
          <w:sz w:val="20"/>
          <w:lang w:val="en-US" w:eastAsia="en-US" w:bidi="ar-SA"/>
        </w:rPr>
        <w:t xml:space="preserve">  The plaintiff argues that unless the case is certified as a class action and the question of "defect" is certified as a common issue, this underlying factual dispute will never be resolved. The product is defective if it falls short of what it was reasonable to expect the product to be in all the circumstances: </w:t>
      </w:r>
      <w:r>
        <w:rPr>
          <w:rFonts w:ascii="arial" w:eastAsia="arial" w:hAnsi="arial" w:cs="arial"/>
          <w:i/>
          <w:color w:val="000000"/>
          <w:sz w:val="20"/>
          <w:lang w:val="en-US" w:eastAsia="en-US" w:bidi="ar-SA"/>
        </w:rPr>
        <w:t>Harrington</w:t>
      </w:r>
      <w:r>
        <w:rPr>
          <w:rFonts w:ascii="arial" w:eastAsia="arial" w:hAnsi="arial" w:cs="arial"/>
          <w:color w:val="000000"/>
          <w:sz w:val="20"/>
          <w:lang w:val="en-US" w:eastAsia="en-US" w:bidi="ar-SA"/>
        </w:rPr>
        <w:t xml:space="preserve"> at para. 33.</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89</w:t>
      </w:r>
      <w:r>
        <w:rPr>
          <w:rFonts w:ascii="arial" w:eastAsia="arial" w:hAnsi="arial" w:cs="arial"/>
          <w:color w:val="000000"/>
          <w:sz w:val="20"/>
          <w:lang w:val="en-US" w:eastAsia="en-US" w:bidi="ar-SA"/>
        </w:rPr>
        <w:t xml:space="preserve">  The plaintiff contends that the presence or absence of a "defect" is essentially a statement of the test of "fitness" and "merchantability" under the </w:t>
      </w:r>
      <w:r>
        <w:rPr>
          <w:rFonts w:ascii="arial" w:eastAsia="arial" w:hAnsi="arial" w:cs="arial"/>
          <w:i/>
          <w:color w:val="000000"/>
          <w:sz w:val="20"/>
          <w:lang w:val="en-US" w:eastAsia="en-US" w:bidi="ar-SA"/>
        </w:rPr>
        <w:t>SGA</w:t>
      </w:r>
      <w:r>
        <w:rPr>
          <w:rFonts w:ascii="arial" w:eastAsia="arial" w:hAnsi="arial" w:cs="arial"/>
          <w:color w:val="000000"/>
          <w:sz w:val="20"/>
          <w:lang w:val="en-US" w:eastAsia="en-US" w:bidi="ar-SA"/>
        </w:rPr>
        <w:t>; the Mazda3 lock was not reasonably fit for its purpose and the defective lock breached the implied condition that the Mazda3 be of merchantable quality.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90</w:t>
      </w:r>
      <w:r>
        <w:rPr>
          <w:rFonts w:ascii="arial" w:eastAsia="arial" w:hAnsi="arial" w:cs="arial"/>
          <w:color w:val="000000"/>
          <w:sz w:val="20"/>
          <w:lang w:val="en-US" w:eastAsia="en-US" w:bidi="ar-SA"/>
        </w:rPr>
        <w:t xml:space="preserve">  The defendants challenge the allegation that the door lock is defective. They also submit that this proposed common issue is not capable of class-wide determination. There is no commonality to the question of fitness because the use to which the product is actually subjected cannot be demonstrated on a class-wide basis. The inquiry proposed by the plaintiff would require an examination as to the adequacy of the design to meet a postulated criminal attack of some nature, duration and intensity. This abstract inquiry can bear no demonstrated relationship to the experience of the plaintiff or any other class member. They also argue that reliance in the context of the </w:t>
      </w:r>
      <w:r>
        <w:rPr>
          <w:rFonts w:ascii="arial" w:eastAsia="arial" w:hAnsi="arial" w:cs="arial"/>
          <w:i/>
          <w:color w:val="000000"/>
          <w:sz w:val="20"/>
          <w:lang w:val="en-US" w:eastAsia="en-US" w:bidi="ar-SA"/>
        </w:rPr>
        <w:t>SGA</w:t>
      </w:r>
      <w:r>
        <w:rPr>
          <w:rFonts w:ascii="arial" w:eastAsia="arial" w:hAnsi="arial" w:cs="arial"/>
          <w:color w:val="000000"/>
          <w:sz w:val="20"/>
          <w:lang w:val="en-US" w:eastAsia="en-US" w:bidi="ar-SA"/>
        </w:rPr>
        <w:t xml:space="preserve"> is necessarily an individual issue. Further, with respect to the merchantable quality test required in s. 18(b) of the </w:t>
      </w:r>
      <w:r>
        <w:rPr>
          <w:rFonts w:ascii="arial" w:eastAsia="arial" w:hAnsi="arial" w:cs="arial"/>
          <w:i/>
          <w:color w:val="000000"/>
          <w:sz w:val="20"/>
          <w:lang w:val="en-US" w:eastAsia="en-US" w:bidi="ar-SA"/>
        </w:rPr>
        <w:t>SGA</w:t>
      </w:r>
      <w:r>
        <w:rPr>
          <w:rFonts w:ascii="arial" w:eastAsia="arial" w:hAnsi="arial" w:cs="arial"/>
          <w:color w:val="000000"/>
          <w:sz w:val="20"/>
          <w:lang w:val="en-US" w:eastAsia="en-US" w:bidi="ar-SA"/>
        </w:rPr>
        <w:t>, the defendants contend that this requires a consideration of individual circumstances which would vary from purchaser to purchaser.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91</w:t>
      </w:r>
      <w:r>
        <w:rPr>
          <w:rFonts w:ascii="arial" w:eastAsia="arial" w:hAnsi="arial" w:cs="arial"/>
          <w:color w:val="000000"/>
          <w:sz w:val="20"/>
          <w:lang w:val="en-US" w:eastAsia="en-US" w:bidi="ar-SA"/>
        </w:rPr>
        <w:t>  The analysis that follows is pertinent to both common issues (1) and (2).</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92</w:t>
      </w:r>
      <w:r>
        <w:rPr>
          <w:rFonts w:ascii="arial" w:eastAsia="arial" w:hAnsi="arial" w:cs="arial"/>
          <w:color w:val="000000"/>
          <w:sz w:val="20"/>
          <w:lang w:val="en-US" w:eastAsia="en-US" w:bidi="ar-SA"/>
        </w:rPr>
        <w:t>  The plaintiff relies on the expert report of Mr. Swayze, which describes the nature of his investigation and sets out his findings and conclusions with respect to the "break-in potential of vehicles with this door lock mechanism, and the causes of the apparent failure". Mr. Swayze provides a technical explanation of why the door opens when there is a "low impact load shoulder check" to the area just above the lock. He says that it is due to inadequate door shin strength and, in the unremediated models, a lack of an additional structural component to resist relative movement of the door lock barrel. He observes that the Reinforcement is a "significant modification".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93</w:t>
      </w:r>
      <w:r>
        <w:rPr>
          <w:rFonts w:ascii="arial" w:eastAsia="arial" w:hAnsi="arial" w:cs="arial"/>
          <w:color w:val="000000"/>
          <w:sz w:val="20"/>
          <w:lang w:val="en-US" w:eastAsia="en-US" w:bidi="ar-SA"/>
        </w:rPr>
        <w:t>  The defendants vigorously assert that the plaintiff's expert report only confirms that a foreseeable attack on a Mazda 3 door may or may not succeed and that the results may vary with the nature, intensity and duration of the attack on the vehicle. They also assert that the plaintiff has not adduced any evidence to demonstrate that Mazda3 vehicles experience a higher rate of criminal attacks than other types of vehicles. They contend that the evidence of Mr. Swayze does not establish a common design defect because he does not opine that the lock is defective. There is no evidence of any common standard or of the Mazda3 vehicle's failure to meet a common standard in resisting criminal attack. They argue that the tests to which Mr. Swayze subjected the lock cannot be extrapolated to vehicles owned by other members of the class.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94</w:t>
      </w:r>
      <w:r>
        <w:rPr>
          <w:rFonts w:ascii="arial" w:eastAsia="arial" w:hAnsi="arial" w:cs="arial"/>
          <w:color w:val="000000"/>
          <w:sz w:val="20"/>
          <w:lang w:val="en-US" w:eastAsia="en-US" w:bidi="ar-SA"/>
        </w:rPr>
        <w:t>  The defendants rely on the expert opinion of Mr. Jewell, referred to earlier.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95</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Infineon</w:t>
      </w:r>
      <w:r>
        <w:rPr>
          <w:rFonts w:ascii="arial" w:eastAsia="arial" w:hAnsi="arial" w:cs="arial"/>
          <w:color w:val="000000"/>
          <w:sz w:val="20"/>
          <w:lang w:val="en-US" w:eastAsia="en-US" w:bidi="ar-SA"/>
        </w:rPr>
        <w:t xml:space="preserve"> at paras. 65-66, the Court of Appeal clearly enunciates that on a certification hearing, the evidentiary burden is not onerous and that conflicting expert evidence is not to be subjected to the same rigorous scrutiny as would be appropriate at trial:</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[65] ... However, in conformity with the liberal and purposive approach to certification, the evidentiary burden is not an onerous one - it requires only a "minimum evidentiary basis": </w:t>
      </w:r>
      <w:r>
        <w:rPr>
          <w:rFonts w:ascii="arial" w:eastAsia="arial" w:hAnsi="arial" w:cs="arial"/>
          <w:i/>
          <w:color w:val="000000"/>
          <w:sz w:val="20"/>
          <w:lang w:val="en-US" w:eastAsia="en-US" w:bidi="ar-SA"/>
        </w:rPr>
        <w:t>Hollick</w:t>
      </w:r>
      <w:r>
        <w:rPr>
          <w:rFonts w:ascii="arial" w:eastAsia="arial" w:hAnsi="arial" w:cs="arial"/>
          <w:color w:val="000000"/>
          <w:sz w:val="20"/>
          <w:lang w:val="en-US" w:eastAsia="en-US" w:bidi="ar-SA"/>
        </w:rPr>
        <w:t xml:space="preserve">, at paras. 21, 24-25; </w:t>
      </w:r>
      <w:r>
        <w:rPr>
          <w:rFonts w:ascii="arial" w:eastAsia="arial" w:hAnsi="arial" w:cs="arial"/>
          <w:i/>
          <w:color w:val="000000"/>
          <w:sz w:val="20"/>
          <w:lang w:val="en-US" w:eastAsia="en-US" w:bidi="ar-SA"/>
        </w:rPr>
        <w:t>Stewart v. General Motors of Canada Ltd.</w:t>
      </w:r>
      <w:r>
        <w:rPr>
          <w:rFonts w:ascii="arial" w:eastAsia="arial" w:hAnsi="arial" w:cs="arial"/>
          <w:color w:val="000000"/>
          <w:sz w:val="20"/>
          <w:lang w:val="en-US" w:eastAsia="en-US" w:bidi="ar-SA"/>
        </w:rPr>
        <w:t xml:space="preserve">, </w:t>
      </w:r>
      <w:hyperlink r:id="rId1060" w:history="1">
        <w:r>
          <w:rPr>
            <w:rFonts w:ascii="arial" w:eastAsia="arial" w:hAnsi="arial" w:cs="arial"/>
            <w:i/>
            <w:color w:val="0077CC"/>
            <w:sz w:val="20"/>
            <w:u w:val="single"/>
            <w:shd w:val="clear" w:color="auto" w:fill="FFFFFF"/>
            <w:lang w:val="en-US" w:eastAsia="en-US" w:bidi="ar-SA"/>
          </w:rPr>
          <w:t>[2007] O.J. No. 2319</w:t>
        </w:r>
      </w:hyperlink>
      <w:r>
        <w:rPr>
          <w:rFonts w:ascii="arial" w:eastAsia="arial" w:hAnsi="arial" w:cs="arial"/>
          <w:color w:val="000000"/>
          <w:sz w:val="20"/>
          <w:lang w:val="en-US" w:eastAsia="en-US" w:bidi="ar-SA"/>
        </w:rPr>
        <w:t xml:space="preserve"> (S.C.J.) at para. 19. As stated in </w:t>
      </w:r>
      <w:r>
        <w:rPr>
          <w:rFonts w:ascii="arial" w:eastAsia="arial" w:hAnsi="arial" w:cs="arial"/>
          <w:i/>
          <w:color w:val="000000"/>
          <w:sz w:val="20"/>
          <w:lang w:val="en-US" w:eastAsia="en-US" w:bidi="ar-SA"/>
        </w:rPr>
        <w:t>Cloud v. Canada (Attorney General)</w:t>
      </w:r>
      <w:r>
        <w:rPr>
          <w:rFonts w:ascii="arial" w:eastAsia="arial" w:hAnsi="arial" w:cs="arial"/>
          <w:color w:val="000000"/>
          <w:sz w:val="20"/>
          <w:lang w:val="en-US" w:eastAsia="en-US" w:bidi="ar-SA"/>
        </w:rPr>
        <w:t xml:space="preserve"> </w:t>
      </w:r>
      <w:hyperlink r:id="rId1061" w:history="1">
        <w:r>
          <w:rPr>
            <w:rFonts w:ascii="arial" w:eastAsia="arial" w:hAnsi="arial" w:cs="arial"/>
            <w:i/>
            <w:color w:val="0077CC"/>
            <w:sz w:val="20"/>
            <w:u w:val="single"/>
            <w:shd w:val="clear" w:color="auto" w:fill="FFFFFF"/>
            <w:lang w:val="en-US" w:eastAsia="en-US" w:bidi="ar-SA"/>
          </w:rPr>
          <w:t>(2004), 247 D.L.R. (4th) 667</w:t>
        </w:r>
      </w:hyperlink>
      <w:r>
        <w:rPr>
          <w:rFonts w:ascii="arial" w:eastAsia="arial" w:hAnsi="arial" w:cs="arial"/>
          <w:color w:val="000000"/>
          <w:sz w:val="20"/>
          <w:lang w:val="en-US" w:eastAsia="en-US" w:bidi="ar-SA"/>
        </w:rPr>
        <w:t xml:space="preserve"> at para. 50, </w:t>
      </w:r>
      <w:hyperlink r:id="rId1061" w:history="1">
        <w:r>
          <w:rPr>
            <w:rFonts w:ascii="arial" w:eastAsia="arial" w:hAnsi="arial" w:cs="arial"/>
            <w:i/>
            <w:color w:val="0077CC"/>
            <w:sz w:val="20"/>
            <w:u w:val="single"/>
            <w:shd w:val="clear" w:color="auto" w:fill="FFFFFF"/>
            <w:lang w:val="en-US" w:eastAsia="en-US" w:bidi="ar-SA"/>
          </w:rPr>
          <w:t>73 O.R. (3d) 401</w:t>
        </w:r>
      </w:hyperlink>
      <w:r>
        <w:rPr>
          <w:rFonts w:ascii="arial" w:eastAsia="arial" w:hAnsi="arial" w:cs="arial"/>
          <w:color w:val="000000"/>
          <w:sz w:val="20"/>
          <w:lang w:val="en-US" w:eastAsia="en-US" w:bidi="ar-SA"/>
        </w:rPr>
        <w:t xml:space="preserve"> (C.A.), leave to appeal ref'd </w:t>
      </w:r>
      <w:hyperlink r:id="rId1062" w:history="1">
        <w:r>
          <w:rPr>
            <w:rFonts w:ascii="arial" w:eastAsia="arial" w:hAnsi="arial" w:cs="arial"/>
            <w:i/>
            <w:color w:val="0077CC"/>
            <w:sz w:val="20"/>
            <w:u w:val="single"/>
            <w:shd w:val="clear" w:color="auto" w:fill="FFFFFF"/>
            <w:lang w:val="en-US" w:eastAsia="en-US" w:bidi="ar-SA"/>
          </w:rPr>
          <w:t>[2005] S.C.C.A. No. 50</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Cloud</w:t>
      </w:r>
      <w:r>
        <w:rPr>
          <w:rFonts w:ascii="arial" w:eastAsia="arial" w:hAnsi="arial" w:cs="arial"/>
          <w:color w:val="000000"/>
          <w:sz w:val="20"/>
          <w:lang w:val="en-US" w:eastAsia="en-US" w:bidi="ar-SA"/>
        </w:rPr>
        <w:t>],</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[O]n a certification motion the court is ill equipped to resolve conflicts in the evidence or to engage in finely calibrated assessments of evidentiary weight. What it must find is some basis in fact for the certification requirement in issue.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[66] Accordingly, where expert opinion evidence is adduced at the certification hearing, as it was here, it should not be subjected to the exacting scrutiny required at a trial. On this point, I adopt the remarks of J.L. Lax J. in </w:t>
      </w:r>
      <w:r>
        <w:rPr>
          <w:rFonts w:ascii="arial" w:eastAsia="arial" w:hAnsi="arial" w:cs="arial"/>
          <w:i/>
          <w:color w:val="000000"/>
          <w:sz w:val="20"/>
          <w:lang w:val="en-US" w:eastAsia="en-US" w:bidi="ar-SA"/>
        </w:rPr>
        <w:t>Griffin v. Dell Canada Inc.</w:t>
      </w:r>
      <w:r>
        <w:rPr>
          <w:rFonts w:ascii="arial" w:eastAsia="arial" w:hAnsi="arial" w:cs="arial"/>
          <w:color w:val="000000"/>
          <w:sz w:val="20"/>
          <w:lang w:val="en-US" w:eastAsia="en-US" w:bidi="ar-SA"/>
        </w:rPr>
        <w:t xml:space="preserve">, </w:t>
      </w:r>
      <w:hyperlink r:id="rId1051" w:history="1">
        <w:r>
          <w:rPr>
            <w:rFonts w:ascii="arial" w:eastAsia="arial" w:hAnsi="arial" w:cs="arial"/>
            <w:i/>
            <w:color w:val="0077CC"/>
            <w:sz w:val="20"/>
            <w:u w:val="single"/>
            <w:shd w:val="clear" w:color="auto" w:fill="FFFFFF"/>
            <w:lang w:val="en-US" w:eastAsia="en-US" w:bidi="ar-SA"/>
          </w:rPr>
          <w:t>[2009] O.J. No. 418</w:t>
        </w:r>
      </w:hyperlink>
      <w:r>
        <w:rPr>
          <w:rFonts w:ascii="arial" w:eastAsia="arial" w:hAnsi="arial" w:cs="arial"/>
          <w:color w:val="000000"/>
          <w:sz w:val="20"/>
          <w:lang w:val="en-US" w:eastAsia="en-US" w:bidi="ar-SA"/>
        </w:rPr>
        <w:t xml:space="preserve"> (S.C.J.) at para. 76:</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 xml:space="preserve">[76] ... However, where expert evidence is produced on a motion for certification, the nature and amount of investigation and testing required to provide a basis for a preliminary opinion will not be as extensive as would be required for an opinion to be given at trial. It follows that some lesser level of scrutiny is applied to the opinions offered, if they are otherwise admissible: </w:t>
      </w:r>
      <w:r>
        <w:rPr>
          <w:rFonts w:ascii="arial" w:eastAsia="arial" w:hAnsi="arial" w:cs="arial"/>
          <w:i/>
          <w:color w:val="000000"/>
          <w:sz w:val="20"/>
          <w:lang w:val="en-US" w:eastAsia="en-US" w:bidi="ar-SA"/>
        </w:rPr>
        <w:t>Stewart v. General Motors of Canada Ltd.</w:t>
      </w:r>
      <w:r>
        <w:rPr>
          <w:rFonts w:ascii="arial" w:eastAsia="arial" w:hAnsi="arial" w:cs="arial"/>
          <w:color w:val="000000"/>
          <w:sz w:val="20"/>
          <w:lang w:val="en-US" w:eastAsia="en-US" w:bidi="ar-SA"/>
        </w:rPr>
        <w:t xml:space="preserve">, </w:t>
      </w:r>
      <w:hyperlink r:id="rId1060" w:history="1">
        <w:r>
          <w:rPr>
            <w:rFonts w:ascii="arial" w:eastAsia="arial" w:hAnsi="arial" w:cs="arial"/>
            <w:i/>
            <w:color w:val="0077CC"/>
            <w:sz w:val="20"/>
            <w:u w:val="single"/>
            <w:shd w:val="clear" w:color="auto" w:fill="FFFFFF"/>
            <w:lang w:val="en-US" w:eastAsia="en-US" w:bidi="ar-SA"/>
          </w:rPr>
          <w:t>[2007] O.J. No. 2319</w:t>
        </w:r>
      </w:hyperlink>
      <w:r>
        <w:rPr>
          <w:rFonts w:ascii="arial" w:eastAsia="arial" w:hAnsi="arial" w:cs="arial"/>
          <w:color w:val="000000"/>
          <w:sz w:val="20"/>
          <w:lang w:val="en-US" w:eastAsia="en-US" w:bidi="ar-SA"/>
        </w:rPr>
        <w:t xml:space="preserve"> at para. 19 (Sup.Ct).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96</w:t>
      </w:r>
      <w:r>
        <w:rPr>
          <w:rFonts w:ascii="arial" w:eastAsia="arial" w:hAnsi="arial" w:cs="arial"/>
          <w:color w:val="000000"/>
          <w:sz w:val="20"/>
          <w:lang w:val="en-US" w:eastAsia="en-US" w:bidi="ar-SA"/>
        </w:rPr>
        <w:t xml:space="preserve">  As the Court of Appeal in </w:t>
      </w:r>
      <w:r>
        <w:rPr>
          <w:rFonts w:ascii="arial" w:eastAsia="arial" w:hAnsi="arial" w:cs="arial"/>
          <w:i/>
          <w:color w:val="000000"/>
          <w:sz w:val="20"/>
          <w:lang w:val="en-US" w:eastAsia="en-US" w:bidi="ar-SA"/>
        </w:rPr>
        <w:t>Infineon</w:t>
      </w:r>
      <w:r>
        <w:rPr>
          <w:rFonts w:ascii="arial" w:eastAsia="arial" w:hAnsi="arial" w:cs="arial"/>
          <w:color w:val="000000"/>
          <w:sz w:val="20"/>
          <w:lang w:val="en-US" w:eastAsia="en-US" w:bidi="ar-SA"/>
        </w:rPr>
        <w:t xml:space="preserve"> clarified, the standard required in a certification application is not the standard appropriate at trial. The certification hearing does not involve an assessment of the merits of the claim. Thus, at this preliminary stage, Mr. Swayze's report need not satisfy the merits of the claim.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97</w:t>
      </w:r>
      <w:r>
        <w:rPr>
          <w:rFonts w:ascii="arial" w:eastAsia="arial" w:hAnsi="arial" w:cs="arial"/>
          <w:color w:val="000000"/>
          <w:sz w:val="20"/>
          <w:lang w:val="en-US" w:eastAsia="en-US" w:bidi="ar-SA"/>
        </w:rPr>
        <w:t xml:space="preserve">  In the result, I am satisfied that the evidence meets the minimum evidentiary threshold required on a certification application; there is some basis in fact for the plaintiff's claim. While there may be cases where the court could conclude that there could not be any merit to the plaintiff's claim, (such as in </w:t>
      </w:r>
      <w:r>
        <w:rPr>
          <w:rFonts w:ascii="arial" w:eastAsia="arial" w:hAnsi="arial" w:cs="arial"/>
          <w:i/>
          <w:color w:val="000000"/>
          <w:sz w:val="20"/>
          <w:lang w:val="en-US" w:eastAsia="en-US" w:bidi="ar-SA"/>
        </w:rPr>
        <w:t>Ernewein v. General Motors of Canada Ltd.</w:t>
      </w:r>
      <w:r>
        <w:rPr>
          <w:rFonts w:ascii="arial" w:eastAsia="arial" w:hAnsi="arial" w:cs="arial"/>
          <w:color w:val="000000"/>
          <w:sz w:val="20"/>
          <w:lang w:val="en-US" w:eastAsia="en-US" w:bidi="ar-SA"/>
        </w:rPr>
        <w:t xml:space="preserve">, </w:t>
      </w:r>
      <w:hyperlink r:id="rId948" w:history="1">
        <w:r>
          <w:rPr>
            <w:rFonts w:ascii="arial" w:eastAsia="arial" w:hAnsi="arial" w:cs="arial"/>
            <w:i/>
            <w:color w:val="0077CC"/>
            <w:sz w:val="20"/>
            <w:u w:val="single"/>
            <w:shd w:val="clear" w:color="auto" w:fill="FFFFFF"/>
            <w:lang w:val="en-US" w:eastAsia="en-US" w:bidi="ar-SA"/>
          </w:rPr>
          <w:t>2005 BCCA 540</w:t>
        </w:r>
      </w:hyperlink>
      <w:r>
        <w:rPr>
          <w:rFonts w:ascii="arial" w:eastAsia="arial" w:hAnsi="arial" w:cs="arial"/>
          <w:color w:val="000000"/>
          <w:sz w:val="20"/>
          <w:lang w:val="en-US" w:eastAsia="en-US" w:bidi="ar-SA"/>
        </w:rPr>
        <w:t xml:space="preserve"> at para. 2, where the plaintiff failed to establish an evidentiary basis for the commonality of issues) I am not able reach that conclusion on the evidence before 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98</w:t>
      </w:r>
      <w:r>
        <w:rPr>
          <w:rFonts w:ascii="arial" w:eastAsia="arial" w:hAnsi="arial" w:cs="arial"/>
          <w:color w:val="000000"/>
          <w:sz w:val="20"/>
          <w:lang w:val="en-US" w:eastAsia="en-US" w:bidi="ar-SA"/>
        </w:rPr>
        <w:t xml:space="preserve">  In regards to the </w:t>
      </w:r>
      <w:r>
        <w:rPr>
          <w:rFonts w:ascii="arial" w:eastAsia="arial" w:hAnsi="arial" w:cs="arial"/>
          <w:i/>
          <w:color w:val="000000"/>
          <w:sz w:val="20"/>
          <w:lang w:val="en-US" w:eastAsia="en-US" w:bidi="ar-SA"/>
        </w:rPr>
        <w:t>SGA</w:t>
      </w:r>
      <w:r>
        <w:rPr>
          <w:rFonts w:ascii="arial" w:eastAsia="arial" w:hAnsi="arial" w:cs="arial"/>
          <w:color w:val="000000"/>
          <w:sz w:val="20"/>
          <w:lang w:val="en-US" w:eastAsia="en-US" w:bidi="ar-SA"/>
        </w:rPr>
        <w:t xml:space="preserve">, s. 18(a) requires that goods be "reasonably fit" for their intended purpose. As the Court observed in </w:t>
      </w:r>
      <w:r>
        <w:rPr>
          <w:rFonts w:ascii="arial" w:eastAsia="arial" w:hAnsi="arial" w:cs="arial"/>
          <w:i/>
          <w:color w:val="000000"/>
          <w:sz w:val="20"/>
          <w:lang w:val="en-US" w:eastAsia="en-US" w:bidi="ar-SA"/>
        </w:rPr>
        <w:t>Benning v. Volkswagen Canada Inc.</w:t>
      </w:r>
      <w:r>
        <w:rPr>
          <w:rFonts w:ascii="arial" w:eastAsia="arial" w:hAnsi="arial" w:cs="arial"/>
          <w:color w:val="000000"/>
          <w:sz w:val="20"/>
          <w:lang w:val="en-US" w:eastAsia="en-US" w:bidi="ar-SA"/>
        </w:rPr>
        <w:t xml:space="preserve">, </w:t>
      </w:r>
      <w:hyperlink r:id="rId1063" w:history="1">
        <w:r>
          <w:rPr>
            <w:rFonts w:ascii="arial" w:eastAsia="arial" w:hAnsi="arial" w:cs="arial"/>
            <w:i/>
            <w:color w:val="0077CC"/>
            <w:sz w:val="20"/>
            <w:u w:val="single"/>
            <w:shd w:val="clear" w:color="auto" w:fill="FFFFFF"/>
            <w:lang w:val="en-US" w:eastAsia="en-US" w:bidi="ar-SA"/>
          </w:rPr>
          <w:t>2006 BCSC 1292</w:t>
        </w:r>
      </w:hyperlink>
      <w:r>
        <w:rPr>
          <w:rFonts w:ascii="arial" w:eastAsia="arial" w:hAnsi="arial" w:cs="arial"/>
          <w:color w:val="000000"/>
          <w:sz w:val="20"/>
          <w:lang w:val="en-US" w:eastAsia="en-US" w:bidi="ar-SA"/>
        </w:rPr>
        <w:t xml:space="preserve"> at para. 37, the courts impose a high standard in assessing whether goods are reasonably fit for purpose (see also Dean F. Edgell, </w:t>
      </w:r>
      <w:r>
        <w:rPr>
          <w:rFonts w:ascii="arial" w:eastAsia="arial" w:hAnsi="arial" w:cs="arial"/>
          <w:i/>
          <w:color w:val="000000"/>
          <w:sz w:val="20"/>
          <w:lang w:val="en-US" w:eastAsia="en-US" w:bidi="ar-SA"/>
        </w:rPr>
        <w:t>Product Liability in Canada</w:t>
      </w:r>
      <w:r>
        <w:rPr>
          <w:rFonts w:ascii="arial" w:eastAsia="arial" w:hAnsi="arial" w:cs="arial"/>
          <w:color w:val="000000"/>
          <w:sz w:val="20"/>
          <w:lang w:val="en-US" w:eastAsia="en-US" w:bidi="ar-SA"/>
        </w:rPr>
        <w:t xml:space="preserve"> (Toronto: Butterworths, 2000) at 116).</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99</w:t>
      </w:r>
      <w:r>
        <w:rPr>
          <w:rFonts w:ascii="arial" w:eastAsia="arial" w:hAnsi="arial" w:cs="arial"/>
          <w:color w:val="000000"/>
          <w:sz w:val="20"/>
          <w:lang w:val="en-US" w:eastAsia="en-US" w:bidi="ar-SA"/>
        </w:rPr>
        <w:t>  The plaintiff submits that so long as the use to which the goods are being put is one that the seller can reasonably anticipate, the "court would imply that purpose for which the goods were required was the one for which one would ordinarily want the goods": Edgell at 117-18.</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100</w:t>
      </w:r>
      <w:r>
        <w:rPr>
          <w:rFonts w:ascii="arial" w:eastAsia="arial" w:hAnsi="arial" w:cs="arial"/>
          <w:color w:val="000000"/>
          <w:sz w:val="20"/>
          <w:lang w:val="en-US" w:eastAsia="en-US" w:bidi="ar-SA"/>
        </w:rPr>
        <w:t>  Further, they submit that "the courts will often infer reliance from the very fact of purchase" and that "it will be a rare case indeed, where a consumer would not be found to rely upon the seller, whose business it was to sell such a product": Edgell at 121 and 124.</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101</w:t>
      </w:r>
      <w:r>
        <w:rPr>
          <w:rFonts w:ascii="arial" w:eastAsia="arial" w:hAnsi="arial" w:cs="arial"/>
          <w:color w:val="000000"/>
          <w:sz w:val="20"/>
          <w:lang w:val="en-US" w:eastAsia="en-US" w:bidi="ar-SA"/>
        </w:rPr>
        <w:t>  The plaintiff submits that it is difficult to imagine a use for a car that would not require it to have an adequate locking mechanism and to imagine a purchaser who would not rely on the dealership to provide such a car. There is no action a purchaser can take to ensure the vehicle has adequate locks apart from reliance on the dealership.</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102</w:t>
      </w:r>
      <w:r>
        <w:rPr>
          <w:rFonts w:ascii="arial" w:eastAsia="arial" w:hAnsi="arial" w:cs="arial"/>
          <w:color w:val="000000"/>
          <w:sz w:val="20"/>
          <w:lang w:val="en-US" w:eastAsia="en-US" w:bidi="ar-SA"/>
        </w:rPr>
        <w:t>  With respect to merchantable quality, the plaintiff relies on the following statement by Edgell at 128: "[a] product is merchantable if a reasonable person would accept it in performance of the agreement to purchase".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103</w:t>
      </w:r>
      <w:r>
        <w:rPr>
          <w:rFonts w:ascii="arial" w:eastAsia="arial" w:hAnsi="arial" w:cs="arial"/>
          <w:color w:val="000000"/>
          <w:sz w:val="20"/>
          <w:lang w:val="en-US" w:eastAsia="en-US" w:bidi="ar-SA"/>
        </w:rPr>
        <w:t>  Edgell also states at 130: "[m]erchantability presumes that the goods are saleable to a buyer who is fully acquainted with the actual conditions of the goods, including latent defects".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104</w:t>
      </w:r>
      <w:r>
        <w:rPr>
          <w:rFonts w:ascii="arial" w:eastAsia="arial" w:hAnsi="arial" w:cs="arial"/>
          <w:color w:val="000000"/>
          <w:sz w:val="20"/>
          <w:lang w:val="en-US" w:eastAsia="en-US" w:bidi="ar-SA"/>
        </w:rPr>
        <w:t xml:space="preserve">  Numerous cases have held that the issues of "defect", "fitness" and "merchantability" are appropriate issues for class certification: </w:t>
      </w:r>
      <w:r>
        <w:rPr>
          <w:rFonts w:ascii="arial" w:eastAsia="arial" w:hAnsi="arial" w:cs="arial"/>
          <w:i/>
          <w:color w:val="000000"/>
          <w:sz w:val="20"/>
          <w:lang w:val="en-US" w:eastAsia="en-US" w:bidi="ar-SA"/>
        </w:rPr>
        <w:t>Fakhri</w:t>
      </w:r>
      <w:r>
        <w:rPr>
          <w:rFonts w:ascii="arial" w:eastAsia="arial" w:hAnsi="arial" w:cs="arial"/>
          <w:color w:val="000000"/>
          <w:sz w:val="20"/>
          <w:lang w:val="en-US" w:eastAsia="en-US" w:bidi="ar-SA"/>
        </w:rPr>
        <w:t xml:space="preserve"> (S.C.) at paras. 61 and 70; </w:t>
      </w:r>
      <w:r>
        <w:rPr>
          <w:rFonts w:ascii="arial" w:eastAsia="arial" w:hAnsi="arial" w:cs="arial"/>
          <w:i/>
          <w:color w:val="000000"/>
          <w:sz w:val="20"/>
          <w:lang w:val="en-US" w:eastAsia="en-US" w:bidi="ar-SA"/>
        </w:rPr>
        <w:t>Griffin</w:t>
      </w:r>
      <w:r>
        <w:rPr>
          <w:rFonts w:ascii="arial" w:eastAsia="arial" w:hAnsi="arial" w:cs="arial"/>
          <w:color w:val="000000"/>
          <w:sz w:val="20"/>
          <w:lang w:val="en-US" w:eastAsia="en-US" w:bidi="ar-SA"/>
        </w:rPr>
        <w:t xml:space="preserve"> at para. 87; </w:t>
      </w:r>
      <w:r>
        <w:rPr>
          <w:rFonts w:ascii="arial" w:eastAsia="arial" w:hAnsi="arial" w:cs="arial"/>
          <w:i/>
          <w:color w:val="000000"/>
          <w:sz w:val="20"/>
          <w:lang w:val="en-US" w:eastAsia="en-US" w:bidi="ar-SA"/>
        </w:rPr>
        <w:t>Lambert v. Guidant Corp.</w:t>
      </w:r>
      <w:r>
        <w:rPr>
          <w:rFonts w:ascii="arial" w:eastAsia="arial" w:hAnsi="arial" w:cs="arial"/>
          <w:color w:val="000000"/>
          <w:sz w:val="20"/>
          <w:lang w:val="en-US" w:eastAsia="en-US" w:bidi="ar-SA"/>
        </w:rPr>
        <w:t xml:space="preserve">, </w:t>
      </w:r>
      <w:hyperlink r:id="rId1064" w:history="1">
        <w:r>
          <w:rPr>
            <w:rFonts w:ascii="arial" w:eastAsia="arial" w:hAnsi="arial" w:cs="arial"/>
            <w:i/>
            <w:color w:val="0077CC"/>
            <w:sz w:val="20"/>
            <w:u w:val="single"/>
            <w:shd w:val="clear" w:color="auto" w:fill="FFFFFF"/>
            <w:lang w:val="en-US" w:eastAsia="en-US" w:bidi="ar-SA"/>
          </w:rPr>
          <w:t>[2009] O.J. No. 1910</w:t>
        </w:r>
      </w:hyperlink>
      <w:r>
        <w:rPr>
          <w:rFonts w:ascii="arial" w:eastAsia="arial" w:hAnsi="arial" w:cs="arial"/>
          <w:color w:val="000000"/>
          <w:sz w:val="20"/>
          <w:lang w:val="en-US" w:eastAsia="en-US" w:bidi="ar-SA"/>
        </w:rPr>
        <w:t xml:space="preserve"> at para. 119 (Sup. Ct.); </w:t>
      </w:r>
      <w:r>
        <w:rPr>
          <w:rFonts w:ascii="arial" w:eastAsia="arial" w:hAnsi="arial" w:cs="arial"/>
          <w:i/>
          <w:color w:val="000000"/>
          <w:sz w:val="20"/>
          <w:lang w:val="en-US" w:eastAsia="en-US" w:bidi="ar-SA"/>
        </w:rPr>
        <w:t>Heward v. Eli Lilly &amp; Co.</w:t>
      </w:r>
      <w:r>
        <w:rPr>
          <w:rFonts w:ascii="arial" w:eastAsia="arial" w:hAnsi="arial" w:cs="arial"/>
          <w:color w:val="000000"/>
          <w:sz w:val="20"/>
          <w:lang w:val="en-US" w:eastAsia="en-US" w:bidi="ar-SA"/>
        </w:rPr>
        <w:t xml:space="preserve"> </w:t>
      </w:r>
      <w:hyperlink r:id="rId1065" w:history="1">
        <w:r>
          <w:rPr>
            <w:rFonts w:ascii="arial" w:eastAsia="arial" w:hAnsi="arial" w:cs="arial"/>
            <w:i/>
            <w:color w:val="0077CC"/>
            <w:sz w:val="20"/>
            <w:u w:val="single"/>
            <w:shd w:val="clear" w:color="auto" w:fill="FFFFFF"/>
            <w:lang w:val="en-US" w:eastAsia="en-US" w:bidi="ar-SA"/>
          </w:rPr>
          <w:t>(2007), 39 C.P.C. (6th) 153</w:t>
        </w:r>
      </w:hyperlink>
      <w:r>
        <w:rPr>
          <w:rFonts w:ascii="arial" w:eastAsia="arial" w:hAnsi="arial" w:cs="arial"/>
          <w:color w:val="000000"/>
          <w:sz w:val="20"/>
          <w:lang w:val="en-US" w:eastAsia="en-US" w:bidi="ar-SA"/>
        </w:rPr>
        <w:t xml:space="preserve"> at paras. 77 and 125 (Ont. Sup. Ct.); </w:t>
      </w:r>
      <w:r>
        <w:rPr>
          <w:rFonts w:ascii="arial" w:eastAsia="arial" w:hAnsi="arial" w:cs="arial"/>
          <w:i/>
          <w:color w:val="000000"/>
          <w:sz w:val="20"/>
          <w:lang w:val="en-US" w:eastAsia="en-US" w:bidi="ar-SA"/>
        </w:rPr>
        <w:t>Tiboni v. Merck Frosst Canada Ltd.,</w:t>
      </w:r>
      <w:r>
        <w:rPr>
          <w:rFonts w:ascii="arial" w:eastAsia="arial" w:hAnsi="arial" w:cs="arial"/>
          <w:color w:val="000000"/>
          <w:sz w:val="20"/>
          <w:lang w:val="en-US" w:eastAsia="en-US" w:bidi="ar-SA"/>
        </w:rPr>
        <w:t xml:space="preserve"> </w:t>
      </w:r>
      <w:hyperlink r:id="rId1066" w:history="1">
        <w:r>
          <w:rPr>
            <w:rFonts w:ascii="arial" w:eastAsia="arial" w:hAnsi="arial" w:cs="arial"/>
            <w:i/>
            <w:color w:val="0077CC"/>
            <w:sz w:val="20"/>
            <w:u w:val="single"/>
            <w:shd w:val="clear" w:color="auto" w:fill="FFFFFF"/>
            <w:lang w:val="en-US" w:eastAsia="en-US" w:bidi="ar-SA"/>
          </w:rPr>
          <w:t>[2008] O.J. No. 2996</w:t>
        </w:r>
      </w:hyperlink>
      <w:r>
        <w:rPr>
          <w:rFonts w:ascii="arial" w:eastAsia="arial" w:hAnsi="arial" w:cs="arial"/>
          <w:color w:val="000000"/>
          <w:sz w:val="20"/>
          <w:lang w:val="en-US" w:eastAsia="en-US" w:bidi="ar-SA"/>
        </w:rPr>
        <w:t xml:space="preserve"> at paras. 83 and 118 (Sup. Ct.); and </w:t>
      </w:r>
      <w:r>
        <w:rPr>
          <w:rFonts w:ascii="arial" w:eastAsia="arial" w:hAnsi="arial" w:cs="arial"/>
          <w:i/>
          <w:color w:val="000000"/>
          <w:sz w:val="20"/>
          <w:lang w:val="en-US" w:eastAsia="en-US" w:bidi="ar-SA"/>
        </w:rPr>
        <w:t>Olsen v. Behr Process Corp.</w:t>
      </w:r>
      <w:r>
        <w:rPr>
          <w:rFonts w:ascii="arial" w:eastAsia="arial" w:hAnsi="arial" w:cs="arial"/>
          <w:color w:val="000000"/>
          <w:sz w:val="20"/>
          <w:lang w:val="en-US" w:eastAsia="en-US" w:bidi="ar-SA"/>
        </w:rPr>
        <w:t xml:space="preserve">, </w:t>
      </w:r>
      <w:hyperlink r:id="rId1067" w:history="1">
        <w:r>
          <w:rPr>
            <w:rFonts w:ascii="arial" w:eastAsia="arial" w:hAnsi="arial" w:cs="arial"/>
            <w:i/>
            <w:color w:val="0077CC"/>
            <w:sz w:val="20"/>
            <w:u w:val="single"/>
            <w:shd w:val="clear" w:color="auto" w:fill="FFFFFF"/>
            <w:lang w:val="en-US" w:eastAsia="en-US" w:bidi="ar-SA"/>
          </w:rPr>
          <w:t>2003 BCSC 1252</w:t>
        </w:r>
      </w:hyperlink>
      <w:r>
        <w:rPr>
          <w:rFonts w:ascii="arial" w:eastAsia="arial" w:hAnsi="arial" w:cs="arial"/>
          <w:color w:val="000000"/>
          <w:sz w:val="20"/>
          <w:lang w:val="en-US" w:eastAsia="en-US" w:bidi="ar-SA"/>
        </w:rPr>
        <w:t xml:space="preserve"> at paras. 4 and 34.</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105</w:t>
      </w:r>
      <w:r>
        <w:rPr>
          <w:rFonts w:ascii="arial" w:eastAsia="arial" w:hAnsi="arial" w:cs="arial"/>
          <w:color w:val="000000"/>
          <w:sz w:val="20"/>
          <w:lang w:val="en-US" w:eastAsia="en-US" w:bidi="ar-SA"/>
        </w:rPr>
        <w:t xml:space="preserve">  The defendants place considerable reliance on </w:t>
      </w:r>
      <w:r>
        <w:rPr>
          <w:rFonts w:ascii="arial" w:eastAsia="arial" w:hAnsi="arial" w:cs="arial"/>
          <w:i/>
          <w:color w:val="000000"/>
          <w:sz w:val="20"/>
          <w:lang w:val="en-US" w:eastAsia="en-US" w:bidi="ar-SA"/>
        </w:rPr>
        <w:t>Benning</w:t>
      </w:r>
      <w:r>
        <w:rPr>
          <w:rFonts w:ascii="arial" w:eastAsia="arial" w:hAnsi="arial" w:cs="arial"/>
          <w:color w:val="000000"/>
          <w:sz w:val="20"/>
          <w:lang w:val="en-US" w:eastAsia="en-US" w:bidi="ar-SA"/>
        </w:rPr>
        <w:t xml:space="preserve">. In that case, the plaintiff sought certification of a claim alleging that the locking system in certain Volkswagen Jetta vehicles was defective in design and susceptible to criminal attack. The proposed class was all persons in B.C. who purchased or leased such vehicles from Volkswagen dealers in B.C. The defendants, as in this case, conceded that the pleadings disclosed a cause of action under s. 18 of the </w:t>
      </w:r>
      <w:r>
        <w:rPr>
          <w:rFonts w:ascii="arial" w:eastAsia="arial" w:hAnsi="arial" w:cs="arial"/>
          <w:i/>
          <w:color w:val="000000"/>
          <w:sz w:val="20"/>
          <w:lang w:val="en-US" w:eastAsia="en-US" w:bidi="ar-SA"/>
        </w:rPr>
        <w:t>SGA</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106</w:t>
      </w:r>
      <w:r>
        <w:rPr>
          <w:rFonts w:ascii="arial" w:eastAsia="arial" w:hAnsi="arial" w:cs="arial"/>
          <w:color w:val="000000"/>
          <w:sz w:val="20"/>
          <w:lang w:val="en-US" w:eastAsia="en-US" w:bidi="ar-SA"/>
        </w:rPr>
        <w:t xml:space="preserve">  The Court concluded that the plaintiff had failed to satisfy both the "identifiable class" and "common issue requirements" of the </w:t>
      </w:r>
      <w:r>
        <w:rPr>
          <w:rFonts w:ascii="arial" w:eastAsia="arial" w:hAnsi="arial" w:cs="arial"/>
          <w:i/>
          <w:color w:val="000000"/>
          <w:sz w:val="20"/>
          <w:lang w:val="en-US" w:eastAsia="en-US" w:bidi="ar-SA"/>
        </w:rPr>
        <w:t>CPA</w:t>
      </w:r>
      <w:r>
        <w:rPr>
          <w:rFonts w:ascii="arial" w:eastAsia="arial" w:hAnsi="arial" w:cs="arial"/>
          <w:color w:val="000000"/>
          <w:sz w:val="20"/>
          <w:lang w:val="en-US" w:eastAsia="en-US" w:bidi="ar-SA"/>
        </w:rPr>
        <w:t>. The class description was too broad because it included class members that had suffered no loss; it included those who had not had their vehicles broken into at all or not had a break-in similar in kind to that of the plaintiff, Mr. Benning. The Court accepted the defendant's submission that with respect to the common issues, there was no evidence from which the court could conclude that the nature of the attack on Mr. Benning's vehicle bore any similarity to any other class member.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107</w:t>
      </w:r>
      <w:r>
        <w:rPr>
          <w:rFonts w:ascii="arial" w:eastAsia="arial" w:hAnsi="arial" w:cs="arial"/>
          <w:color w:val="000000"/>
          <w:sz w:val="20"/>
          <w:lang w:val="en-US" w:eastAsia="en-US" w:bidi="ar-SA"/>
        </w:rPr>
        <w:t>  The plaintiff's inability to prove on a class-wide basis that the "defective" locking system caused the "break-ins" and the resultant "harm" to the plaintiff was fatal to the application.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108</w:t>
      </w:r>
      <w:r>
        <w:rPr>
          <w:rFonts w:ascii="arial" w:eastAsia="arial" w:hAnsi="arial" w:cs="arial"/>
          <w:color w:val="000000"/>
          <w:sz w:val="20"/>
          <w:lang w:val="en-US" w:eastAsia="en-US" w:bidi="ar-SA"/>
        </w:rPr>
        <w:t xml:space="preserve">  The defendants argue that the same analysis can be applied in the present case. However, the facts in </w:t>
      </w:r>
      <w:r>
        <w:rPr>
          <w:rFonts w:ascii="arial" w:eastAsia="arial" w:hAnsi="arial" w:cs="arial"/>
          <w:i/>
          <w:color w:val="000000"/>
          <w:sz w:val="20"/>
          <w:lang w:val="en-US" w:eastAsia="en-US" w:bidi="ar-SA"/>
        </w:rPr>
        <w:t>Benning</w:t>
      </w:r>
      <w:r>
        <w:rPr>
          <w:rFonts w:ascii="arial" w:eastAsia="arial" w:hAnsi="arial" w:cs="arial"/>
          <w:color w:val="000000"/>
          <w:sz w:val="20"/>
          <w:lang w:val="en-US" w:eastAsia="en-US" w:bidi="ar-SA"/>
        </w:rPr>
        <w:t xml:space="preserve"> were materially different. In </w:t>
      </w:r>
      <w:r>
        <w:rPr>
          <w:rFonts w:ascii="arial" w:eastAsia="arial" w:hAnsi="arial" w:cs="arial"/>
          <w:i/>
          <w:color w:val="000000"/>
          <w:sz w:val="20"/>
          <w:lang w:val="en-US" w:eastAsia="en-US" w:bidi="ar-SA"/>
        </w:rPr>
        <w:t>Benning,</w:t>
      </w:r>
      <w:r>
        <w:rPr>
          <w:rFonts w:ascii="arial" w:eastAsia="arial" w:hAnsi="arial" w:cs="arial"/>
          <w:color w:val="000000"/>
          <w:sz w:val="20"/>
          <w:lang w:val="en-US" w:eastAsia="en-US" w:bidi="ar-SA"/>
        </w:rPr>
        <w:t xml:space="preserve"> the plaintiff similarly alleged that the lock disengaged too easily, but tools, such as a screwdriver or hammer, were still necessary to break into it: para. 16. In the present case, it is alleged that the lock disengages without tools or any technical abilities by the force of a shoulder-check to a location above the door lock mechanism.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109</w:t>
      </w:r>
      <w:r>
        <w:rPr>
          <w:rFonts w:ascii="arial" w:eastAsia="arial" w:hAnsi="arial" w:cs="arial"/>
          <w:color w:val="000000"/>
          <w:sz w:val="20"/>
          <w:lang w:val="en-US" w:eastAsia="en-US" w:bidi="ar-SA"/>
        </w:rPr>
        <w:t xml:space="preserve">  Notably in </w:t>
      </w:r>
      <w:r>
        <w:rPr>
          <w:rFonts w:ascii="arial" w:eastAsia="arial" w:hAnsi="arial" w:cs="arial"/>
          <w:i/>
          <w:color w:val="000000"/>
          <w:sz w:val="20"/>
          <w:lang w:val="en-US" w:eastAsia="en-US" w:bidi="ar-SA"/>
        </w:rPr>
        <w:t>Benning</w:t>
      </w:r>
      <w:r>
        <w:rPr>
          <w:rFonts w:ascii="arial" w:eastAsia="arial" w:hAnsi="arial" w:cs="arial"/>
          <w:color w:val="000000"/>
          <w:sz w:val="20"/>
          <w:lang w:val="en-US" w:eastAsia="en-US" w:bidi="ar-SA"/>
        </w:rPr>
        <w:t>, the plaintiff actually had his car broken into and was claiming damages for lock repair or modification. This created a problem both with respect to the class description and the common issue as there was no evidence from which a court could conclude that the nature of the attack on the plaintiff's vehicle bore any similarity to that of any other class member: para. 85.</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110</w:t>
      </w:r>
      <w:r>
        <w:rPr>
          <w:rFonts w:ascii="arial" w:eastAsia="arial" w:hAnsi="arial" w:cs="arial"/>
          <w:color w:val="000000"/>
          <w:sz w:val="20"/>
          <w:lang w:val="en-US" w:eastAsia="en-US" w:bidi="ar-SA"/>
        </w:rPr>
        <w:t xml:space="preserve">  In the present case, the plaintiff is not claiming damages based on having her car broken into or having the lock repaired or modified. Furthermore, if the plaintiff in the present case can establish a claim in waiver of tort without proof of any loss or harm to the proposed class members, she may arguably be able to overcome the critical obstacle in </w:t>
      </w:r>
      <w:r>
        <w:rPr>
          <w:rFonts w:ascii="arial" w:eastAsia="arial" w:hAnsi="arial" w:cs="arial"/>
          <w:i/>
          <w:color w:val="000000"/>
          <w:sz w:val="20"/>
          <w:lang w:val="en-US" w:eastAsia="en-US" w:bidi="ar-SA"/>
        </w:rPr>
        <w:t>Benning</w:t>
      </w:r>
      <w:r>
        <w:rPr>
          <w:rFonts w:ascii="arial" w:eastAsia="arial" w:hAnsi="arial" w:cs="arial"/>
          <w:color w:val="000000"/>
          <w:sz w:val="20"/>
          <w:lang w:val="en-US" w:eastAsia="en-US" w:bidi="ar-SA"/>
        </w:rPr>
        <w:t>, namely, the inability to demonstrate that the alleged defect caused or was likely to cause a class-wide harm.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111</w:t>
      </w:r>
      <w:r>
        <w:rPr>
          <w:rFonts w:ascii="arial" w:eastAsia="arial" w:hAnsi="arial" w:cs="arial"/>
          <w:color w:val="000000"/>
          <w:sz w:val="20"/>
          <w:lang w:val="en-US" w:eastAsia="en-US" w:bidi="ar-SA"/>
        </w:rPr>
        <w:t xml:space="preserve">  Significantly, in contrast to the facts in </w:t>
      </w:r>
      <w:r>
        <w:rPr>
          <w:rFonts w:ascii="arial" w:eastAsia="arial" w:hAnsi="arial" w:cs="arial"/>
          <w:i/>
          <w:color w:val="000000"/>
          <w:sz w:val="20"/>
          <w:lang w:val="en-US" w:eastAsia="en-US" w:bidi="ar-SA"/>
        </w:rPr>
        <w:t>Benning</w:t>
      </w:r>
      <w:r>
        <w:rPr>
          <w:rFonts w:ascii="arial" w:eastAsia="arial" w:hAnsi="arial" w:cs="arial"/>
          <w:color w:val="000000"/>
          <w:sz w:val="20"/>
          <w:lang w:val="en-US" w:eastAsia="en-US" w:bidi="ar-SA"/>
        </w:rPr>
        <w:t>, Mazda Canada addressed the alleged problem by the introduction of the Reinforcement in December 2006 and by a further production change to the design and manufacture of the door lock mechanism in May 2007. At least as early as 2007, Mazda Canada was prepared to install the Reinforcement for owners who complained to their dealerships. In 2008, Mazda Canada sent letters to the subject vehicle owners advising them of the availability of the Reinforcement for the door lock mechanism and offering them $100 towards the purchase and installation of a shock sensor alarm. From these facts, it can reasonably be inferred that there is a certain commonality in the alleged defect.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112</w:t>
      </w:r>
      <w:r>
        <w:rPr>
          <w:rFonts w:ascii="arial" w:eastAsia="arial" w:hAnsi="arial" w:cs="arial"/>
          <w:color w:val="000000"/>
          <w:sz w:val="20"/>
          <w:lang w:val="en-US" w:eastAsia="en-US" w:bidi="ar-SA"/>
        </w:rPr>
        <w:t xml:space="preserve">  For these reasons, the analysis in </w:t>
      </w:r>
      <w:r>
        <w:rPr>
          <w:rFonts w:ascii="arial" w:eastAsia="arial" w:hAnsi="arial" w:cs="arial"/>
          <w:i/>
          <w:color w:val="000000"/>
          <w:sz w:val="20"/>
          <w:lang w:val="en-US" w:eastAsia="en-US" w:bidi="ar-SA"/>
        </w:rPr>
        <w:t>Benning</w:t>
      </w:r>
      <w:r>
        <w:rPr>
          <w:rFonts w:ascii="arial" w:eastAsia="arial" w:hAnsi="arial" w:cs="arial"/>
          <w:color w:val="000000"/>
          <w:sz w:val="20"/>
          <w:lang w:val="en-US" w:eastAsia="en-US" w:bidi="ar-SA"/>
        </w:rPr>
        <w:t xml:space="preserve"> is distinguishable.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113</w:t>
      </w:r>
      <w:r>
        <w:rPr>
          <w:rFonts w:ascii="arial" w:eastAsia="arial" w:hAnsi="arial" w:cs="arial"/>
          <w:color w:val="000000"/>
          <w:sz w:val="20"/>
          <w:lang w:val="en-US" w:eastAsia="en-US" w:bidi="ar-SA"/>
        </w:rPr>
        <w:t>  I conclude that the plaintiff has provided sufficient evidence to meet the threshold required on a certification application to establish commonality in the nature of the alleged defect. The primary issues as to whether the door lock mechanism was defective, reasonably fit for its purpose and of merchantable quality are appropriate common issues. The resolution of these proposed common issues will significantly advance the litigation.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u w:val="single"/>
          <w:lang w:val="en-US" w:eastAsia="en-US" w:bidi="ar-SA"/>
        </w:rPr>
        <w:t>(3) On what date did the defendants learn that the door lock mechanism in these Mazda3 vehicles was defective?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114</w:t>
      </w:r>
      <w:r>
        <w:rPr>
          <w:rFonts w:ascii="arial" w:eastAsia="arial" w:hAnsi="arial" w:cs="arial"/>
          <w:color w:val="000000"/>
          <w:sz w:val="20"/>
          <w:lang w:val="en-US" w:eastAsia="en-US" w:bidi="ar-SA"/>
        </w:rPr>
        <w:t>  The plaintiff submits that if common issue (1) is answered in the affirmative, the issue of when the defendants learned of the alleged defect will be relevant to the claims of the class members. The Court can then evaluate the steps taken by the defendants to remediate the defect and warn potential purchasers of the defect, and consider the reasonableness of the defendants' response.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115</w:t>
      </w:r>
      <w:r>
        <w:rPr>
          <w:rFonts w:ascii="arial" w:eastAsia="arial" w:hAnsi="arial" w:cs="arial"/>
          <w:color w:val="000000"/>
          <w:sz w:val="20"/>
          <w:lang w:val="en-US" w:eastAsia="en-US" w:bidi="ar-SA"/>
        </w:rPr>
        <w:t>  As referred to earlier, Mr. MacPhee on behalf of Mazda Canada deposes that he first learned about an issue with the Mazda3 door locks on October 2, 2006 and that steps were taken to introduce a "lock reinforcement" at the assembly line on or about December 31, 2006. A further modification was made on the production line in or about May 2007.</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116</w:t>
      </w:r>
      <w:r>
        <w:rPr>
          <w:rFonts w:ascii="arial" w:eastAsia="arial" w:hAnsi="arial" w:cs="arial"/>
          <w:color w:val="000000"/>
          <w:sz w:val="20"/>
          <w:lang w:val="en-US" w:eastAsia="en-US" w:bidi="ar-SA"/>
        </w:rPr>
        <w:t>  Certification of this question as a common issue will permit appropriate discovery to take place (notably, discovery of documents) to determine the knowledge of the defendants during the period that the vehicle was sold in its unremediated state.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117</w:t>
      </w:r>
      <w:r>
        <w:rPr>
          <w:rFonts w:ascii="arial" w:eastAsia="arial" w:hAnsi="arial" w:cs="arial"/>
          <w:color w:val="000000"/>
          <w:sz w:val="20"/>
          <w:lang w:val="en-US" w:eastAsia="en-US" w:bidi="ar-SA"/>
        </w:rPr>
        <w:t xml:space="preserve">  Courts have certified common issues pertaining to the knowledge of the defendant: </w:t>
      </w:r>
      <w:r>
        <w:rPr>
          <w:rFonts w:ascii="arial" w:eastAsia="arial" w:hAnsi="arial" w:cs="arial"/>
          <w:i/>
          <w:color w:val="000000"/>
          <w:sz w:val="20"/>
          <w:lang w:val="en-US" w:eastAsia="en-US" w:bidi="ar-SA"/>
        </w:rPr>
        <w:t>Rumley</w:t>
      </w:r>
      <w:r>
        <w:rPr>
          <w:rFonts w:ascii="arial" w:eastAsia="arial" w:hAnsi="arial" w:cs="arial"/>
          <w:color w:val="000000"/>
          <w:sz w:val="20"/>
          <w:lang w:val="en-US" w:eastAsia="en-US" w:bidi="ar-SA"/>
        </w:rPr>
        <w:t xml:space="preserve"> at para. 34; </w:t>
      </w:r>
      <w:r>
        <w:rPr>
          <w:rFonts w:ascii="arial" w:eastAsia="arial" w:hAnsi="arial" w:cs="arial"/>
          <w:i/>
          <w:color w:val="000000"/>
          <w:sz w:val="20"/>
          <w:lang w:val="en-US" w:eastAsia="en-US" w:bidi="ar-SA"/>
        </w:rPr>
        <w:t>Chalmers v. AMO Canada Co.</w:t>
      </w:r>
      <w:r>
        <w:rPr>
          <w:rFonts w:ascii="arial" w:eastAsia="arial" w:hAnsi="arial" w:cs="arial"/>
          <w:color w:val="000000"/>
          <w:sz w:val="20"/>
          <w:lang w:val="en-US" w:eastAsia="en-US" w:bidi="ar-SA"/>
        </w:rPr>
        <w:t xml:space="preserve">, </w:t>
      </w:r>
      <w:hyperlink r:id="rId1068" w:history="1">
        <w:r>
          <w:rPr>
            <w:rFonts w:ascii="arial" w:eastAsia="arial" w:hAnsi="arial" w:cs="arial"/>
            <w:i/>
            <w:color w:val="0077CC"/>
            <w:sz w:val="20"/>
            <w:u w:val="single"/>
            <w:shd w:val="clear" w:color="auto" w:fill="FFFFFF"/>
            <w:lang w:val="en-US" w:eastAsia="en-US" w:bidi="ar-SA"/>
          </w:rPr>
          <w:t>2009 BCSC 689</w:t>
        </w:r>
      </w:hyperlink>
      <w:r>
        <w:rPr>
          <w:rFonts w:ascii="arial" w:eastAsia="arial" w:hAnsi="arial" w:cs="arial"/>
          <w:color w:val="000000"/>
          <w:sz w:val="20"/>
          <w:lang w:val="en-US" w:eastAsia="en-US" w:bidi="ar-SA"/>
        </w:rPr>
        <w:t xml:space="preserve"> at para. 41; and </w:t>
      </w:r>
      <w:r>
        <w:rPr>
          <w:rFonts w:ascii="arial" w:eastAsia="arial" w:hAnsi="arial" w:cs="arial"/>
          <w:i/>
          <w:color w:val="000000"/>
          <w:sz w:val="20"/>
          <w:lang w:val="en-US" w:eastAsia="en-US" w:bidi="ar-SA"/>
        </w:rPr>
        <w:t>Heward</w:t>
      </w:r>
      <w:r>
        <w:rPr>
          <w:rFonts w:ascii="arial" w:eastAsia="arial" w:hAnsi="arial" w:cs="arial"/>
          <w:color w:val="000000"/>
          <w:sz w:val="20"/>
          <w:lang w:val="en-US" w:eastAsia="en-US" w:bidi="ar-SA"/>
        </w:rPr>
        <w:t xml:space="preserve"> at paras. 77 and 125.</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118</w:t>
      </w:r>
      <w:r>
        <w:rPr>
          <w:rFonts w:ascii="arial" w:eastAsia="arial" w:hAnsi="arial" w:cs="arial"/>
          <w:color w:val="000000"/>
          <w:sz w:val="20"/>
          <w:lang w:val="en-US" w:eastAsia="en-US" w:bidi="ar-SA"/>
        </w:rPr>
        <w:t>  In my view, the resolution of this proposed common question would assist the Court in resolving the issues, particularly in relation to the doctrine of waiver of tort, and would thereby advance the litigation.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u w:val="single"/>
          <w:lang w:val="en-US" w:eastAsia="en-US" w:bidi="ar-SA"/>
        </w:rPr>
        <w:t xml:space="preserve">(4) Did the defendant supplier's representations or lack thereof concerning the performance characteristics and quality of the Mazda3 vehicle constitute "deceptive acts" under the </w:t>
      </w:r>
      <w:r>
        <w:rPr>
          <w:rFonts w:ascii="arial" w:eastAsia="arial" w:hAnsi="arial" w:cs="arial"/>
          <w:i/>
          <w:color w:val="000000"/>
          <w:sz w:val="20"/>
          <w:u w:val="single"/>
          <w:lang w:val="en-US" w:eastAsia="en-US" w:bidi="ar-SA"/>
        </w:rPr>
        <w:t>BPCPA</w:t>
      </w:r>
      <w:r>
        <w:rPr>
          <w:rFonts w:ascii="arial" w:eastAsia="arial" w:hAnsi="arial" w:cs="arial"/>
          <w:color w:val="000000"/>
          <w:sz w:val="20"/>
          <w:u w:val="single"/>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119</w:t>
      </w:r>
      <w:r>
        <w:rPr>
          <w:rFonts w:ascii="arial" w:eastAsia="arial" w:hAnsi="arial" w:cs="arial"/>
          <w:color w:val="000000"/>
          <w:sz w:val="20"/>
          <w:lang w:val="en-US" w:eastAsia="en-US" w:bidi="ar-SA"/>
        </w:rPr>
        <w:t xml:space="preserve">  The plaintiff claims that Mazda Canada engaged in a deceptive act as defined in the </w:t>
      </w:r>
      <w:r>
        <w:rPr>
          <w:rFonts w:ascii="arial" w:eastAsia="arial" w:hAnsi="arial" w:cs="arial"/>
          <w:i/>
          <w:color w:val="000000"/>
          <w:sz w:val="20"/>
          <w:lang w:val="en-US" w:eastAsia="en-US" w:bidi="ar-SA"/>
        </w:rPr>
        <w:t>BPCPA</w:t>
      </w:r>
      <w:r>
        <w:rPr>
          <w:rFonts w:ascii="arial" w:eastAsia="arial" w:hAnsi="arial" w:cs="arial"/>
          <w:color w:val="000000"/>
          <w:sz w:val="20"/>
          <w:lang w:val="en-US" w:eastAsia="en-US" w:bidi="ar-SA"/>
        </w:rPr>
        <w:t xml:space="preserve"> when it asserted that the Mazda3 had quality components, in particular, quality door locks, when it knew about the alleged defect in the door lock mechanism and at the same time was installing the Reinforcement for any Mazda3 owner who complained about the alleged defect. She seeks a declaration that the conduct of the defendants constitutes a deceptive practice within the meaning of the </w:t>
      </w:r>
      <w:r>
        <w:rPr>
          <w:rFonts w:ascii="arial" w:eastAsia="arial" w:hAnsi="arial" w:cs="arial"/>
          <w:i/>
          <w:color w:val="000000"/>
          <w:sz w:val="20"/>
          <w:lang w:val="en-US" w:eastAsia="en-US" w:bidi="ar-SA"/>
        </w:rPr>
        <w:t>BPCPA</w:t>
      </w:r>
      <w:r>
        <w:rPr>
          <w:rFonts w:ascii="arial" w:eastAsia="arial" w:hAnsi="arial" w:cs="arial"/>
          <w:color w:val="000000"/>
          <w:sz w:val="20"/>
          <w:lang w:val="en-US" w:eastAsia="en-US" w:bidi="ar-SA"/>
        </w:rPr>
        <w:t xml:space="preserve"> and a remedy pursuant to ss. 171 and 172 of the </w:t>
      </w:r>
      <w:r>
        <w:rPr>
          <w:rFonts w:ascii="arial" w:eastAsia="arial" w:hAnsi="arial" w:cs="arial"/>
          <w:i/>
          <w:color w:val="000000"/>
          <w:sz w:val="20"/>
          <w:lang w:val="en-US" w:eastAsia="en-US" w:bidi="ar-SA"/>
        </w:rPr>
        <w:t>BPCPA</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120</w:t>
      </w:r>
      <w:r>
        <w:rPr>
          <w:rFonts w:ascii="arial" w:eastAsia="arial" w:hAnsi="arial" w:cs="arial"/>
          <w:color w:val="000000"/>
          <w:sz w:val="20"/>
          <w:lang w:val="en-US" w:eastAsia="en-US" w:bidi="ar-SA"/>
        </w:rPr>
        <w:t xml:space="preserve">  The plaintiff submits that if the Court finds the lock mechanism to be defective, it will then need to assess whether the conduct of Mazda Canada had the capability or effect of misleading consumers and, thus, constituted a deceptive act or practice under the </w:t>
      </w:r>
      <w:r>
        <w:rPr>
          <w:rFonts w:ascii="arial" w:eastAsia="arial" w:hAnsi="arial" w:cs="arial"/>
          <w:i/>
          <w:color w:val="000000"/>
          <w:sz w:val="20"/>
          <w:lang w:val="en-US" w:eastAsia="en-US" w:bidi="ar-SA"/>
        </w:rPr>
        <w:t>BPCPA</w:t>
      </w:r>
      <w:r>
        <w:rPr>
          <w:rFonts w:ascii="arial" w:eastAsia="arial" w:hAnsi="arial" w:cs="arial"/>
          <w:color w:val="000000"/>
          <w:sz w:val="20"/>
          <w:lang w:val="en-US" w:eastAsia="en-US" w:bidi="ar-SA"/>
        </w:rPr>
        <w:t xml:space="preserve">. She contends that similar issues have been certified as common issues by courts in B.C.: </w:t>
      </w:r>
      <w:r>
        <w:rPr>
          <w:rFonts w:ascii="arial" w:eastAsia="arial" w:hAnsi="arial" w:cs="arial"/>
          <w:i/>
          <w:color w:val="000000"/>
          <w:sz w:val="20"/>
          <w:lang w:val="en-US" w:eastAsia="en-US" w:bidi="ar-SA"/>
        </w:rPr>
        <w:t>Bouchanskaia v. Bayer Inc.</w:t>
      </w:r>
      <w:r>
        <w:rPr>
          <w:rFonts w:ascii="arial" w:eastAsia="arial" w:hAnsi="arial" w:cs="arial"/>
          <w:color w:val="000000"/>
          <w:sz w:val="20"/>
          <w:lang w:val="en-US" w:eastAsia="en-US" w:bidi="ar-SA"/>
        </w:rPr>
        <w:t xml:space="preserve">, </w:t>
      </w:r>
      <w:hyperlink r:id="rId1069" w:history="1">
        <w:r>
          <w:rPr>
            <w:rFonts w:ascii="arial" w:eastAsia="arial" w:hAnsi="arial" w:cs="arial"/>
            <w:i/>
            <w:color w:val="0077CC"/>
            <w:sz w:val="20"/>
            <w:u w:val="single"/>
            <w:shd w:val="clear" w:color="auto" w:fill="FFFFFF"/>
            <w:lang w:val="en-US" w:eastAsia="en-US" w:bidi="ar-SA"/>
          </w:rPr>
          <w:t>2003 BCSC 1306</w:t>
        </w:r>
      </w:hyperlink>
      <w:r>
        <w:rPr>
          <w:rFonts w:ascii="arial" w:eastAsia="arial" w:hAnsi="arial" w:cs="arial"/>
          <w:color w:val="000000"/>
          <w:sz w:val="20"/>
          <w:lang w:val="en-US" w:eastAsia="en-US" w:bidi="ar-SA"/>
        </w:rPr>
        <w:t xml:space="preserve"> at paras. 119-22; </w:t>
      </w:r>
      <w:r>
        <w:rPr>
          <w:rFonts w:ascii="arial" w:eastAsia="arial" w:hAnsi="arial" w:cs="arial"/>
          <w:i/>
          <w:color w:val="000000"/>
          <w:sz w:val="20"/>
          <w:lang w:val="en-US" w:eastAsia="en-US" w:bidi="ar-SA"/>
        </w:rPr>
        <w:t>Knight</w:t>
      </w:r>
      <w:r>
        <w:rPr>
          <w:rFonts w:ascii="arial" w:eastAsia="arial" w:hAnsi="arial" w:cs="arial"/>
          <w:color w:val="000000"/>
          <w:sz w:val="20"/>
          <w:lang w:val="en-US" w:eastAsia="en-US" w:bidi="ar-SA"/>
        </w:rPr>
        <w:t xml:space="preserve"> (C.A.) at para. 31; and </w:t>
      </w:r>
      <w:r>
        <w:rPr>
          <w:rFonts w:ascii="arial" w:eastAsia="arial" w:hAnsi="arial" w:cs="arial"/>
          <w:i/>
          <w:color w:val="000000"/>
          <w:sz w:val="20"/>
          <w:lang w:val="en-US" w:eastAsia="en-US" w:bidi="ar-SA"/>
        </w:rPr>
        <w:t>Reid v. Ford Motor Company</w:t>
      </w:r>
      <w:r>
        <w:rPr>
          <w:rFonts w:ascii="arial" w:eastAsia="arial" w:hAnsi="arial" w:cs="arial"/>
          <w:color w:val="000000"/>
          <w:sz w:val="20"/>
          <w:lang w:val="en-US" w:eastAsia="en-US" w:bidi="ar-SA"/>
        </w:rPr>
        <w:t xml:space="preserve">, </w:t>
      </w:r>
      <w:hyperlink r:id="rId1070" w:history="1">
        <w:r>
          <w:rPr>
            <w:rFonts w:ascii="arial" w:eastAsia="arial" w:hAnsi="arial" w:cs="arial"/>
            <w:i/>
            <w:color w:val="0077CC"/>
            <w:sz w:val="20"/>
            <w:u w:val="single"/>
            <w:shd w:val="clear" w:color="auto" w:fill="FFFFFF"/>
            <w:lang w:val="en-US" w:eastAsia="en-US" w:bidi="ar-SA"/>
          </w:rPr>
          <w:t>2003 BCSC 1632</w:t>
        </w:r>
      </w:hyperlink>
      <w:r>
        <w:rPr>
          <w:rFonts w:ascii="arial" w:eastAsia="arial" w:hAnsi="arial" w:cs="arial"/>
          <w:color w:val="000000"/>
          <w:sz w:val="20"/>
          <w:lang w:val="en-US" w:eastAsia="en-US" w:bidi="ar-SA"/>
        </w:rPr>
        <w:t xml:space="preserve"> at paras. 65-68.</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121</w:t>
      </w:r>
      <w:r>
        <w:rPr>
          <w:rFonts w:ascii="arial" w:eastAsia="arial" w:hAnsi="arial" w:cs="arial"/>
          <w:color w:val="000000"/>
          <w:sz w:val="20"/>
          <w:lang w:val="en-US" w:eastAsia="en-US" w:bidi="ar-SA"/>
        </w:rPr>
        <w:t xml:space="preserve">  The plaintiff argues that this cause of action is not dependant on individual reliance by the consumer. In </w:t>
      </w:r>
      <w:r>
        <w:rPr>
          <w:rFonts w:ascii="arial" w:eastAsia="arial" w:hAnsi="arial" w:cs="arial"/>
          <w:i/>
          <w:color w:val="000000"/>
          <w:sz w:val="20"/>
          <w:lang w:val="en-US" w:eastAsia="en-US" w:bidi="ar-SA"/>
        </w:rPr>
        <w:t>Reid</w:t>
      </w:r>
      <w:r>
        <w:rPr>
          <w:rFonts w:ascii="arial" w:eastAsia="arial" w:hAnsi="arial" w:cs="arial"/>
          <w:color w:val="000000"/>
          <w:sz w:val="20"/>
          <w:lang w:val="en-US" w:eastAsia="en-US" w:bidi="ar-SA"/>
        </w:rPr>
        <w:t xml:space="preserve"> at para. 65, the Court held that reliance is "not necessary if the allegation is failure to disclose". In </w:t>
      </w:r>
      <w:r>
        <w:rPr>
          <w:rFonts w:ascii="arial" w:eastAsia="arial" w:hAnsi="arial" w:cs="arial"/>
          <w:i/>
          <w:color w:val="000000"/>
          <w:sz w:val="20"/>
          <w:lang w:val="en-US" w:eastAsia="en-US" w:bidi="ar-SA"/>
        </w:rPr>
        <w:t>Olsen v. Behr Process Corp.</w:t>
      </w:r>
      <w:r>
        <w:rPr>
          <w:rFonts w:ascii="arial" w:eastAsia="arial" w:hAnsi="arial" w:cs="arial"/>
          <w:color w:val="000000"/>
          <w:sz w:val="20"/>
          <w:lang w:val="en-US" w:eastAsia="en-US" w:bidi="ar-SA"/>
        </w:rPr>
        <w:t xml:space="preserve">, </w:t>
      </w:r>
      <w:hyperlink r:id="rId1071" w:history="1">
        <w:r>
          <w:rPr>
            <w:rFonts w:ascii="arial" w:eastAsia="arial" w:hAnsi="arial" w:cs="arial"/>
            <w:i/>
            <w:color w:val="0077CC"/>
            <w:sz w:val="20"/>
            <w:u w:val="single"/>
            <w:shd w:val="clear" w:color="auto" w:fill="FFFFFF"/>
            <w:lang w:val="en-US" w:eastAsia="en-US" w:bidi="ar-SA"/>
          </w:rPr>
          <w:t>2003 BCSC 429</w:t>
        </w:r>
      </w:hyperlink>
      <w:r>
        <w:rPr>
          <w:rFonts w:ascii="arial" w:eastAsia="arial" w:hAnsi="arial" w:cs="arial"/>
          <w:color w:val="000000"/>
          <w:sz w:val="20"/>
          <w:lang w:val="en-US" w:eastAsia="en-US" w:bidi="ar-SA"/>
        </w:rPr>
        <w:t xml:space="preserve"> at para. 31, the Court held that an action for deceptive act or practice under the </w:t>
      </w:r>
      <w:r>
        <w:rPr>
          <w:rFonts w:ascii="arial" w:eastAsia="arial" w:hAnsi="arial" w:cs="arial"/>
          <w:i/>
          <w:color w:val="000000"/>
          <w:sz w:val="20"/>
          <w:lang w:val="en-US" w:eastAsia="en-US" w:bidi="ar-SA"/>
        </w:rPr>
        <w:t>TPA</w:t>
      </w:r>
      <w:r>
        <w:rPr>
          <w:rFonts w:ascii="arial" w:eastAsia="arial" w:hAnsi="arial" w:cs="arial"/>
          <w:color w:val="000000"/>
          <w:sz w:val="20"/>
          <w:lang w:val="en-US" w:eastAsia="en-US" w:bidi="ar-SA"/>
        </w:rPr>
        <w:t xml:space="preserve"> may be supported by mere silence of a manufacturer with knowledge of a product defect. The plaintiff argues that although the specific reference to "failure to disclose" was removed in the new legislation, it was subsumed in the new legislation in the phrase "any other conduct".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122</w:t>
      </w:r>
      <w:r>
        <w:rPr>
          <w:rFonts w:ascii="arial" w:eastAsia="arial" w:hAnsi="arial" w:cs="arial"/>
          <w:color w:val="000000"/>
          <w:sz w:val="20"/>
          <w:lang w:val="en-US" w:eastAsia="en-US" w:bidi="ar-SA"/>
        </w:rPr>
        <w:t>  The defendants argue that the assertion of a common cause of action alleging deceptive acts or practices does not give rise to a common issue because the statutory cause of action is not complete without the elements of reliance, causation and proof of compensable loss. They argue that these are individual issues which make this issue inappropriate for certification.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123</w:t>
      </w:r>
      <w:r>
        <w:rPr>
          <w:rFonts w:ascii="arial" w:eastAsia="arial" w:hAnsi="arial" w:cs="arial"/>
          <w:color w:val="000000"/>
          <w:sz w:val="20"/>
          <w:lang w:val="en-US" w:eastAsia="en-US" w:bidi="ar-SA"/>
        </w:rPr>
        <w:t xml:space="preserve">  They point to the differences in the definition of "deceptive act or practice" under the former legislation, the </w:t>
      </w:r>
      <w:r>
        <w:rPr>
          <w:rFonts w:ascii="arial" w:eastAsia="arial" w:hAnsi="arial" w:cs="arial"/>
          <w:i/>
          <w:color w:val="000000"/>
          <w:sz w:val="20"/>
          <w:lang w:val="en-US" w:eastAsia="en-US" w:bidi="ar-SA"/>
        </w:rPr>
        <w:t>TPA</w:t>
      </w:r>
      <w:r>
        <w:rPr>
          <w:rFonts w:ascii="arial" w:eastAsia="arial" w:hAnsi="arial" w:cs="arial"/>
          <w:color w:val="000000"/>
          <w:sz w:val="20"/>
          <w:lang w:val="en-US" w:eastAsia="en-US" w:bidi="ar-SA"/>
        </w:rPr>
        <w:t xml:space="preserve">, and the </w:t>
      </w:r>
      <w:r>
        <w:rPr>
          <w:rFonts w:ascii="arial" w:eastAsia="arial" w:hAnsi="arial" w:cs="arial"/>
          <w:i/>
          <w:color w:val="000000"/>
          <w:sz w:val="20"/>
          <w:lang w:val="en-US" w:eastAsia="en-US" w:bidi="ar-SA"/>
        </w:rPr>
        <w:t>BPCPA</w:t>
      </w:r>
      <w:r>
        <w:rPr>
          <w:rFonts w:ascii="arial" w:eastAsia="arial" w:hAnsi="arial" w:cs="arial"/>
          <w:color w:val="000000"/>
          <w:sz w:val="20"/>
          <w:lang w:val="en-US" w:eastAsia="en-US" w:bidi="ar-SA"/>
        </w:rPr>
        <w:t xml:space="preserve">. The cases relied upon by the plaintiff, they argue, were under the </w:t>
      </w:r>
      <w:r>
        <w:rPr>
          <w:rFonts w:ascii="arial" w:eastAsia="arial" w:hAnsi="arial" w:cs="arial"/>
          <w:i/>
          <w:color w:val="000000"/>
          <w:sz w:val="20"/>
          <w:lang w:val="en-US" w:eastAsia="en-US" w:bidi="ar-SA"/>
        </w:rPr>
        <w:t>TPA</w:t>
      </w:r>
      <w:r>
        <w:rPr>
          <w:rFonts w:ascii="arial" w:eastAsia="arial" w:hAnsi="arial" w:cs="arial"/>
          <w:color w:val="000000"/>
          <w:sz w:val="20"/>
          <w:lang w:val="en-US" w:eastAsia="en-US" w:bidi="ar-SA"/>
        </w:rPr>
        <w:t xml:space="preserve">, which included "failure to disclose" in the definition of a deceptive act or practice. Since failure to disclose is no longer specifically included in the definition of deceptive act or practice, it does not give rise to a statutory cause of action for deceptive acts or practices: </w:t>
      </w:r>
      <w:r>
        <w:rPr>
          <w:rFonts w:ascii="arial" w:eastAsia="arial" w:hAnsi="arial" w:cs="arial"/>
          <w:i/>
          <w:color w:val="000000"/>
          <w:sz w:val="20"/>
          <w:lang w:val="en-US" w:eastAsia="en-US" w:bidi="ar-SA"/>
        </w:rPr>
        <w:t>Blackman v. Fedex Trade Networks Transport &amp; Brokerage (Canada) Inc.</w:t>
      </w:r>
      <w:r>
        <w:rPr>
          <w:rFonts w:ascii="arial" w:eastAsia="arial" w:hAnsi="arial" w:cs="arial"/>
          <w:color w:val="000000"/>
          <w:sz w:val="20"/>
          <w:lang w:val="en-US" w:eastAsia="en-US" w:bidi="ar-SA"/>
        </w:rPr>
        <w:t xml:space="preserve">, </w:t>
      </w:r>
      <w:hyperlink r:id="rId1072" w:history="1">
        <w:r>
          <w:rPr>
            <w:rFonts w:ascii="arial" w:eastAsia="arial" w:hAnsi="arial" w:cs="arial"/>
            <w:i/>
            <w:color w:val="0077CC"/>
            <w:sz w:val="20"/>
            <w:u w:val="single"/>
            <w:shd w:val="clear" w:color="auto" w:fill="FFFFFF"/>
            <w:lang w:val="en-US" w:eastAsia="en-US" w:bidi="ar-SA"/>
          </w:rPr>
          <w:t>2009 BCSC 201</w:t>
        </w:r>
      </w:hyperlink>
      <w:r>
        <w:rPr>
          <w:rFonts w:ascii="arial" w:eastAsia="arial" w:hAnsi="arial" w:cs="arial"/>
          <w:color w:val="000000"/>
          <w:sz w:val="20"/>
          <w:lang w:val="en-US" w:eastAsia="en-US" w:bidi="ar-SA"/>
        </w:rPr>
        <w:t xml:space="preserve"> at paras. 66-71. The defendants, therefore, argue that that the plaintiff will have to show individual reliance on representations made by Mazda Canada to prove the causal link between the allegedly deceptive act and the alleged loss for which compensation is claimed.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124</w:t>
      </w:r>
      <w:r>
        <w:rPr>
          <w:rFonts w:ascii="arial" w:eastAsia="arial" w:hAnsi="arial" w:cs="arial"/>
          <w:color w:val="000000"/>
          <w:sz w:val="20"/>
          <w:lang w:val="en-US" w:eastAsia="en-US" w:bidi="ar-SA"/>
        </w:rPr>
        <w:t xml:space="preserve">  In my view, the critical component is proving that Mazda Canada committed a deceptive act or practice. The focus of this inquiry is on Mazda Canada's knowledge of the alleged defect and its conduct, and on whether the alleged conduct had the "capability, tendency, or effect of deceiving or misleading a consumer" and not whether a particular plaintiff was deceived or not: </w:t>
      </w:r>
      <w:r>
        <w:rPr>
          <w:rFonts w:ascii="arial" w:eastAsia="arial" w:hAnsi="arial" w:cs="arial"/>
          <w:i/>
          <w:color w:val="000000"/>
          <w:sz w:val="20"/>
          <w:lang w:val="en-US" w:eastAsia="en-US" w:bidi="ar-SA"/>
        </w:rPr>
        <w:t>Knight</w:t>
      </w:r>
      <w:r>
        <w:rPr>
          <w:rFonts w:ascii="arial" w:eastAsia="arial" w:hAnsi="arial" w:cs="arial"/>
          <w:color w:val="000000"/>
          <w:sz w:val="20"/>
          <w:lang w:val="en-US" w:eastAsia="en-US" w:bidi="ar-SA"/>
        </w:rPr>
        <w:t xml:space="preserve"> (C.A.) at paras. 18-19. This issue can be litigated without reference to the circumstances of the individual class members: </w:t>
      </w:r>
      <w:r>
        <w:rPr>
          <w:rFonts w:ascii="arial" w:eastAsia="arial" w:hAnsi="arial" w:cs="arial"/>
          <w:i/>
          <w:color w:val="000000"/>
          <w:sz w:val="20"/>
          <w:lang w:val="en-US" w:eastAsia="en-US" w:bidi="ar-SA"/>
        </w:rPr>
        <w:t>Knight</w:t>
      </w:r>
      <w:r>
        <w:rPr>
          <w:rFonts w:ascii="arial" w:eastAsia="arial" w:hAnsi="arial" w:cs="arial"/>
          <w:color w:val="000000"/>
          <w:sz w:val="20"/>
          <w:lang w:val="en-US" w:eastAsia="en-US" w:bidi="ar-SA"/>
        </w:rPr>
        <w:t xml:space="preserve"> (C.A.) at para. 26.</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125</w:t>
      </w:r>
      <w:r>
        <w:rPr>
          <w:rFonts w:ascii="arial" w:eastAsia="arial" w:hAnsi="arial" w:cs="arial"/>
          <w:color w:val="000000"/>
          <w:sz w:val="20"/>
          <w:lang w:val="en-US" w:eastAsia="en-US" w:bidi="ar-SA"/>
        </w:rPr>
        <w:t xml:space="preserve">  I have considered the defendants' submission that, in order to claim damages, the </w:t>
      </w:r>
      <w:r>
        <w:rPr>
          <w:rFonts w:ascii="arial" w:eastAsia="arial" w:hAnsi="arial" w:cs="arial"/>
          <w:i/>
          <w:color w:val="000000"/>
          <w:sz w:val="20"/>
          <w:lang w:val="en-US" w:eastAsia="en-US" w:bidi="ar-SA"/>
        </w:rPr>
        <w:t>BPCPA</w:t>
      </w:r>
      <w:r>
        <w:rPr>
          <w:rFonts w:ascii="arial" w:eastAsia="arial" w:hAnsi="arial" w:cs="arial"/>
          <w:color w:val="000000"/>
          <w:sz w:val="20"/>
          <w:lang w:val="en-US" w:eastAsia="en-US" w:bidi="ar-SA"/>
        </w:rPr>
        <w:t xml:space="preserve"> clearly requires proof of loss suffered by the consumer as a result of the alleged deceptive act or practice. However, the issue as it is framed focuses on the first prong of the inquiry, namely, whether the conduct of Mazda Canada constitutes a "deceptive act or practice". In </w:t>
      </w:r>
      <w:r>
        <w:rPr>
          <w:rFonts w:ascii="arial" w:eastAsia="arial" w:hAnsi="arial" w:cs="arial"/>
          <w:i/>
          <w:color w:val="000000"/>
          <w:sz w:val="20"/>
          <w:lang w:val="en-US" w:eastAsia="en-US" w:bidi="ar-SA"/>
        </w:rPr>
        <w:t>Knight</w:t>
      </w:r>
      <w:r>
        <w:rPr>
          <w:rFonts w:ascii="arial" w:eastAsia="arial" w:hAnsi="arial" w:cs="arial"/>
          <w:color w:val="000000"/>
          <w:sz w:val="20"/>
          <w:lang w:val="en-US" w:eastAsia="en-US" w:bidi="ar-SA"/>
        </w:rPr>
        <w:t>, the Court of Appeal provides the following guidance: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Section 22 of the </w:t>
      </w:r>
      <w:r>
        <w:rPr>
          <w:rFonts w:ascii="arial" w:eastAsia="arial" w:hAnsi="arial" w:cs="arial"/>
          <w:i/>
          <w:color w:val="000000"/>
          <w:sz w:val="20"/>
          <w:lang w:val="en-US" w:eastAsia="en-US" w:bidi="ar-SA"/>
        </w:rPr>
        <w:t>TPA</w:t>
      </w:r>
      <w:r>
        <w:rPr>
          <w:rFonts w:ascii="arial" w:eastAsia="arial" w:hAnsi="arial" w:cs="arial"/>
          <w:color w:val="000000"/>
          <w:sz w:val="20"/>
          <w:lang w:val="en-US" w:eastAsia="en-US" w:bidi="ar-SA"/>
        </w:rPr>
        <w:t xml:space="preserve"> and ss. 171 and 172 of the </w:t>
      </w:r>
      <w:r>
        <w:rPr>
          <w:rFonts w:ascii="arial" w:eastAsia="arial" w:hAnsi="arial" w:cs="arial"/>
          <w:i/>
          <w:color w:val="000000"/>
          <w:sz w:val="20"/>
          <w:lang w:val="en-US" w:eastAsia="en-US" w:bidi="ar-SA"/>
        </w:rPr>
        <w:t>BPCPA</w:t>
      </w:r>
      <w:r>
        <w:rPr>
          <w:rFonts w:ascii="arial" w:eastAsia="arial" w:hAnsi="arial" w:cs="arial"/>
          <w:color w:val="000000"/>
          <w:sz w:val="20"/>
          <w:lang w:val="en-US" w:eastAsia="en-US" w:bidi="ar-SA"/>
        </w:rPr>
        <w:t xml:space="preserve"> afford a consumer a right to damages or restoration of value given for contravention of the statutory provisions, which right presumably is triggered if a transaction is found to be tainted by a deceptive practice. It seems to me that a key component to be established to afford recovery under the statutes is proof of deceptive conduct by a supplier such as the defendant. I consider it was open to the chambers judge to conclude that the determination of this issue would advance the litigation.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126</w:t>
      </w:r>
      <w:r>
        <w:rPr>
          <w:rFonts w:ascii="arial" w:eastAsia="arial" w:hAnsi="arial" w:cs="arial"/>
          <w:color w:val="000000"/>
          <w:sz w:val="20"/>
          <w:lang w:val="en-US" w:eastAsia="en-US" w:bidi="ar-SA"/>
        </w:rPr>
        <w:t>  Furthermore, the conduct alleged by the plaintiff arguably could ground a claim for disgorgement or a related restitutionary remedy, without the requirement to prove causation under the doctrine of "waiver of tort", depending upon how that doctrine is interpreted and applied to this case.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127</w:t>
      </w:r>
      <w:r>
        <w:rPr>
          <w:rFonts w:ascii="arial" w:eastAsia="arial" w:hAnsi="arial" w:cs="arial"/>
          <w:color w:val="000000"/>
          <w:sz w:val="20"/>
          <w:lang w:val="en-US" w:eastAsia="en-US" w:bidi="ar-SA"/>
        </w:rPr>
        <w:t>  Even if it is necessary to prove individual reliance by consumers to resolve liability, the answer to this common issue would be a substantial ingredient of the claim. It is not necessary that the resolution of this proposed common issue be determinative of liability; if necessary, the individual issues can be litigated later.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128</w:t>
      </w:r>
      <w:r>
        <w:rPr>
          <w:rFonts w:ascii="arial" w:eastAsia="arial" w:hAnsi="arial" w:cs="arial"/>
          <w:color w:val="000000"/>
          <w:sz w:val="20"/>
          <w:lang w:val="en-US" w:eastAsia="en-US" w:bidi="ar-SA"/>
        </w:rPr>
        <w:t>  In the result, I conclude that this is a question amenable to resolution as a common issue, and its resolution would advance the litigation. However, in my view, the question is better framed as follows: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Did any of the defendant supplier's representations concerning the performance characteristics and quality of the Mazda3 vehicle or any of its conduct in the marketing and sale of the Mazda3 vehicle constitute a "deceptive act or practice" under the BPCPA?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u w:val="single"/>
          <w:lang w:val="en-US" w:eastAsia="en-US" w:bidi="ar-SA"/>
        </w:rPr>
        <w:t>(5) If the answer to question 4 is yes, did the defendant supplier do so with knowledge that its representations were false?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129</w:t>
      </w:r>
      <w:r>
        <w:rPr>
          <w:rFonts w:ascii="arial" w:eastAsia="arial" w:hAnsi="arial" w:cs="arial"/>
          <w:color w:val="000000"/>
          <w:sz w:val="20"/>
          <w:lang w:val="en-US" w:eastAsia="en-US" w:bidi="ar-SA"/>
        </w:rPr>
        <w:t>  As discussed above under common issue (3), questions of knowledge have been certified by courts as appropriate common questions.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130</w:t>
      </w:r>
      <w:r>
        <w:rPr>
          <w:rFonts w:ascii="arial" w:eastAsia="arial" w:hAnsi="arial" w:cs="arial"/>
          <w:color w:val="000000"/>
          <w:sz w:val="20"/>
          <w:lang w:val="en-US" w:eastAsia="en-US" w:bidi="ar-SA"/>
        </w:rPr>
        <w:t>  In addition to question 4, a determination of this issue may be relevant under the doctrine of waiver of tort. In the result, I conclude that it is an appropriate common issue, the resolution of which will advance the litigation.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u w:val="single"/>
          <w:lang w:val="en-US" w:eastAsia="en-US" w:bidi="ar-SA"/>
        </w:rPr>
        <w:t xml:space="preserve">(6) Is the Class entitled to damages for loss of use and enjoyment of their vehicles on an aggregate basis pursuant to s. 29 of the </w:t>
      </w:r>
      <w:r>
        <w:rPr>
          <w:rFonts w:ascii="arial" w:eastAsia="arial" w:hAnsi="arial" w:cs="arial"/>
          <w:i/>
          <w:color w:val="000000"/>
          <w:sz w:val="20"/>
          <w:u w:val="single"/>
          <w:lang w:val="en-US" w:eastAsia="en-US" w:bidi="ar-SA"/>
        </w:rPr>
        <w:t>CPA</w:t>
      </w:r>
      <w:r>
        <w:rPr>
          <w:rFonts w:ascii="arial" w:eastAsia="arial" w:hAnsi="arial" w:cs="arial"/>
          <w:color w:val="000000"/>
          <w:sz w:val="20"/>
          <w:u w:val="single"/>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131</w:t>
      </w:r>
      <w:r>
        <w:rPr>
          <w:rFonts w:ascii="arial" w:eastAsia="arial" w:hAnsi="arial" w:cs="arial"/>
          <w:color w:val="000000"/>
          <w:sz w:val="20"/>
          <w:lang w:val="en-US" w:eastAsia="en-US" w:bidi="ar-SA"/>
        </w:rPr>
        <w:t xml:space="preserve">  The plaintiff seeks to advance a claim on behalf of the proposed class for non-pecuniary damages for mental and emotional distress, physical inconvenience, and loss of use and enjoyment caused by the defendants' breaches of the </w:t>
      </w:r>
      <w:r>
        <w:rPr>
          <w:rFonts w:ascii="arial" w:eastAsia="arial" w:hAnsi="arial" w:cs="arial"/>
          <w:i/>
          <w:color w:val="000000"/>
          <w:sz w:val="20"/>
          <w:lang w:val="en-US" w:eastAsia="en-US" w:bidi="ar-SA"/>
        </w:rPr>
        <w:t>SGA</w:t>
      </w:r>
      <w:r>
        <w:rPr>
          <w:rFonts w:ascii="arial" w:eastAsia="arial" w:hAnsi="arial" w:cs="arial"/>
          <w:color w:val="000000"/>
          <w:sz w:val="20"/>
          <w:lang w:val="en-US" w:eastAsia="en-US" w:bidi="ar-SA"/>
        </w:rPr>
        <w:t xml:space="preserve"> and the ownership of an allegedly defective product.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132</w:t>
      </w:r>
      <w:r>
        <w:rPr>
          <w:rFonts w:ascii="arial" w:eastAsia="arial" w:hAnsi="arial" w:cs="arial"/>
          <w:color w:val="000000"/>
          <w:sz w:val="20"/>
          <w:lang w:val="en-US" w:eastAsia="en-US" w:bidi="ar-SA"/>
        </w:rPr>
        <w:t>  The plaintiff submits that the Court should "fashion a remedy" for the class and make an award on an aggregate basis. Counsel contends that the Court should make "conservative assumptions regarding the range of loss suffered by the class members, and order damages to compensate within this range of loss".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133</w:t>
      </w:r>
      <w:r>
        <w:rPr>
          <w:rFonts w:ascii="arial" w:eastAsia="arial" w:hAnsi="arial" w:cs="arial"/>
          <w:color w:val="000000"/>
          <w:sz w:val="20"/>
          <w:lang w:val="en-US" w:eastAsia="en-US" w:bidi="ar-SA"/>
        </w:rPr>
        <w:t xml:space="preserve">  Where a breach of warranty is made out, "the assessment of damages for claims arising under the implied conditions under the </w:t>
      </w:r>
      <w:r>
        <w:rPr>
          <w:rFonts w:ascii="arial" w:eastAsia="arial" w:hAnsi="arial" w:cs="arial"/>
          <w:i/>
          <w:color w:val="000000"/>
          <w:sz w:val="20"/>
          <w:lang w:val="en-US" w:eastAsia="en-US" w:bidi="ar-SA"/>
        </w:rPr>
        <w:t>Sale of Goods Act</w:t>
      </w:r>
      <w:r>
        <w:rPr>
          <w:rFonts w:ascii="arial" w:eastAsia="arial" w:hAnsi="arial" w:cs="arial"/>
          <w:color w:val="000000"/>
          <w:sz w:val="20"/>
          <w:lang w:val="en-US" w:eastAsia="en-US" w:bidi="ar-SA"/>
        </w:rPr>
        <w:t xml:space="preserve"> is the same as for any other claims arising from breach of contract": Edgell at 204.</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134</w:t>
      </w:r>
      <w:r>
        <w:rPr>
          <w:rFonts w:ascii="arial" w:eastAsia="arial" w:hAnsi="arial" w:cs="arial"/>
          <w:color w:val="000000"/>
          <w:sz w:val="20"/>
          <w:lang w:val="en-US" w:eastAsia="en-US" w:bidi="ar-SA"/>
        </w:rPr>
        <w:t>  The defendants submit that it emerges from the authorities that actionable mental distress is a highly individualistic and idiosyncratic issue. In order to recover non-pecuniary damages for breach of contract, it is necessary that an important part of the contract was to give pleasure or peace. Further, the plaintiff must suffer significant harm, not mere disappointment or frustration.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135</w:t>
      </w:r>
      <w:r>
        <w:rPr>
          <w:rFonts w:ascii="arial" w:eastAsia="arial" w:hAnsi="arial" w:cs="arial"/>
          <w:color w:val="000000"/>
          <w:sz w:val="20"/>
          <w:lang w:val="en-US" w:eastAsia="en-US" w:bidi="ar-SA"/>
        </w:rPr>
        <w:t xml:space="preserve">  The Supreme Court of Canada in </w:t>
      </w:r>
      <w:r>
        <w:rPr>
          <w:rFonts w:ascii="arial" w:eastAsia="arial" w:hAnsi="arial" w:cs="arial"/>
          <w:i/>
          <w:color w:val="000000"/>
          <w:sz w:val="20"/>
          <w:lang w:val="en-US" w:eastAsia="en-US" w:bidi="ar-SA"/>
        </w:rPr>
        <w:t>Fidler v. Sun Life Assurance Co. of Canada</w:t>
      </w:r>
      <w:r>
        <w:rPr>
          <w:rFonts w:ascii="arial" w:eastAsia="arial" w:hAnsi="arial" w:cs="arial"/>
          <w:color w:val="000000"/>
          <w:sz w:val="20"/>
          <w:lang w:val="en-US" w:eastAsia="en-US" w:bidi="ar-SA"/>
        </w:rPr>
        <w:t xml:space="preserve">, </w:t>
      </w:r>
      <w:hyperlink r:id="rId1073" w:history="1">
        <w:r>
          <w:rPr>
            <w:rFonts w:ascii="arial" w:eastAsia="arial" w:hAnsi="arial" w:cs="arial"/>
            <w:i/>
            <w:color w:val="0077CC"/>
            <w:sz w:val="20"/>
            <w:u w:val="single"/>
            <w:shd w:val="clear" w:color="auto" w:fill="FFFFFF"/>
            <w:lang w:val="en-US" w:eastAsia="en-US" w:bidi="ar-SA"/>
          </w:rPr>
          <w:t>2006 SCC 30</w:t>
        </w:r>
      </w:hyperlink>
      <w:r>
        <w:rPr>
          <w:rFonts w:ascii="arial" w:eastAsia="arial" w:hAnsi="arial" w:cs="arial"/>
          <w:color w:val="000000"/>
          <w:sz w:val="20"/>
          <w:lang w:val="en-US" w:eastAsia="en-US" w:bidi="ar-SA"/>
        </w:rPr>
        <w:t xml:space="preserve"> at para. 44, concluded that damages for mental distress for breach of contract may be awarded where such damages were in the reasonable contemplation of the parties at the time the contract was made. However, the Court observed at para. 45 that "[i]n normal commercial contracts" damages for mental distress would not be in the reasonable contemplation of the parties; "[i]t is not usual that a breach of contract will leave the wrong party feeling frustrated and angry. The law does not award damages for such incidental frustration".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136</w:t>
      </w:r>
      <w:r>
        <w:rPr>
          <w:rFonts w:ascii="arial" w:eastAsia="arial" w:hAnsi="arial" w:cs="arial"/>
          <w:color w:val="000000"/>
          <w:sz w:val="20"/>
          <w:lang w:val="en-US" w:eastAsia="en-US" w:bidi="ar-SA"/>
        </w:rPr>
        <w:t>  The Court at para. 47 enunciated the principle that in order to award damages for mental distress it must be satisfied that:</w:t>
      </w:r>
      <w:r>
        <w:rPr>
          <w:rFonts w:ascii="arial" w:eastAsia="arial" w:hAnsi="arial" w:cs="arial"/>
          <w:sz w:val="20"/>
          <w:lang w:val="en-US" w:eastAsia="en-US" w:bidi="ar-SA"/>
        </w:rPr>
        <w:cr/>
      </w:r>
    </w:p>
    <w:p>
      <w:pPr>
        <w:numPr>
          <w:numId w:val="2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an object of the contract was to secure a psychological benefit that brings mental distress upon breach within the reasonable contemplation of the parties; and</w:t>
      </w:r>
    </w:p>
    <w:p>
      <w:pPr>
        <w:numPr>
          <w:numId w:val="2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degree of mental suffering caused by the breach was of a degree sufficient to warrant compensation.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137</w:t>
      </w:r>
      <w:r>
        <w:rPr>
          <w:rFonts w:ascii="arial" w:eastAsia="arial" w:hAnsi="arial" w:cs="arial"/>
          <w:color w:val="000000"/>
          <w:sz w:val="20"/>
          <w:lang w:val="en-US" w:eastAsia="en-US" w:bidi="ar-SA"/>
        </w:rPr>
        <w:t>  In terms of the first requirement, the Court clarified that while psychological benefit must be an object of the contract at the time of formation, it does not need to be the dominant object or the "'very essence' of the bargain": para. 48. In regards to the second requirement, the Court stipulated that mere frustration or anger was not sufficient to garner mental distress damages: para. 45. The answer to these questions will depend on the particular facts of each case: para. 47.</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138</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Mustapha v. Culligan of Canada Ltd.</w:t>
      </w:r>
      <w:r>
        <w:rPr>
          <w:rFonts w:ascii="arial" w:eastAsia="arial" w:hAnsi="arial" w:cs="arial"/>
          <w:color w:val="000000"/>
          <w:sz w:val="20"/>
          <w:lang w:val="en-US" w:eastAsia="en-US" w:bidi="ar-SA"/>
        </w:rPr>
        <w:t xml:space="preserve">, </w:t>
      </w:r>
      <w:hyperlink r:id="rId40" w:history="1">
        <w:r>
          <w:rPr>
            <w:rFonts w:ascii="arial" w:eastAsia="arial" w:hAnsi="arial" w:cs="arial"/>
            <w:i/>
            <w:color w:val="0077CC"/>
            <w:sz w:val="20"/>
            <w:u w:val="single"/>
            <w:shd w:val="clear" w:color="auto" w:fill="FFFFFF"/>
            <w:lang w:val="en-US" w:eastAsia="en-US" w:bidi="ar-SA"/>
          </w:rPr>
          <w:t>2008 SCC 27</w:t>
        </w:r>
      </w:hyperlink>
      <w:r>
        <w:rPr>
          <w:rFonts w:ascii="arial" w:eastAsia="arial" w:hAnsi="arial" w:cs="arial"/>
          <w:color w:val="000000"/>
          <w:sz w:val="20"/>
          <w:lang w:val="en-US" w:eastAsia="en-US" w:bidi="ar-SA"/>
        </w:rPr>
        <w:t xml:space="preserve">, the plaintiff brought a claim in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and breach of contract for mental distress caused by seeing a dead fly in a bottle of water. The Court held that mental distress damages were not recoverable under either claim, stating at para. 9:</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law does not recognize upset, disgust, anxiety, agitation or other mental states that fall short of injury. I would not purport to define compensable injury exhaustively, except to say that it must be serious and prolonged and rise above the ordinary annoyances, anxieties and fears that people living in society routinely, if sometimes reluctantly, accept.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139</w:t>
      </w:r>
      <w:r>
        <w:rPr>
          <w:rFonts w:ascii="arial" w:eastAsia="arial" w:hAnsi="arial" w:cs="arial"/>
          <w:color w:val="000000"/>
          <w:sz w:val="20"/>
          <w:lang w:val="en-US" w:eastAsia="en-US" w:bidi="ar-SA"/>
        </w:rPr>
        <w:t xml:space="preserve">  The plaintiff relies on </w:t>
      </w:r>
      <w:r>
        <w:rPr>
          <w:rFonts w:ascii="arial" w:eastAsia="arial" w:hAnsi="arial" w:cs="arial"/>
          <w:i/>
          <w:color w:val="000000"/>
          <w:sz w:val="20"/>
          <w:lang w:val="en-US" w:eastAsia="en-US" w:bidi="ar-SA"/>
        </w:rPr>
        <w:t>Wharton v. Tom Harris Chevrolet Oldsmobile Cadillac Ltd.</w:t>
      </w:r>
      <w:r>
        <w:rPr>
          <w:rFonts w:ascii="arial" w:eastAsia="arial" w:hAnsi="arial" w:cs="arial"/>
          <w:color w:val="000000"/>
          <w:sz w:val="20"/>
          <w:lang w:val="en-US" w:eastAsia="en-US" w:bidi="ar-SA"/>
        </w:rPr>
        <w:t xml:space="preserve">, </w:t>
      </w:r>
      <w:hyperlink r:id="rId1074" w:history="1">
        <w:r>
          <w:rPr>
            <w:rFonts w:ascii="arial" w:eastAsia="arial" w:hAnsi="arial" w:cs="arial"/>
            <w:i/>
            <w:color w:val="0077CC"/>
            <w:sz w:val="20"/>
            <w:u w:val="single"/>
            <w:shd w:val="clear" w:color="auto" w:fill="FFFFFF"/>
            <w:lang w:val="en-US" w:eastAsia="en-US" w:bidi="ar-SA"/>
          </w:rPr>
          <w:t>2002 BCCA 78</w:t>
        </w:r>
      </w:hyperlink>
      <w:r>
        <w:rPr>
          <w:rFonts w:ascii="arial" w:eastAsia="arial" w:hAnsi="arial" w:cs="arial"/>
          <w:color w:val="000000"/>
          <w:sz w:val="20"/>
          <w:lang w:val="en-US" w:eastAsia="en-US" w:bidi="ar-SA"/>
        </w:rPr>
        <w:t xml:space="preserve">, as a case in which a breach of statutory warranty of fitness resulted in an award of $5,000 for non-pecuniary damages. The analysis in </w:t>
      </w:r>
      <w:r>
        <w:rPr>
          <w:rFonts w:ascii="arial" w:eastAsia="arial" w:hAnsi="arial" w:cs="arial"/>
          <w:i/>
          <w:color w:val="000000"/>
          <w:sz w:val="20"/>
          <w:lang w:val="en-US" w:eastAsia="en-US" w:bidi="ar-SA"/>
        </w:rPr>
        <w:t>Wharton</w:t>
      </w:r>
      <w:r>
        <w:rPr>
          <w:rFonts w:ascii="arial" w:eastAsia="arial" w:hAnsi="arial" w:cs="arial"/>
          <w:color w:val="000000"/>
          <w:sz w:val="20"/>
          <w:lang w:val="en-US" w:eastAsia="en-US" w:bidi="ar-SA"/>
        </w:rPr>
        <w:t>, however, is distinguishable from this case. The plaintiff in this case contracted for a "luxury" vehicle for pleasure use. It included a sound system that the defendant's sales representative described as "high end". A buzzing noise emanated from the vehicle's sound system for two and a half years despite the defendant's numerous repair attempts. The buzzing noise was the cause of physical discomfort in that it inhibited listening to the sound system and normal conversation in the vehicle: para. 60.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140</w:t>
      </w:r>
      <w:r>
        <w:rPr>
          <w:rFonts w:ascii="arial" w:eastAsia="arial" w:hAnsi="arial" w:cs="arial"/>
          <w:color w:val="000000"/>
          <w:sz w:val="20"/>
          <w:lang w:val="en-US" w:eastAsia="en-US" w:bidi="ar-SA"/>
        </w:rPr>
        <w:t>  Courts have awarded mental distress damages for breach of contracts for such matters as:</w:t>
      </w:r>
      <w:r>
        <w:rPr>
          <w:rFonts w:ascii="arial" w:eastAsia="arial" w:hAnsi="arial" w:cs="arial"/>
          <w:sz w:val="20"/>
          <w:lang w:val="en-US" w:eastAsia="en-US" w:bidi="ar-SA"/>
        </w:rPr>
        <w:cr/>
      </w:r>
    </w:p>
    <w:p>
      <w:pPr>
        <w:numPr>
          <w:numId w:val="2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vacations: </w:t>
      </w:r>
      <w:r>
        <w:rPr>
          <w:rFonts w:ascii="arial" w:eastAsia="arial" w:hAnsi="arial" w:cs="arial"/>
          <w:i/>
          <w:color w:val="000000"/>
          <w:sz w:val="20"/>
          <w:lang w:val="en-US" w:eastAsia="en-US" w:bidi="ar-SA"/>
        </w:rPr>
        <w:t>Jarvis v. Swans Tours Ltd.</w:t>
      </w:r>
      <w:r>
        <w:rPr>
          <w:rFonts w:ascii="arial" w:eastAsia="arial" w:hAnsi="arial" w:cs="arial"/>
          <w:color w:val="000000"/>
          <w:sz w:val="20"/>
          <w:lang w:val="en-US" w:eastAsia="en-US" w:bidi="ar-SA"/>
        </w:rPr>
        <w:t>, [1973] 1 All E.R. 71 (C.A.);</w:t>
      </w:r>
    </w:p>
    <w:p>
      <w:pPr>
        <w:numPr>
          <w:numId w:val="2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wedding services: </w:t>
      </w:r>
      <w:r>
        <w:rPr>
          <w:rFonts w:ascii="arial" w:eastAsia="arial" w:hAnsi="arial" w:cs="arial"/>
          <w:i/>
          <w:color w:val="000000"/>
          <w:sz w:val="20"/>
          <w:lang w:val="en-US" w:eastAsia="en-US" w:bidi="ar-SA"/>
        </w:rPr>
        <w:t>Jamshidi v. 888517 Ontario Ltd.</w:t>
      </w:r>
      <w:r>
        <w:rPr>
          <w:rFonts w:ascii="arial" w:eastAsia="arial" w:hAnsi="arial" w:cs="arial"/>
          <w:color w:val="000000"/>
          <w:sz w:val="20"/>
          <w:lang w:val="en-US" w:eastAsia="en-US" w:bidi="ar-SA"/>
        </w:rPr>
        <w:t xml:space="preserve">, </w:t>
      </w:r>
      <w:hyperlink r:id="rId1075" w:history="1">
        <w:r>
          <w:rPr>
            <w:rFonts w:ascii="arial" w:eastAsia="arial" w:hAnsi="arial" w:cs="arial"/>
            <w:i/>
            <w:color w:val="0077CC"/>
            <w:sz w:val="20"/>
            <w:u w:val="single"/>
            <w:shd w:val="clear" w:color="auto" w:fill="FFFFFF"/>
            <w:lang w:val="en-US" w:eastAsia="en-US" w:bidi="ar-SA"/>
          </w:rPr>
          <w:t>[2009] O.J. No. 4321</w:t>
        </w:r>
      </w:hyperlink>
      <w:r>
        <w:rPr>
          <w:rFonts w:ascii="arial" w:eastAsia="arial" w:hAnsi="arial" w:cs="arial"/>
          <w:color w:val="000000"/>
          <w:sz w:val="20"/>
          <w:lang w:val="en-US" w:eastAsia="en-US" w:bidi="ar-SA"/>
        </w:rPr>
        <w:t xml:space="preserve"> (Sup. Ct.); and </w:t>
      </w:r>
      <w:r>
        <w:rPr>
          <w:rFonts w:ascii="arial" w:eastAsia="arial" w:hAnsi="arial" w:cs="arial"/>
          <w:i/>
          <w:color w:val="000000"/>
          <w:sz w:val="20"/>
          <w:lang w:val="en-US" w:eastAsia="en-US" w:bidi="ar-SA"/>
        </w:rPr>
        <w:t>Wilson v. Sooter Studios Ltd.</w:t>
      </w:r>
      <w:r>
        <w:rPr>
          <w:rFonts w:ascii="arial" w:eastAsia="arial" w:hAnsi="arial" w:cs="arial"/>
          <w:color w:val="000000"/>
          <w:sz w:val="20"/>
          <w:lang w:val="en-US" w:eastAsia="en-US" w:bidi="ar-SA"/>
        </w:rPr>
        <w:t xml:space="preserve"> </w:t>
      </w:r>
      <w:hyperlink r:id="rId1076" w:history="1">
        <w:r>
          <w:rPr>
            <w:rFonts w:ascii="arial" w:eastAsia="arial" w:hAnsi="arial" w:cs="arial"/>
            <w:i/>
            <w:color w:val="0077CC"/>
            <w:sz w:val="20"/>
            <w:u w:val="single"/>
            <w:shd w:val="clear" w:color="auto" w:fill="FFFFFF"/>
            <w:lang w:val="en-US" w:eastAsia="en-US" w:bidi="ar-SA"/>
          </w:rPr>
          <w:t>(1988), 33 B.C.L.R. (2d) 241</w:t>
        </w:r>
      </w:hyperlink>
      <w:r>
        <w:rPr>
          <w:rFonts w:ascii="arial" w:eastAsia="arial" w:hAnsi="arial" w:cs="arial"/>
          <w:color w:val="000000"/>
          <w:sz w:val="20"/>
          <w:lang w:val="en-US" w:eastAsia="en-US" w:bidi="ar-SA"/>
        </w:rPr>
        <w:t xml:space="preserve"> (C.A.); and</w:t>
      </w:r>
    </w:p>
    <w:p>
      <w:pPr>
        <w:numPr>
          <w:numId w:val="3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disability insurance: </w:t>
      </w:r>
      <w:r>
        <w:rPr>
          <w:rFonts w:ascii="arial" w:eastAsia="arial" w:hAnsi="arial" w:cs="arial"/>
          <w:i/>
          <w:color w:val="000000"/>
          <w:sz w:val="20"/>
          <w:lang w:val="en-US" w:eastAsia="en-US" w:bidi="ar-SA"/>
        </w:rPr>
        <w:t>Fidler</w:t>
      </w:r>
      <w:r>
        <w:rPr>
          <w:rFonts w:ascii="arial" w:eastAsia="arial" w:hAnsi="arial" w:cs="arial"/>
          <w:color w:val="000000"/>
          <w:sz w:val="20"/>
          <w:lang w:val="en-US" w:eastAsia="en-US" w:bidi="ar-SA"/>
        </w:rPr>
        <w:t xml:space="preserve">; and </w:t>
      </w:r>
      <w:r>
        <w:rPr>
          <w:rFonts w:ascii="arial" w:eastAsia="arial" w:hAnsi="arial" w:cs="arial"/>
          <w:i/>
          <w:color w:val="000000"/>
          <w:sz w:val="20"/>
          <w:lang w:val="en-US" w:eastAsia="en-US" w:bidi="ar-SA"/>
        </w:rPr>
        <w:t>Thompson v. Zurich Insurance Co.</w:t>
      </w:r>
      <w:r>
        <w:rPr>
          <w:rFonts w:ascii="arial" w:eastAsia="arial" w:hAnsi="arial" w:cs="arial"/>
          <w:color w:val="000000"/>
          <w:sz w:val="20"/>
          <w:lang w:val="en-US" w:eastAsia="en-US" w:bidi="ar-SA"/>
        </w:rPr>
        <w:t xml:space="preserve"> </w:t>
      </w:r>
      <w:hyperlink r:id="rId1077" w:history="1">
        <w:r>
          <w:rPr>
            <w:rFonts w:ascii="arial" w:eastAsia="arial" w:hAnsi="arial" w:cs="arial"/>
            <w:i/>
            <w:color w:val="0077CC"/>
            <w:sz w:val="20"/>
            <w:u w:val="single"/>
            <w:shd w:val="clear" w:color="auto" w:fill="FFFFFF"/>
            <w:lang w:val="en-US" w:eastAsia="en-US" w:bidi="ar-SA"/>
          </w:rPr>
          <w:t>(1984), 7 D.L.R. (4th) 664</w:t>
        </w:r>
      </w:hyperlink>
      <w:r>
        <w:rPr>
          <w:rFonts w:ascii="arial" w:eastAsia="arial" w:hAnsi="arial" w:cs="arial"/>
          <w:color w:val="000000"/>
          <w:sz w:val="20"/>
          <w:lang w:val="en-US" w:eastAsia="en-US" w:bidi="ar-SA"/>
        </w:rPr>
        <w:t xml:space="preserve"> (Ont. H.C.J.).</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141</w:t>
      </w:r>
      <w:r>
        <w:rPr>
          <w:rFonts w:ascii="arial" w:eastAsia="arial" w:hAnsi="arial" w:cs="arial"/>
          <w:color w:val="000000"/>
          <w:sz w:val="20"/>
          <w:lang w:val="en-US" w:eastAsia="en-US" w:bidi="ar-SA"/>
        </w:rPr>
        <w:t>  It clearly emerges from the jurisprudence that determining whether the object of the contract was to secure a psychological benefit and whether the degree of mental suffering caused by the breach was sufficient to warrant compensation will depend on each claimant's unique circumstances. It is an individualized inquiry.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142</w:t>
      </w:r>
      <w:r>
        <w:rPr>
          <w:rFonts w:ascii="arial" w:eastAsia="arial" w:hAnsi="arial" w:cs="arial"/>
          <w:color w:val="000000"/>
          <w:sz w:val="20"/>
          <w:lang w:val="en-US" w:eastAsia="en-US" w:bidi="ar-SA"/>
        </w:rPr>
        <w:t xml:space="preserve">  The plaintiff frames this proposed common issue regarding damages under s. 29 of the </w:t>
      </w:r>
      <w:r>
        <w:rPr>
          <w:rFonts w:ascii="arial" w:eastAsia="arial" w:hAnsi="arial" w:cs="arial"/>
          <w:i/>
          <w:color w:val="000000"/>
          <w:sz w:val="20"/>
          <w:lang w:val="en-US" w:eastAsia="en-US" w:bidi="ar-SA"/>
        </w:rPr>
        <w:t>CPA</w:t>
      </w:r>
      <w:r>
        <w:rPr>
          <w:rFonts w:ascii="arial" w:eastAsia="arial" w:hAnsi="arial" w:cs="arial"/>
          <w:color w:val="000000"/>
          <w:sz w:val="20"/>
          <w:lang w:val="en-US" w:eastAsia="en-US" w:bidi="ar-SA"/>
        </w:rPr>
        <w:t>. The plaintiff submits that she can seek "an aggregate award of equivalent damages" on behalf of the class.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143</w:t>
      </w:r>
      <w:r>
        <w:rPr>
          <w:rFonts w:ascii="arial" w:eastAsia="arial" w:hAnsi="arial" w:cs="arial"/>
          <w:color w:val="000000"/>
          <w:sz w:val="20"/>
          <w:lang w:val="en-US" w:eastAsia="en-US" w:bidi="ar-SA"/>
        </w:rPr>
        <w:t>  I agree with the defendants that this submission is misconceived. The plaintiff has not met the pre-conditions: that there can be a class-wide determination of common damage sustained by the proposed class; and that the quantum can be determined without proof of loss by class members. In this case, causation and the nature and extent of the alleged injuries require individual proof. The Court cannot reasonably assume that all class members suffered a loss and make assumptions regarding the range of loss sustained by the average class member.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144</w:t>
      </w:r>
      <w:r>
        <w:rPr>
          <w:rFonts w:ascii="arial" w:eastAsia="arial" w:hAnsi="arial" w:cs="arial"/>
          <w:color w:val="000000"/>
          <w:sz w:val="20"/>
          <w:lang w:val="en-US" w:eastAsia="en-US" w:bidi="ar-SA"/>
        </w:rPr>
        <w:t>  Moreover, even if the s. 29 provisions were available to the proposed class, the plaintiff has not proffered any evidence to support a methodology for aggregate monetary relief.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145</w:t>
      </w:r>
      <w:r>
        <w:rPr>
          <w:rFonts w:ascii="arial" w:eastAsia="arial" w:hAnsi="arial" w:cs="arial"/>
          <w:color w:val="000000"/>
          <w:sz w:val="20"/>
          <w:lang w:val="en-US" w:eastAsia="en-US" w:bidi="ar-SA"/>
        </w:rPr>
        <w:t>  In summary, class certification on this issue is not appropriate because the defendants' conduct cannot be considered in isolation from individual circumstances of the claimants. There is no basis in the evidence to suggest any uniformity in the extent to which individuals may have been affected. This is an intrinsically individual and idiosyncratic claim. Causation, proof of loss and the amount of damages claimed by each class member will vary in accordance with their individual circumstances.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146</w:t>
      </w:r>
      <w:r>
        <w:rPr>
          <w:rFonts w:ascii="arial" w:eastAsia="arial" w:hAnsi="arial" w:cs="arial"/>
          <w:color w:val="000000"/>
          <w:sz w:val="20"/>
          <w:lang w:val="en-US" w:eastAsia="en-US" w:bidi="ar-SA"/>
        </w:rPr>
        <w:t xml:space="preserve">  In the result, I conclude that this is not an appropriate common issue and s. 29 of the </w:t>
      </w:r>
      <w:r>
        <w:rPr>
          <w:rFonts w:ascii="arial" w:eastAsia="arial" w:hAnsi="arial" w:cs="arial"/>
          <w:i/>
          <w:color w:val="000000"/>
          <w:sz w:val="20"/>
          <w:lang w:val="en-US" w:eastAsia="en-US" w:bidi="ar-SA"/>
        </w:rPr>
        <w:t>CPA</w:t>
      </w:r>
      <w:r>
        <w:rPr>
          <w:rFonts w:ascii="arial" w:eastAsia="arial" w:hAnsi="arial" w:cs="arial"/>
          <w:color w:val="000000"/>
          <w:sz w:val="20"/>
          <w:lang w:val="en-US" w:eastAsia="en-US" w:bidi="ar-SA"/>
        </w:rPr>
        <w:t xml:space="preserve"> is not applicable.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u w:val="single"/>
          <w:lang w:val="en-US" w:eastAsia="en-US" w:bidi="ar-SA"/>
        </w:rPr>
        <w:t>(7) Is part or all of the Class entitled to punitive 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147</w:t>
      </w:r>
      <w:r>
        <w:rPr>
          <w:rFonts w:ascii="arial" w:eastAsia="arial" w:hAnsi="arial" w:cs="arial"/>
          <w:color w:val="000000"/>
          <w:sz w:val="20"/>
          <w:lang w:val="en-US" w:eastAsia="en-US" w:bidi="ar-SA"/>
        </w:rPr>
        <w:t>  The plaintiff and the class claim punitive damages for "reckless and wrongful conduct" namely "the failure to inform the buying public" of the alleged defect as soon as it was known to Mazda Canada.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148</w:t>
      </w:r>
      <w:r>
        <w:rPr>
          <w:rFonts w:ascii="arial" w:eastAsia="arial" w:hAnsi="arial" w:cs="arial"/>
          <w:color w:val="000000"/>
          <w:sz w:val="20"/>
          <w:lang w:val="en-US" w:eastAsia="en-US" w:bidi="ar-SA"/>
        </w:rPr>
        <w:t xml:space="preserve">  The plaintiff submits that courts in other cases have determined issues of entitlement, quantum and distribution of punitive damages to be appropriate for class certification: </w:t>
      </w:r>
      <w:r>
        <w:rPr>
          <w:rFonts w:ascii="arial" w:eastAsia="arial" w:hAnsi="arial" w:cs="arial"/>
          <w:i/>
          <w:color w:val="000000"/>
          <w:sz w:val="20"/>
          <w:lang w:val="en-US" w:eastAsia="en-US" w:bidi="ar-SA"/>
        </w:rPr>
        <w:t>Rumley</w:t>
      </w:r>
      <w:r>
        <w:rPr>
          <w:rFonts w:ascii="arial" w:eastAsia="arial" w:hAnsi="arial" w:cs="arial"/>
          <w:color w:val="000000"/>
          <w:sz w:val="20"/>
          <w:lang w:val="en-US" w:eastAsia="en-US" w:bidi="ar-SA"/>
        </w:rPr>
        <w:t xml:space="preserve"> at para. 34; </w:t>
      </w:r>
      <w:r>
        <w:rPr>
          <w:rFonts w:ascii="arial" w:eastAsia="arial" w:hAnsi="arial" w:cs="arial"/>
          <w:i/>
          <w:color w:val="000000"/>
          <w:sz w:val="20"/>
          <w:lang w:val="en-US" w:eastAsia="en-US" w:bidi="ar-SA"/>
        </w:rPr>
        <w:t>Fakhri</w:t>
      </w:r>
      <w:r>
        <w:rPr>
          <w:rFonts w:ascii="arial" w:eastAsia="arial" w:hAnsi="arial" w:cs="arial"/>
          <w:color w:val="000000"/>
          <w:sz w:val="20"/>
          <w:lang w:val="en-US" w:eastAsia="en-US" w:bidi="ar-SA"/>
        </w:rPr>
        <w:t xml:space="preserve"> (S.C.) at para. 73; </w:t>
      </w:r>
      <w:r>
        <w:rPr>
          <w:rFonts w:ascii="arial" w:eastAsia="arial" w:hAnsi="arial" w:cs="arial"/>
          <w:i/>
          <w:color w:val="000000"/>
          <w:sz w:val="20"/>
          <w:lang w:val="en-US" w:eastAsia="en-US" w:bidi="ar-SA"/>
        </w:rPr>
        <w:t>Lambert</w:t>
      </w:r>
      <w:r>
        <w:rPr>
          <w:rFonts w:ascii="arial" w:eastAsia="arial" w:hAnsi="arial" w:cs="arial"/>
          <w:color w:val="000000"/>
          <w:sz w:val="20"/>
          <w:lang w:val="en-US" w:eastAsia="en-US" w:bidi="ar-SA"/>
        </w:rPr>
        <w:t xml:space="preserve"> at para. 119; </w:t>
      </w:r>
      <w:r>
        <w:rPr>
          <w:rFonts w:ascii="arial" w:eastAsia="arial" w:hAnsi="arial" w:cs="arial"/>
          <w:i/>
          <w:color w:val="000000"/>
          <w:sz w:val="20"/>
          <w:lang w:val="en-US" w:eastAsia="en-US" w:bidi="ar-SA"/>
        </w:rPr>
        <w:t>Heward</w:t>
      </w:r>
      <w:r>
        <w:rPr>
          <w:rFonts w:ascii="arial" w:eastAsia="arial" w:hAnsi="arial" w:cs="arial"/>
          <w:color w:val="000000"/>
          <w:sz w:val="20"/>
          <w:lang w:val="en-US" w:eastAsia="en-US" w:bidi="ar-SA"/>
        </w:rPr>
        <w:t xml:space="preserve"> at paras. 77 and 125; </w:t>
      </w:r>
      <w:r>
        <w:rPr>
          <w:rFonts w:ascii="arial" w:eastAsia="arial" w:hAnsi="arial" w:cs="arial"/>
          <w:i/>
          <w:color w:val="000000"/>
          <w:sz w:val="20"/>
          <w:lang w:val="en-US" w:eastAsia="en-US" w:bidi="ar-SA"/>
        </w:rPr>
        <w:t>Tiboni</w:t>
      </w:r>
      <w:r>
        <w:rPr>
          <w:rFonts w:ascii="arial" w:eastAsia="arial" w:hAnsi="arial" w:cs="arial"/>
          <w:color w:val="000000"/>
          <w:sz w:val="20"/>
          <w:lang w:val="en-US" w:eastAsia="en-US" w:bidi="ar-SA"/>
        </w:rPr>
        <w:t xml:space="preserve"> at paras. 83 and 118; and </w:t>
      </w:r>
      <w:r>
        <w:rPr>
          <w:rFonts w:ascii="arial" w:eastAsia="arial" w:hAnsi="arial" w:cs="arial"/>
          <w:i/>
          <w:color w:val="000000"/>
          <w:sz w:val="20"/>
          <w:lang w:val="en-US" w:eastAsia="en-US" w:bidi="ar-SA"/>
        </w:rPr>
        <w:t>Serhan</w:t>
      </w:r>
      <w:r>
        <w:rPr>
          <w:rFonts w:ascii="arial" w:eastAsia="arial" w:hAnsi="arial" w:cs="arial"/>
          <w:color w:val="000000"/>
          <w:sz w:val="20"/>
          <w:lang w:val="en-US" w:eastAsia="en-US" w:bidi="ar-SA"/>
        </w:rPr>
        <w:t xml:space="preserve"> at paras. 129-30.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149</w:t>
      </w:r>
      <w:r>
        <w:rPr>
          <w:rFonts w:ascii="arial" w:eastAsia="arial" w:hAnsi="arial" w:cs="arial"/>
          <w:color w:val="000000"/>
          <w:sz w:val="20"/>
          <w:lang w:val="en-US" w:eastAsia="en-US" w:bidi="ar-SA"/>
        </w:rPr>
        <w:t xml:space="preserve">  I note, however, that the Supreme Court of Canada in </w:t>
      </w:r>
      <w:r>
        <w:rPr>
          <w:rFonts w:ascii="arial" w:eastAsia="arial" w:hAnsi="arial" w:cs="arial"/>
          <w:i/>
          <w:color w:val="000000"/>
          <w:sz w:val="20"/>
          <w:lang w:val="en-US" w:eastAsia="en-US" w:bidi="ar-SA"/>
        </w:rPr>
        <w:t>Rumley</w:t>
      </w:r>
      <w:r>
        <w:rPr>
          <w:rFonts w:ascii="arial" w:eastAsia="arial" w:hAnsi="arial" w:cs="arial"/>
          <w:color w:val="000000"/>
          <w:sz w:val="20"/>
          <w:lang w:val="en-US" w:eastAsia="en-US" w:bidi="ar-SA"/>
        </w:rPr>
        <w:t xml:space="preserve"> expressly recognized that the appropriateness and amount of punitive damages will not always be amenable to determination as a common issue: para. 34. In </w:t>
      </w:r>
      <w:r>
        <w:rPr>
          <w:rFonts w:ascii="arial" w:eastAsia="arial" w:hAnsi="arial" w:cs="arial"/>
          <w:i/>
          <w:color w:val="000000"/>
          <w:sz w:val="20"/>
          <w:lang w:val="en-US" w:eastAsia="en-US" w:bidi="ar-SA"/>
        </w:rPr>
        <w:t>Rumley</w:t>
      </w:r>
      <w:r>
        <w:rPr>
          <w:rFonts w:ascii="arial" w:eastAsia="arial" w:hAnsi="arial" w:cs="arial"/>
          <w:color w:val="000000"/>
          <w:sz w:val="20"/>
          <w:lang w:val="en-US" w:eastAsia="en-US" w:bidi="ar-SA"/>
        </w:rPr>
        <w:t xml:space="preserve">, the Court observed that the allegations were of systemic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and the reasonability of the actions or omissions could be "determined without reference to the circumstances of any individual class member": at para. 30.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150</w:t>
      </w:r>
      <w:r>
        <w:rPr>
          <w:rFonts w:ascii="arial" w:eastAsia="arial" w:hAnsi="arial" w:cs="arial"/>
          <w:color w:val="000000"/>
          <w:sz w:val="20"/>
          <w:lang w:val="en-US" w:eastAsia="en-US" w:bidi="ar-SA"/>
        </w:rPr>
        <w:t>  The defendants' principal objection to the inclusion of the punitive damages in the certification of the class action is that the conduct of the defendants in this case cannot be examined without reference to the individual circumstances of the plaintiff or proposed class members, and, thus, it cannot occur with fairness and efficiency within the class proceeding.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151</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Fakhri v. Wild Oats Markets Canada</w:t>
      </w:r>
      <w:r>
        <w:rPr>
          <w:rFonts w:ascii="arial" w:eastAsia="arial" w:hAnsi="arial" w:cs="arial"/>
          <w:color w:val="000000"/>
          <w:sz w:val="20"/>
          <w:lang w:val="en-US" w:eastAsia="en-US" w:bidi="ar-SA"/>
        </w:rPr>
        <w:t xml:space="preserve">, </w:t>
      </w:r>
      <w:hyperlink r:id="rId1078" w:history="1">
        <w:r>
          <w:rPr>
            <w:rFonts w:ascii="arial" w:eastAsia="arial" w:hAnsi="arial" w:cs="arial"/>
            <w:i/>
            <w:color w:val="0077CC"/>
            <w:sz w:val="20"/>
            <w:u w:val="single"/>
            <w:shd w:val="clear" w:color="auto" w:fill="FFFFFF"/>
            <w:lang w:val="en-US" w:eastAsia="en-US" w:bidi="ar-SA"/>
          </w:rPr>
          <w:t>2004 BCCA 549</w:t>
        </w:r>
      </w:hyperlink>
      <w:r>
        <w:rPr>
          <w:rFonts w:ascii="arial" w:eastAsia="arial" w:hAnsi="arial" w:cs="arial"/>
          <w:color w:val="000000"/>
          <w:sz w:val="20"/>
          <w:lang w:val="en-US" w:eastAsia="en-US" w:bidi="ar-SA"/>
        </w:rPr>
        <w:t>, the Court of Appeal described the two stages of determining a punitive damage claim: first, an assessment of the defendants' behaviour to ascertain whether it is deserving of a punitive response; and, second, an examination of the effect of the defendants' behaviour on the individual class members: para. 23.</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152</w:t>
      </w:r>
      <w:r>
        <w:rPr>
          <w:rFonts w:ascii="arial" w:eastAsia="arial" w:hAnsi="arial" w:cs="arial"/>
          <w:color w:val="000000"/>
          <w:sz w:val="20"/>
          <w:lang w:val="en-US" w:eastAsia="en-US" w:bidi="ar-SA"/>
        </w:rPr>
        <w:t xml:space="preserve">  The principle to be derived from the authorities is that the purpose of punitive damages is not to compensate the plaintiff. Where they are awarded, punitive damages should be assessed in an amount reasonably proportionate to a number of factors, including the degree of misconduct of the defendant, any other penalties suffered by the defendants for the misconduct in question, the harm caused to the plaintiff, and the relative vulnerability of the plaintiff. Punitive damages should only be awarded where the compensatory damages award is insufficient to achieve the objectives of retribution, deterrence and denunciation, "in an amount that is no greater than necessary to rationally accomplish their purpose": </w:t>
      </w:r>
      <w:r>
        <w:rPr>
          <w:rFonts w:ascii="arial" w:eastAsia="arial" w:hAnsi="arial" w:cs="arial"/>
          <w:i/>
          <w:color w:val="000000"/>
          <w:sz w:val="20"/>
          <w:lang w:val="en-US" w:eastAsia="en-US" w:bidi="ar-SA"/>
        </w:rPr>
        <w:t>Whiten v. Pilot Insurance Co.</w:t>
      </w:r>
      <w:r>
        <w:rPr>
          <w:rFonts w:ascii="arial" w:eastAsia="arial" w:hAnsi="arial" w:cs="arial"/>
          <w:color w:val="000000"/>
          <w:sz w:val="20"/>
          <w:lang w:val="en-US" w:eastAsia="en-US" w:bidi="ar-SA"/>
        </w:rPr>
        <w:t xml:space="preserve">, </w:t>
      </w:r>
      <w:hyperlink r:id="rId1029" w:history="1">
        <w:r>
          <w:rPr>
            <w:rFonts w:ascii="arial" w:eastAsia="arial" w:hAnsi="arial" w:cs="arial"/>
            <w:i/>
            <w:color w:val="0077CC"/>
            <w:sz w:val="20"/>
            <w:u w:val="single"/>
            <w:shd w:val="clear" w:color="auto" w:fill="FFFFFF"/>
            <w:lang w:val="en-US" w:eastAsia="en-US" w:bidi="ar-SA"/>
          </w:rPr>
          <w:t>[2002] 1 S.C.R. 595</w:t>
        </w:r>
      </w:hyperlink>
      <w:r>
        <w:rPr>
          <w:rFonts w:ascii="arial" w:eastAsia="arial" w:hAnsi="arial" w:cs="arial"/>
          <w:color w:val="000000"/>
          <w:sz w:val="20"/>
          <w:lang w:val="en-US" w:eastAsia="en-US" w:bidi="ar-SA"/>
        </w:rPr>
        <w:t xml:space="preserve"> at paras. 94 and 123.</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153</w:t>
      </w:r>
      <w:r>
        <w:rPr>
          <w:rFonts w:ascii="arial" w:eastAsia="arial" w:hAnsi="arial" w:cs="arial"/>
          <w:color w:val="000000"/>
          <w:sz w:val="20"/>
          <w:lang w:val="en-US" w:eastAsia="en-US" w:bidi="ar-SA"/>
        </w:rPr>
        <w:t xml:space="preserve">  The particular circumstances of this case are distinguishable from those in </w:t>
      </w:r>
      <w:r>
        <w:rPr>
          <w:rFonts w:ascii="arial" w:eastAsia="arial" w:hAnsi="arial" w:cs="arial"/>
          <w:i/>
          <w:color w:val="000000"/>
          <w:sz w:val="20"/>
          <w:lang w:val="en-US" w:eastAsia="en-US" w:bidi="ar-SA"/>
        </w:rPr>
        <w:t>Fakhri</w:t>
      </w:r>
      <w:r>
        <w:rPr>
          <w:rFonts w:ascii="arial" w:eastAsia="arial" w:hAnsi="arial" w:cs="arial"/>
          <w:color w:val="000000"/>
          <w:sz w:val="20"/>
          <w:lang w:val="en-US" w:eastAsia="en-US" w:bidi="ar-SA"/>
        </w:rPr>
        <w:t xml:space="preserve"> (C.A.) where the Court observed at para. 23 that the facts were likely to be similar in most claims among the class members. Thus, the court determined that the first stage of the analysis -- assessment of the defendant's behaviour to ascertain whether it was deserving of a punitive response -- was an appropriate common issue.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154</w:t>
      </w:r>
      <w:r>
        <w:rPr>
          <w:rFonts w:ascii="arial" w:eastAsia="arial" w:hAnsi="arial" w:cs="arial"/>
          <w:color w:val="000000"/>
          <w:sz w:val="20"/>
          <w:lang w:val="en-US" w:eastAsia="en-US" w:bidi="ar-SA"/>
        </w:rPr>
        <w:t>  This is a case in which, given its very particular nature, the defendants' conduct cannot be considered in isolation from the individual circumstances of particular claimants. The relative incidence of theft from auto is variable across different communities. While individuals in one community may face a high incidence of such crime, others do not. There is no basis in the evidence to suggest any uniformity in the extent to which individuals in various localities may have been affected. The assessment of the reasonableness of the defendants' conduct and whether it can be characterized as "harsh, vindictive, reprehensible, or malicious" cannot fairly be separated from this consideration.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155</w:t>
      </w:r>
      <w:r>
        <w:rPr>
          <w:rFonts w:ascii="arial" w:eastAsia="arial" w:hAnsi="arial" w:cs="arial"/>
          <w:color w:val="000000"/>
          <w:sz w:val="20"/>
          <w:lang w:val="en-US" w:eastAsia="en-US" w:bidi="ar-SA"/>
        </w:rPr>
        <w:t>  There is an absence of commonality necessary for a common issue. The results of the inquiry as to whether, in any particular circumstances, the defendants acted in a highhanded or reprehensible manner cannot be extrapolated to the experiences of other members of the proposed class. Therefore, in the particular circumstances of this case, the question of whether punitive damages would serve a rational purpose cannot be determined until after individual issues of causation and compensatory 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156</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Robinson v. Medtronic</w:t>
      </w:r>
      <w:r>
        <w:rPr>
          <w:rFonts w:ascii="arial" w:eastAsia="arial" w:hAnsi="arial" w:cs="arial"/>
          <w:color w:val="000000"/>
          <w:sz w:val="20"/>
          <w:lang w:val="en-US" w:eastAsia="en-US" w:bidi="ar-SA"/>
        </w:rPr>
        <w:t xml:space="preserve"> </w:t>
      </w:r>
      <w:hyperlink r:id="rId1079" w:history="1">
        <w:r>
          <w:rPr>
            <w:rFonts w:ascii="arial" w:eastAsia="arial" w:hAnsi="arial" w:cs="arial"/>
            <w:i/>
            <w:color w:val="0077CC"/>
            <w:sz w:val="20"/>
            <w:u w:val="single"/>
            <w:shd w:val="clear" w:color="auto" w:fill="FFFFFF"/>
            <w:lang w:val="en-US" w:eastAsia="en-US" w:bidi="ar-SA"/>
          </w:rPr>
          <w:t>(2009), 80 C.P.C. (6th) 87</w:t>
        </w:r>
      </w:hyperlink>
      <w:r>
        <w:rPr>
          <w:rFonts w:ascii="arial" w:eastAsia="arial" w:hAnsi="arial" w:cs="arial"/>
          <w:color w:val="000000"/>
          <w:sz w:val="20"/>
          <w:lang w:val="en-US" w:eastAsia="en-US" w:bidi="ar-SA"/>
        </w:rPr>
        <w:t xml:space="preserve"> (Sup. Ct.), Perell J. certified a common issue on waiver of tort but did not certify the issue of punitive damages. His comments at paras. 188-90 are apt: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[188] In my opinion, the fact that the Class Members' entitlement to elect waiver of tort instead of compensatory damages may be determined at the common issues trial does not change the situation that punitive damages in the case at bar cannot be determined until after the individual trials.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[189] Indeed, if the Class Members are entitled to the remedy of a disgorgement of Medtronic's profits, it is arguable that it would not be rational, proportionate, or just to award punitive damages because the disgorgement by itself would (as it is designed to do) accomplish the purposes of retribution, deterrence, and denunciation. In other words, the doctrinal rationale for disgorgement is the same as for punitive damages and it would not be rationale or fair for the defendant to disgorge and also pay punitive damages. These are matters for a trial court to determine ...</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[190] I see no unfairness in this conclusion. Class members are not denied access to justice nor are they being denied what Justice Binnie described as the "windfall" of punitive damages. Just as it cannot be said that class members are being denied compensatory damages because they must prove causation and damages individually, it cannot be said that they are being denied punitive damages in a case in which punitive damages are not amenable to being proven as a common issue.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157</w:t>
      </w:r>
      <w:r>
        <w:rPr>
          <w:rFonts w:ascii="arial" w:eastAsia="arial" w:hAnsi="arial" w:cs="arial"/>
          <w:color w:val="000000"/>
          <w:sz w:val="20"/>
          <w:lang w:val="en-US" w:eastAsia="en-US" w:bidi="ar-SA"/>
        </w:rPr>
        <w:t>  In the result, I conclude that whether punitive damages would be warranted or would serve a rational purpose, and the quantification of punitive damages are not amenable to resolution as common issues in this case. There may be cases where at the common issues trial the court would be in a position to determine entitlement to punitive damages, but this is not one of those cases.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u w:val="single"/>
          <w:lang w:val="en-US" w:eastAsia="en-US" w:bidi="ar-SA"/>
        </w:rPr>
        <w:t xml:space="preserve">(8) If part or all of the Class is entitled to punitive damages, what is the quantum of such damages, and is the Class entitled to an award of such damages on an aggregate basis pursuant to s. 29 of the </w:t>
      </w:r>
      <w:r>
        <w:rPr>
          <w:rFonts w:ascii="arial" w:eastAsia="arial" w:hAnsi="arial" w:cs="arial"/>
          <w:i/>
          <w:color w:val="000000"/>
          <w:sz w:val="20"/>
          <w:u w:val="single"/>
          <w:lang w:val="en-US" w:eastAsia="en-US" w:bidi="ar-SA"/>
        </w:rPr>
        <w:t>CPA</w:t>
      </w:r>
      <w:r>
        <w:rPr>
          <w:rFonts w:ascii="arial" w:eastAsia="arial" w:hAnsi="arial" w:cs="arial"/>
          <w:color w:val="000000"/>
          <w:sz w:val="20"/>
          <w:u w:val="single"/>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158</w:t>
      </w:r>
      <w:r>
        <w:rPr>
          <w:rFonts w:ascii="arial" w:eastAsia="arial" w:hAnsi="arial" w:cs="arial"/>
          <w:color w:val="000000"/>
          <w:sz w:val="20"/>
          <w:lang w:val="en-US" w:eastAsia="en-US" w:bidi="ar-SA"/>
        </w:rPr>
        <w:t>  In view of my conclusions on common issue (7), it is not necessary for me to address common issue (8).</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u w:val="single"/>
          <w:lang w:val="en-US" w:eastAsia="en-US" w:bidi="ar-SA"/>
        </w:rPr>
        <w:t>(9) By virtue of waiver of tort, are the defendants liable, on a restitutionary basis, to account to the Class for any part of the proceeds of the sale of the Mazda3 vehicles?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159</w:t>
      </w:r>
      <w:r>
        <w:rPr>
          <w:rFonts w:ascii="arial" w:eastAsia="arial" w:hAnsi="arial" w:cs="arial"/>
          <w:color w:val="000000"/>
          <w:sz w:val="20"/>
          <w:lang w:val="en-US" w:eastAsia="en-US" w:bidi="ar-SA"/>
        </w:rPr>
        <w:t xml:space="preserve">  As discussed above, it is at least arguable that the pleadings disclose a cause of action in waiver of tort. Since there is some support in the recent jurisprudence for waiver of tort being an independent cause of action, the plaintiff submits that it is arguable that it affords the entire class, not just those who can avail themselves of the </w:t>
      </w:r>
      <w:r>
        <w:rPr>
          <w:rFonts w:ascii="arial" w:eastAsia="arial" w:hAnsi="arial" w:cs="arial"/>
          <w:i/>
          <w:color w:val="000000"/>
          <w:sz w:val="20"/>
          <w:lang w:val="en-US" w:eastAsia="en-US" w:bidi="ar-SA"/>
        </w:rPr>
        <w:t>SGA</w:t>
      </w:r>
      <w:r>
        <w:rPr>
          <w:rFonts w:ascii="arial" w:eastAsia="arial" w:hAnsi="arial" w:cs="arial"/>
          <w:color w:val="000000"/>
          <w:sz w:val="20"/>
          <w:lang w:val="en-US" w:eastAsia="en-US" w:bidi="ar-SA"/>
        </w:rPr>
        <w:t xml:space="preserve"> and </w:t>
      </w:r>
      <w:r>
        <w:rPr>
          <w:rFonts w:ascii="arial" w:eastAsia="arial" w:hAnsi="arial" w:cs="arial"/>
          <w:i/>
          <w:color w:val="000000"/>
          <w:sz w:val="20"/>
          <w:lang w:val="en-US" w:eastAsia="en-US" w:bidi="ar-SA"/>
        </w:rPr>
        <w:t>BPCPA</w:t>
      </w:r>
      <w:r>
        <w:rPr>
          <w:rFonts w:ascii="arial" w:eastAsia="arial" w:hAnsi="arial" w:cs="arial"/>
          <w:color w:val="000000"/>
          <w:sz w:val="20"/>
          <w:lang w:val="en-US" w:eastAsia="en-US" w:bidi="ar-SA"/>
        </w:rPr>
        <w:t>, a cause of action (i.e. it affords those who purchased their vehicle for a business purpose a cause of action).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160</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Infineon</w:t>
      </w:r>
      <w:r>
        <w:rPr>
          <w:rFonts w:ascii="arial" w:eastAsia="arial" w:hAnsi="arial" w:cs="arial"/>
          <w:color w:val="000000"/>
          <w:sz w:val="20"/>
          <w:lang w:val="en-US" w:eastAsia="en-US" w:bidi="ar-SA"/>
        </w:rPr>
        <w:t>, the Court of Appeal disagreed with the chambers judge's conclusion that under the doctrine of waiver of tort, the unlawful gain of the defendant must be referable to the class members: paras. 30 and 32. The Court of Appeal endorsed the view expressed in some of the Ontario authorities that until the issue has been determined substantially, there is an argument to be made that a claim in waiver of tort may be established for the class as a whole by proof of wrongful conduct and resulting gain to the defendant without proof of any loss by the plaintiff. The Court of Appeal articulated that "causation could be proven for the class as a whole upon proof that the gain would not have been obtained but for the defendants' wrongful conduct": para. 32.</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161</w:t>
      </w:r>
      <w:r>
        <w:rPr>
          <w:rFonts w:ascii="arial" w:eastAsia="arial" w:hAnsi="arial" w:cs="arial"/>
          <w:color w:val="000000"/>
          <w:sz w:val="20"/>
          <w:lang w:val="en-US" w:eastAsia="en-US" w:bidi="ar-SA"/>
        </w:rPr>
        <w:t>  This question involves an inquiry into the conduct of the defendants and the entitlement of the class to a restitutionary remedy or disgorgement. The entire class has an interest in the resolution of this question because, where the defendant realized a gain as a result of wrongful conduct, the claim of waiver of tort might be advanced by the class as a whole without requiring proof of individual loss. Therefore, the benefit obtained by the defendants from their alleged wrongful conduct would arguably equate to the measure of recovery by the class under the waiver of tort claim.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162</w:t>
      </w:r>
      <w:r>
        <w:rPr>
          <w:rFonts w:ascii="arial" w:eastAsia="arial" w:hAnsi="arial" w:cs="arial"/>
          <w:color w:val="000000"/>
          <w:sz w:val="20"/>
          <w:lang w:val="en-US" w:eastAsia="en-US" w:bidi="ar-SA"/>
        </w:rPr>
        <w:t xml:space="preserve">  Since liability may arguably be established without proof of loss, the question of entitlement to disgorgement or related restitutionary relief by virtue of waiver of tort has been held to be suitable for class certification in a number of other cases: </w:t>
      </w:r>
      <w:r>
        <w:rPr>
          <w:rFonts w:ascii="arial" w:eastAsia="arial" w:hAnsi="arial" w:cs="arial"/>
          <w:i/>
          <w:color w:val="000000"/>
          <w:sz w:val="20"/>
          <w:lang w:val="en-US" w:eastAsia="en-US" w:bidi="ar-SA"/>
        </w:rPr>
        <w:t>Lambert</w:t>
      </w:r>
      <w:r>
        <w:rPr>
          <w:rFonts w:ascii="arial" w:eastAsia="arial" w:hAnsi="arial" w:cs="arial"/>
          <w:color w:val="000000"/>
          <w:sz w:val="20"/>
          <w:lang w:val="en-US" w:eastAsia="en-US" w:bidi="ar-SA"/>
        </w:rPr>
        <w:t xml:space="preserve"> at paras. 119 and 163; </w:t>
      </w:r>
      <w:r>
        <w:rPr>
          <w:rFonts w:ascii="arial" w:eastAsia="arial" w:hAnsi="arial" w:cs="arial"/>
          <w:i/>
          <w:color w:val="000000"/>
          <w:sz w:val="20"/>
          <w:lang w:val="en-US" w:eastAsia="en-US" w:bidi="ar-SA"/>
        </w:rPr>
        <w:t>Griffin</w:t>
      </w:r>
      <w:r>
        <w:rPr>
          <w:rFonts w:ascii="arial" w:eastAsia="arial" w:hAnsi="arial" w:cs="arial"/>
          <w:color w:val="000000"/>
          <w:sz w:val="20"/>
          <w:lang w:val="en-US" w:eastAsia="en-US" w:bidi="ar-SA"/>
        </w:rPr>
        <w:t xml:space="preserve"> at para. 87; </w:t>
      </w:r>
      <w:r>
        <w:rPr>
          <w:rFonts w:ascii="arial" w:eastAsia="arial" w:hAnsi="arial" w:cs="arial"/>
          <w:i/>
          <w:color w:val="000000"/>
          <w:sz w:val="20"/>
          <w:lang w:val="en-US" w:eastAsia="en-US" w:bidi="ar-SA"/>
        </w:rPr>
        <w:t>Serhan</w:t>
      </w:r>
      <w:r>
        <w:rPr>
          <w:rFonts w:ascii="arial" w:eastAsia="arial" w:hAnsi="arial" w:cs="arial"/>
          <w:color w:val="000000"/>
          <w:sz w:val="20"/>
          <w:lang w:val="en-US" w:eastAsia="en-US" w:bidi="ar-SA"/>
        </w:rPr>
        <w:t xml:space="preserve"> at para. 124; </w:t>
      </w:r>
      <w:r>
        <w:rPr>
          <w:rFonts w:ascii="arial" w:eastAsia="arial" w:hAnsi="arial" w:cs="arial"/>
          <w:i/>
          <w:color w:val="000000"/>
          <w:sz w:val="20"/>
          <w:lang w:val="en-US" w:eastAsia="en-US" w:bidi="ar-SA"/>
        </w:rPr>
        <w:t>Heward</w:t>
      </w:r>
      <w:r>
        <w:rPr>
          <w:rFonts w:ascii="arial" w:eastAsia="arial" w:hAnsi="arial" w:cs="arial"/>
          <w:color w:val="000000"/>
          <w:sz w:val="20"/>
          <w:lang w:val="en-US" w:eastAsia="en-US" w:bidi="ar-SA"/>
        </w:rPr>
        <w:t xml:space="preserve"> at paras. 36-42; </w:t>
      </w:r>
      <w:r>
        <w:rPr>
          <w:rFonts w:ascii="arial" w:eastAsia="arial" w:hAnsi="arial" w:cs="arial"/>
          <w:i/>
          <w:color w:val="000000"/>
          <w:sz w:val="20"/>
          <w:lang w:val="en-US" w:eastAsia="en-US" w:bidi="ar-SA"/>
        </w:rPr>
        <w:t>Tiboni</w:t>
      </w:r>
      <w:r>
        <w:rPr>
          <w:rFonts w:ascii="arial" w:eastAsia="arial" w:hAnsi="arial" w:cs="arial"/>
          <w:color w:val="000000"/>
          <w:sz w:val="20"/>
          <w:lang w:val="en-US" w:eastAsia="en-US" w:bidi="ar-SA"/>
        </w:rPr>
        <w:t xml:space="preserve"> at para. 91; and </w:t>
      </w:r>
      <w:r>
        <w:rPr>
          <w:rFonts w:ascii="arial" w:eastAsia="arial" w:hAnsi="arial" w:cs="arial"/>
          <w:i/>
          <w:color w:val="000000"/>
          <w:sz w:val="20"/>
          <w:lang w:val="en-US" w:eastAsia="en-US" w:bidi="ar-SA"/>
        </w:rPr>
        <w:t>Gautam</w:t>
      </w:r>
      <w:r>
        <w:rPr>
          <w:rFonts w:ascii="arial" w:eastAsia="arial" w:hAnsi="arial" w:cs="arial"/>
          <w:color w:val="000000"/>
          <w:sz w:val="20"/>
          <w:lang w:val="en-US" w:eastAsia="en-US" w:bidi="ar-SA"/>
        </w:rPr>
        <w:t xml:space="preserve"> at para. 44.</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163</w:t>
      </w:r>
      <w:r>
        <w:rPr>
          <w:rFonts w:ascii="arial" w:eastAsia="arial" w:hAnsi="arial" w:cs="arial"/>
          <w:color w:val="000000"/>
          <w:sz w:val="20"/>
          <w:lang w:val="en-US" w:eastAsia="en-US" w:bidi="ar-SA"/>
        </w:rPr>
        <w:t xml:space="preserve">  In this case, the allegations of wrongful conduct include the defendants' marketing and sale of the Mazda3 when they knew about the alleged defect and their delay in taking remedial action. If the plaintiff can prove these allegations and that the defendants benefited from their wrongful conduct, it may be possible to determine a sufficient causal link between the alleged wrongful conduct and the amount which the defendants could be ordered to pay on a class-wide basis by way of disgorgement or restitution. It follows that the alleged wrongful conduct and corresponding benefit to the defendants may sustain a restitutionary remedy based on waiver of tort: </w:t>
      </w:r>
      <w:r>
        <w:rPr>
          <w:rFonts w:ascii="arial" w:eastAsia="arial" w:hAnsi="arial" w:cs="arial"/>
          <w:i/>
          <w:color w:val="000000"/>
          <w:sz w:val="20"/>
          <w:lang w:val="en-US" w:eastAsia="en-US" w:bidi="ar-SA"/>
        </w:rPr>
        <w:t>Heward</w:t>
      </w:r>
      <w:r>
        <w:rPr>
          <w:rFonts w:ascii="arial" w:eastAsia="arial" w:hAnsi="arial" w:cs="arial"/>
          <w:color w:val="000000"/>
          <w:sz w:val="20"/>
          <w:lang w:val="en-US" w:eastAsia="en-US" w:bidi="ar-SA"/>
        </w:rPr>
        <w:t xml:space="preserve"> at para. 101.</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164</w:t>
      </w:r>
      <w:r>
        <w:rPr>
          <w:rFonts w:ascii="arial" w:eastAsia="arial" w:hAnsi="arial" w:cs="arial"/>
          <w:color w:val="000000"/>
          <w:sz w:val="20"/>
          <w:lang w:val="en-US" w:eastAsia="en-US" w:bidi="ar-SA"/>
        </w:rPr>
        <w:t>  I conclude that whether the alleged wrongful conduct of the defendants in this case engages the doctrine of waiver of tort, whether the defendants are liable to account to any of the class members, and what restitution, if any, is payable by the defendants to the class members, are appropriate common issues.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165</w:t>
      </w:r>
      <w:r>
        <w:rPr>
          <w:rFonts w:ascii="arial" w:eastAsia="arial" w:hAnsi="arial" w:cs="arial"/>
          <w:color w:val="000000"/>
          <w:sz w:val="20"/>
          <w:lang w:val="en-US" w:eastAsia="en-US" w:bidi="ar-SA"/>
        </w:rPr>
        <w:t>  However, I have a concern about the form of common issues (9) and (10) as currently drafted, specifically whether they should be reformulated to reflect the proposed amendments to the statement of claim and the analysis set out in these reasons. I therefore seek further submissions from counsel on the drafting of common issues (9) and (10).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u w:val="single"/>
          <w:lang w:val="en-US" w:eastAsia="en-US" w:bidi="ar-SA"/>
        </w:rPr>
        <w:t>(10) If the defendants are liable to the class on a restitutionary basis, in what amount are they liable?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166</w:t>
      </w:r>
      <w:r>
        <w:rPr>
          <w:rFonts w:ascii="arial" w:eastAsia="arial" w:hAnsi="arial" w:cs="arial"/>
          <w:color w:val="000000"/>
          <w:sz w:val="20"/>
          <w:lang w:val="en-US" w:eastAsia="en-US" w:bidi="ar-SA"/>
        </w:rPr>
        <w:t>  This is addressed above.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u w:val="single"/>
          <w:lang w:val="en-US" w:eastAsia="en-US" w:bidi="ar-SA"/>
        </w:rPr>
        <w:t>(11) Is eligibility for some or all or part of the relief claimed by the Class dependant on the class members having acquired their vehicles primarily for "personal, family or household" purposes as opposed to primarily "business" purposes?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167</w:t>
      </w:r>
      <w:r>
        <w:rPr>
          <w:rFonts w:ascii="arial" w:eastAsia="arial" w:hAnsi="arial" w:cs="arial"/>
          <w:color w:val="000000"/>
          <w:sz w:val="20"/>
          <w:lang w:val="en-US" w:eastAsia="en-US" w:bidi="ar-SA"/>
        </w:rPr>
        <w:t xml:space="preserve">  As referred to above, it is not in dispute that the causes of action derived from the </w:t>
      </w:r>
      <w:r>
        <w:rPr>
          <w:rFonts w:ascii="arial" w:eastAsia="arial" w:hAnsi="arial" w:cs="arial"/>
          <w:i/>
          <w:color w:val="000000"/>
          <w:sz w:val="20"/>
          <w:lang w:val="en-US" w:eastAsia="en-US" w:bidi="ar-SA"/>
        </w:rPr>
        <w:t>SGA</w:t>
      </w:r>
      <w:r>
        <w:rPr>
          <w:rFonts w:ascii="arial" w:eastAsia="arial" w:hAnsi="arial" w:cs="arial"/>
          <w:color w:val="000000"/>
          <w:sz w:val="20"/>
          <w:lang w:val="en-US" w:eastAsia="en-US" w:bidi="ar-SA"/>
        </w:rPr>
        <w:t xml:space="preserve"> and </w:t>
      </w:r>
      <w:r>
        <w:rPr>
          <w:rFonts w:ascii="arial" w:eastAsia="arial" w:hAnsi="arial" w:cs="arial"/>
          <w:i/>
          <w:color w:val="000000"/>
          <w:sz w:val="20"/>
          <w:lang w:val="en-US" w:eastAsia="en-US" w:bidi="ar-SA"/>
        </w:rPr>
        <w:t>BPCPA</w:t>
      </w:r>
      <w:r>
        <w:rPr>
          <w:rFonts w:ascii="arial" w:eastAsia="arial" w:hAnsi="arial" w:cs="arial"/>
          <w:color w:val="000000"/>
          <w:sz w:val="20"/>
          <w:lang w:val="en-US" w:eastAsia="en-US" w:bidi="ar-SA"/>
        </w:rPr>
        <w:t xml:space="preserve"> require a determination as to whether the class members acquired their Mazda3 vehicles for personal as opposed to business purposes.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168</w:t>
      </w:r>
      <w:r>
        <w:rPr>
          <w:rFonts w:ascii="arial" w:eastAsia="arial" w:hAnsi="arial" w:cs="arial"/>
          <w:color w:val="000000"/>
          <w:sz w:val="20"/>
          <w:lang w:val="en-US" w:eastAsia="en-US" w:bidi="ar-SA"/>
        </w:rPr>
        <w:t>  However, the plaintiff's submission that all the subject Mazda3 owners and lessees may be entitled to relief under waiver of tort is a highly contentious issue.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169</w:t>
      </w:r>
      <w:r>
        <w:rPr>
          <w:rFonts w:ascii="arial" w:eastAsia="arial" w:hAnsi="arial" w:cs="arial"/>
          <w:color w:val="000000"/>
          <w:sz w:val="20"/>
          <w:lang w:val="en-US" w:eastAsia="en-US" w:bidi="ar-SA"/>
        </w:rPr>
        <w:t xml:space="preserve">  I agree with the defendants that this proposed common issue is not in the nature of the common issue for certification. It is a matter that will arise under s. 27 of the </w:t>
      </w:r>
      <w:r>
        <w:rPr>
          <w:rFonts w:ascii="arial" w:eastAsia="arial" w:hAnsi="arial" w:cs="arial"/>
          <w:i/>
          <w:color w:val="000000"/>
          <w:sz w:val="20"/>
          <w:lang w:val="en-US" w:eastAsia="en-US" w:bidi="ar-SA"/>
        </w:rPr>
        <w:t>CPA</w:t>
      </w:r>
      <w:r>
        <w:rPr>
          <w:rFonts w:ascii="arial" w:eastAsia="arial" w:hAnsi="arial" w:cs="arial"/>
          <w:color w:val="000000"/>
          <w:sz w:val="20"/>
          <w:lang w:val="en-US" w:eastAsia="en-US" w:bidi="ar-SA"/>
        </w:rPr>
        <w:t>, which will follow the determinations made at a common issues trial.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Preferable Procedure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170</w:t>
      </w:r>
      <w:r>
        <w:rPr>
          <w:rFonts w:ascii="arial" w:eastAsia="arial" w:hAnsi="arial" w:cs="arial"/>
          <w:color w:val="000000"/>
          <w:sz w:val="20"/>
          <w:lang w:val="en-US" w:eastAsia="en-US" w:bidi="ar-SA"/>
        </w:rPr>
        <w:t xml:space="preserve">  The core considerations which anchor the preferability requirement are whether the class action would be a fair, efficient and manageable method of advancing the claim, and whether the class action is preferable to other procedures. Courts must approach this analysis practically with consideration of the impact of the class proceedings on members of the class, the defendants and the court. According to s. 4(2) of the </w:t>
      </w:r>
      <w:r>
        <w:rPr>
          <w:rFonts w:ascii="arial" w:eastAsia="arial" w:hAnsi="arial" w:cs="arial"/>
          <w:i/>
          <w:color w:val="000000"/>
          <w:sz w:val="20"/>
          <w:lang w:val="en-US" w:eastAsia="en-US" w:bidi="ar-SA"/>
        </w:rPr>
        <w:t>CPA</w:t>
      </w:r>
      <w:r>
        <w:rPr>
          <w:rFonts w:ascii="arial" w:eastAsia="arial" w:hAnsi="arial" w:cs="arial"/>
          <w:color w:val="000000"/>
          <w:sz w:val="20"/>
          <w:lang w:val="en-US" w:eastAsia="en-US" w:bidi="ar-SA"/>
        </w:rPr>
        <w:t>:</w:t>
      </w:r>
      <w:r>
        <w:rPr>
          <w:rFonts w:ascii="arial" w:eastAsia="arial" w:hAnsi="arial" w:cs="arial"/>
          <w:sz w:val="20"/>
          <w:lang w:val="en-US" w:eastAsia="en-US" w:bidi="ar-SA"/>
        </w:rPr>
        <w:cr/>
      </w:r>
    </w:p>
    <w:p>
      <w:pPr>
        <w:numPr>
          <w:numId w:val="3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In determining whether a class proceeding would be the preferable procedure for the fair and efficient resolution of the common issues, the court must consider all relevant matters including the following:</w:t>
      </w:r>
    </w:p>
    <w:p>
      <w:pPr>
        <w:numPr>
          <w:numId w:val="3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whether questions of fact or law common to the members of the class predominate over any questions affecting only individual members;</w:t>
      </w:r>
    </w:p>
    <w:p>
      <w:pPr>
        <w:numPr>
          <w:numId w:val="3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whether a significant number of the members of the class have a valid interest in individually controlling the prosecution of separate actions;</w:t>
      </w:r>
    </w:p>
    <w:p>
      <w:pPr>
        <w:numPr>
          <w:numId w:val="3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whether the class proceeding would involve claims that are or have been the subject of any other proceedings;</w:t>
      </w:r>
    </w:p>
    <w:p>
      <w:pPr>
        <w:numPr>
          <w:numId w:val="3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whether other means of resolving the claims are less practical or less efficient;</w:t>
      </w:r>
    </w:p>
    <w:p>
      <w:pPr>
        <w:numPr>
          <w:numId w:val="3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whether the administration of the class proceeding would create greater difficulties than those likely to be experienced if relief were sought by other means.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171</w:t>
      </w:r>
      <w:r>
        <w:rPr>
          <w:rFonts w:ascii="arial" w:eastAsia="arial" w:hAnsi="arial" w:cs="arial"/>
          <w:color w:val="000000"/>
          <w:sz w:val="20"/>
          <w:lang w:val="en-US" w:eastAsia="en-US" w:bidi="ar-SA"/>
        </w:rPr>
        <w:t xml:space="preserve">  The court must consider all of these factors in determining whether a class proceeding would be the preferable procedure for the fair and efficient resolution of the common issues. No single factor is determinative. The "preferability" inquiry should be conducted through the lens of the three principle procedural advantages of class actions: judicial economy, access to justice, and behavioural modification: </w:t>
      </w:r>
      <w:r>
        <w:rPr>
          <w:rFonts w:ascii="arial" w:eastAsia="arial" w:hAnsi="arial" w:cs="arial"/>
          <w:i/>
          <w:color w:val="000000"/>
          <w:sz w:val="20"/>
          <w:lang w:val="en-US" w:eastAsia="en-US" w:bidi="ar-SA"/>
        </w:rPr>
        <w:t>Hollick</w:t>
      </w:r>
      <w:r>
        <w:rPr>
          <w:rFonts w:ascii="arial" w:eastAsia="arial" w:hAnsi="arial" w:cs="arial"/>
          <w:color w:val="000000"/>
          <w:sz w:val="20"/>
          <w:lang w:val="en-US" w:eastAsia="en-US" w:bidi="ar-SA"/>
        </w:rPr>
        <w:t xml:space="preserve"> at para. 15.</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172</w:t>
      </w:r>
      <w:r>
        <w:rPr>
          <w:rFonts w:ascii="arial" w:eastAsia="arial" w:hAnsi="arial" w:cs="arial"/>
          <w:color w:val="000000"/>
          <w:sz w:val="20"/>
          <w:lang w:val="en-US" w:eastAsia="en-US" w:bidi="ar-SA"/>
        </w:rPr>
        <w:t xml:space="preserve">  I will first consider the five factors and then consider the overall issue of whether certification is consistent with the purposes of the </w:t>
      </w:r>
      <w:r>
        <w:rPr>
          <w:rFonts w:ascii="arial" w:eastAsia="arial" w:hAnsi="arial" w:cs="arial"/>
          <w:i/>
          <w:color w:val="000000"/>
          <w:sz w:val="20"/>
          <w:lang w:val="en-US" w:eastAsia="en-US" w:bidi="ar-SA"/>
        </w:rPr>
        <w:t>CPA</w:t>
      </w:r>
      <w:r>
        <w:rPr>
          <w:rFonts w:ascii="arial" w:eastAsia="arial" w:hAnsi="arial" w:cs="arial"/>
          <w:color w:val="000000"/>
          <w:sz w:val="20"/>
          <w:lang w:val="en-US" w:eastAsia="en-US" w:bidi="ar-SA"/>
        </w:rPr>
        <w:t>.</w:t>
      </w:r>
      <w:r>
        <w:rPr>
          <w:rFonts w:ascii="arial" w:eastAsia="arial" w:hAnsi="arial" w:cs="arial"/>
          <w:sz w:val="20"/>
          <w:lang w:val="en-US" w:eastAsia="en-US" w:bidi="ar-SA"/>
        </w:rPr>
        <w:cr/>
      </w:r>
    </w:p>
    <w:p>
      <w:pPr>
        <w:numPr>
          <w:numId w:val="3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Do questions of fact or law common to the members of the class predominate over any question affecting only individual members?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173</w:t>
      </w:r>
      <w:r>
        <w:rPr>
          <w:rFonts w:ascii="arial" w:eastAsia="arial" w:hAnsi="arial" w:cs="arial"/>
          <w:color w:val="000000"/>
          <w:sz w:val="20"/>
          <w:lang w:val="en-US" w:eastAsia="en-US" w:bidi="ar-SA"/>
        </w:rPr>
        <w:t xml:space="preserve">  I find that the common issues (1) to (5) and (9) and (10) lie at the heart of this litigation. On balance, the common issues are likely to predominate. Although I have determined that the plaintiff's entitlement to punitive and compensatory damages should not be certified, liability in waiver of tort may arguably be established without individual proof of loss by class members. The fact that individual assessment of damages may be required, if the waiver of tort does not succeed, is not a bar to certification: </w:t>
      </w:r>
      <w:r>
        <w:rPr>
          <w:rFonts w:ascii="arial" w:eastAsia="arial" w:hAnsi="arial" w:cs="arial"/>
          <w:i/>
          <w:color w:val="000000"/>
          <w:sz w:val="20"/>
          <w:lang w:val="en-US" w:eastAsia="en-US" w:bidi="ar-SA"/>
        </w:rPr>
        <w:t>Fakhri</w:t>
      </w:r>
      <w:r>
        <w:rPr>
          <w:rFonts w:ascii="arial" w:eastAsia="arial" w:hAnsi="arial" w:cs="arial"/>
          <w:color w:val="000000"/>
          <w:sz w:val="20"/>
          <w:lang w:val="en-US" w:eastAsia="en-US" w:bidi="ar-SA"/>
        </w:rPr>
        <w:t xml:space="preserve"> (C.A.); </w:t>
      </w:r>
      <w:r>
        <w:rPr>
          <w:rFonts w:ascii="arial" w:eastAsia="arial" w:hAnsi="arial" w:cs="arial"/>
          <w:i/>
          <w:color w:val="000000"/>
          <w:sz w:val="20"/>
          <w:lang w:val="en-US" w:eastAsia="en-US" w:bidi="ar-SA"/>
        </w:rPr>
        <w:t>Griffin</w:t>
      </w:r>
      <w:r>
        <w:rPr>
          <w:rFonts w:ascii="arial" w:eastAsia="arial" w:hAnsi="arial" w:cs="arial"/>
          <w:color w:val="000000"/>
          <w:sz w:val="20"/>
          <w:lang w:val="en-US" w:eastAsia="en-US" w:bidi="ar-SA"/>
        </w:rPr>
        <w:t xml:space="preserve"> at para. 91; </w:t>
      </w:r>
      <w:r>
        <w:rPr>
          <w:rFonts w:ascii="arial" w:eastAsia="arial" w:hAnsi="arial" w:cs="arial"/>
          <w:i/>
          <w:color w:val="000000"/>
          <w:sz w:val="20"/>
          <w:lang w:val="en-US" w:eastAsia="en-US" w:bidi="ar-SA"/>
        </w:rPr>
        <w:t>Bouchanskaia</w:t>
      </w:r>
      <w:r>
        <w:rPr>
          <w:rFonts w:ascii="arial" w:eastAsia="arial" w:hAnsi="arial" w:cs="arial"/>
          <w:color w:val="000000"/>
          <w:sz w:val="20"/>
          <w:lang w:val="en-US" w:eastAsia="en-US" w:bidi="ar-SA"/>
        </w:rPr>
        <w:t xml:space="preserve">; and </w:t>
      </w:r>
      <w:r>
        <w:rPr>
          <w:rFonts w:ascii="arial" w:eastAsia="arial" w:hAnsi="arial" w:cs="arial"/>
          <w:i/>
          <w:color w:val="000000"/>
          <w:sz w:val="20"/>
          <w:lang w:val="en-US" w:eastAsia="en-US" w:bidi="ar-SA"/>
        </w:rPr>
        <w:t>Hollick</w:t>
      </w:r>
      <w:r>
        <w:rPr>
          <w:rFonts w:ascii="arial" w:eastAsia="arial" w:hAnsi="arial" w:cs="arial"/>
          <w:color w:val="000000"/>
          <w:sz w:val="20"/>
          <w:lang w:val="en-US" w:eastAsia="en-US" w:bidi="ar-SA"/>
        </w:rPr>
        <w:t xml:space="preserve"> at para. 30.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174</w:t>
      </w:r>
      <w:r>
        <w:rPr>
          <w:rFonts w:ascii="arial" w:eastAsia="arial" w:hAnsi="arial" w:cs="arial"/>
          <w:color w:val="000000"/>
          <w:sz w:val="20"/>
          <w:lang w:val="en-US" w:eastAsia="en-US" w:bidi="ar-SA"/>
        </w:rPr>
        <w:t xml:space="preserve">  I agree with the plaintiff that the issue of whether class members acquired their vehicles primarily for personal as opposed to business purposes is not fatal to the certification application. I note that the </w:t>
      </w:r>
      <w:r>
        <w:rPr>
          <w:rFonts w:ascii="arial" w:eastAsia="arial" w:hAnsi="arial" w:cs="arial"/>
          <w:i/>
          <w:color w:val="000000"/>
          <w:sz w:val="20"/>
          <w:lang w:val="en-US" w:eastAsia="en-US" w:bidi="ar-SA"/>
        </w:rPr>
        <w:t>CPA</w:t>
      </w:r>
      <w:r>
        <w:rPr>
          <w:rFonts w:ascii="arial" w:eastAsia="arial" w:hAnsi="arial" w:cs="arial"/>
          <w:color w:val="000000"/>
          <w:sz w:val="20"/>
          <w:lang w:val="en-US" w:eastAsia="en-US" w:bidi="ar-SA"/>
        </w:rPr>
        <w:t xml:space="preserve"> contemplates the possibility of subclasses and the court may amend the certification order at any time: ss. 1 and 7.</w:t>
      </w:r>
      <w:r>
        <w:rPr>
          <w:rFonts w:ascii="arial" w:eastAsia="arial" w:hAnsi="arial" w:cs="arial"/>
          <w:sz w:val="20"/>
          <w:lang w:val="en-US" w:eastAsia="en-US" w:bidi="ar-SA"/>
        </w:rPr>
        <w:cr/>
      </w:r>
    </w:p>
    <w:p>
      <w:pPr>
        <w:numPr>
          <w:numId w:val="3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Do a significant number of the members of the class have a valid interest in individually controlling the prosecution as separate actions?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175</w:t>
      </w:r>
      <w:r>
        <w:rPr>
          <w:rFonts w:ascii="arial" w:eastAsia="arial" w:hAnsi="arial" w:cs="arial"/>
          <w:color w:val="000000"/>
          <w:sz w:val="20"/>
          <w:lang w:val="en-US" w:eastAsia="en-US" w:bidi="ar-SA"/>
        </w:rPr>
        <w:t>  On the basis of the parties' evidence, there is no reason to anticipate that any members of the class have an interest in individually controlling the prosecution of separate actions. There was no opposition by potential class members to certification of this claim as a class proceeding.</w:t>
      </w:r>
      <w:r>
        <w:rPr>
          <w:rFonts w:ascii="arial" w:eastAsia="arial" w:hAnsi="arial" w:cs="arial"/>
          <w:sz w:val="20"/>
          <w:lang w:val="en-US" w:eastAsia="en-US" w:bidi="ar-SA"/>
        </w:rPr>
        <w:cr/>
      </w:r>
    </w:p>
    <w:p>
      <w:pPr>
        <w:numPr>
          <w:numId w:val="3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Would the class proceedings involve claims that are or have been the subject of any other proceeding?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176</w:t>
      </w:r>
      <w:r>
        <w:rPr>
          <w:rFonts w:ascii="arial" w:eastAsia="arial" w:hAnsi="arial" w:cs="arial"/>
          <w:color w:val="000000"/>
          <w:sz w:val="20"/>
          <w:lang w:val="en-US" w:eastAsia="en-US" w:bidi="ar-SA"/>
        </w:rPr>
        <w:t>  Other than plaintiff's counsel being advised of one contemplated action in Small Claims Court, there was no evidence that there were any other relevant proceedings underway with respect of the claims of the people resident in B.C.</w:t>
      </w:r>
      <w:r>
        <w:rPr>
          <w:rFonts w:ascii="arial" w:eastAsia="arial" w:hAnsi="arial" w:cs="arial"/>
          <w:sz w:val="20"/>
          <w:lang w:val="en-US" w:eastAsia="en-US" w:bidi="ar-SA"/>
        </w:rPr>
        <w:cr/>
      </w:r>
    </w:p>
    <w:p>
      <w:pPr>
        <w:numPr>
          <w:numId w:val="38"/>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Would other means of resolving the claims be less practical or less efficient?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177</w:t>
      </w:r>
      <w:r>
        <w:rPr>
          <w:rFonts w:ascii="arial" w:eastAsia="arial" w:hAnsi="arial" w:cs="arial"/>
          <w:color w:val="000000"/>
          <w:sz w:val="20"/>
          <w:lang w:val="en-US" w:eastAsia="en-US" w:bidi="ar-SA"/>
        </w:rPr>
        <w:t>  In this case, there are no other mechanisms for resolving the claims of the class members other than civil actions. The only litigation alternatives to these proceedings are a plethora of individual actions or no individual actions. These are not viable alternatives to a class action.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178</w:t>
      </w:r>
      <w:r>
        <w:rPr>
          <w:rFonts w:ascii="arial" w:eastAsia="arial" w:hAnsi="arial" w:cs="arial"/>
          <w:color w:val="000000"/>
          <w:sz w:val="20"/>
          <w:lang w:val="en-US" w:eastAsia="en-US" w:bidi="ar-SA"/>
        </w:rPr>
        <w:t>  Access to justice is a significant consideration. But for the class action, it is unlikely the majority of claims would be advanced at all, since the cost of doing so would be out of proportion to the potential recovery.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179</w:t>
      </w:r>
      <w:r>
        <w:rPr>
          <w:rFonts w:ascii="arial" w:eastAsia="arial" w:hAnsi="arial" w:cs="arial"/>
          <w:color w:val="000000"/>
          <w:sz w:val="20"/>
          <w:lang w:val="en-US" w:eastAsia="en-US" w:bidi="ar-SA"/>
        </w:rPr>
        <w:t xml:space="preserve">  If the case is not certified as a class proceeding, it is possible that a number of individual actions will be commenced in the Provincial Small Claims Court. This has the potential for inefficient use of resources and is contrary to the notion of judicial economy. A class proceeding has the advantage of eliminating the potential the risk of inconsistent findings which accompanies a multiplicity of proceedings: </w:t>
      </w:r>
      <w:r>
        <w:rPr>
          <w:rFonts w:ascii="arial" w:eastAsia="arial" w:hAnsi="arial" w:cs="arial"/>
          <w:i/>
          <w:color w:val="000000"/>
          <w:sz w:val="20"/>
          <w:lang w:val="en-US" w:eastAsia="en-US" w:bidi="ar-SA"/>
        </w:rPr>
        <w:t>Bywater v. Toronto Transit Commission</w:t>
      </w:r>
      <w:r>
        <w:rPr>
          <w:rFonts w:ascii="arial" w:eastAsia="arial" w:hAnsi="arial" w:cs="arial"/>
          <w:color w:val="000000"/>
          <w:sz w:val="20"/>
          <w:lang w:val="en-US" w:eastAsia="en-US" w:bidi="ar-SA"/>
        </w:rPr>
        <w:t xml:space="preserve">, </w:t>
      </w:r>
      <w:hyperlink r:id="rId1080" w:history="1">
        <w:r>
          <w:rPr>
            <w:rFonts w:ascii="arial" w:eastAsia="arial" w:hAnsi="arial" w:cs="arial"/>
            <w:i/>
            <w:color w:val="0077CC"/>
            <w:sz w:val="20"/>
            <w:u w:val="single"/>
            <w:shd w:val="clear" w:color="auto" w:fill="FFFFFF"/>
            <w:lang w:val="en-US" w:eastAsia="en-US" w:bidi="ar-SA"/>
          </w:rPr>
          <w:t>[1998] O.J. No. 4913</w:t>
        </w:r>
      </w:hyperlink>
      <w:r>
        <w:rPr>
          <w:rFonts w:ascii="arial" w:eastAsia="arial" w:hAnsi="arial" w:cs="arial"/>
          <w:color w:val="000000"/>
          <w:sz w:val="20"/>
          <w:lang w:val="en-US" w:eastAsia="en-US" w:bidi="ar-SA"/>
        </w:rPr>
        <w:t xml:space="preserve"> at para. 16 (Ct. J. (Gen. Div.)).</w:t>
      </w:r>
      <w:r>
        <w:rPr>
          <w:rFonts w:ascii="arial" w:eastAsia="arial" w:hAnsi="arial" w:cs="arial"/>
          <w:sz w:val="20"/>
          <w:lang w:val="en-US" w:eastAsia="en-US" w:bidi="ar-SA"/>
        </w:rPr>
        <w:cr/>
      </w:r>
    </w:p>
    <w:p>
      <w:pPr>
        <w:numPr>
          <w:numId w:val="3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Do class proceedings create greater difficulties than individual proceedings?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180</w:t>
      </w:r>
      <w:r>
        <w:rPr>
          <w:rFonts w:ascii="arial" w:eastAsia="arial" w:hAnsi="arial" w:cs="arial"/>
          <w:color w:val="000000"/>
          <w:sz w:val="20"/>
          <w:lang w:val="en-US" w:eastAsia="en-US" w:bidi="ar-SA"/>
        </w:rPr>
        <w:t xml:space="preserve">  The </w:t>
      </w:r>
      <w:r>
        <w:rPr>
          <w:rFonts w:ascii="arial" w:eastAsia="arial" w:hAnsi="arial" w:cs="arial"/>
          <w:i/>
          <w:color w:val="000000"/>
          <w:sz w:val="20"/>
          <w:lang w:val="en-US" w:eastAsia="en-US" w:bidi="ar-SA"/>
        </w:rPr>
        <w:t>CPA</w:t>
      </w:r>
      <w:r>
        <w:rPr>
          <w:rFonts w:ascii="arial" w:eastAsia="arial" w:hAnsi="arial" w:cs="arial"/>
          <w:color w:val="000000"/>
          <w:sz w:val="20"/>
          <w:lang w:val="en-US" w:eastAsia="en-US" w:bidi="ar-SA"/>
        </w:rPr>
        <w:t xml:space="preserve"> is premised upon the fundamental concept that class proceedings are more efficient and practical for litigating the common and often complex claims of many. The common issues in this case are well-suited for a class proceeding and for the class to share in the cost of exploring the engineering and other evidence.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181</w:t>
      </w:r>
      <w:r>
        <w:rPr>
          <w:rFonts w:ascii="arial" w:eastAsia="arial" w:hAnsi="arial" w:cs="arial"/>
          <w:color w:val="000000"/>
          <w:sz w:val="20"/>
          <w:lang w:val="en-US" w:eastAsia="en-US" w:bidi="ar-SA"/>
        </w:rPr>
        <w:t>  There is no evidence of circumstances from which this court can conclude that the administration of a class proceeding would create greater difficulties than the conduct of a series of individual claims pertaining to the same subject matter.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182</w:t>
      </w:r>
      <w:r>
        <w:rPr>
          <w:rFonts w:ascii="arial" w:eastAsia="arial" w:hAnsi="arial" w:cs="arial"/>
          <w:color w:val="000000"/>
          <w:sz w:val="20"/>
          <w:lang w:val="en-US" w:eastAsia="en-US" w:bidi="ar-SA"/>
        </w:rPr>
        <w:t xml:space="preserve">  With respect to behaviour modification, McLachlin C.J.C. summarized the governing principles in </w:t>
      </w:r>
      <w:r>
        <w:rPr>
          <w:rFonts w:ascii="arial" w:eastAsia="arial" w:hAnsi="arial" w:cs="arial"/>
          <w:i/>
          <w:color w:val="000000"/>
          <w:sz w:val="20"/>
          <w:lang w:val="en-US" w:eastAsia="en-US" w:bidi="ar-SA"/>
        </w:rPr>
        <w:t>Western Canadian Shopping Centres</w:t>
      </w:r>
      <w:r>
        <w:rPr>
          <w:rFonts w:ascii="arial" w:eastAsia="arial" w:hAnsi="arial" w:cs="arial"/>
          <w:color w:val="000000"/>
          <w:sz w:val="20"/>
          <w:lang w:val="en-US" w:eastAsia="en-US" w:bidi="ar-SA"/>
        </w:rPr>
        <w:t xml:space="preserve"> at para. 29:</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Without class actions, those who cause widespread but individually minimal harm might not take into account the full costs of their conduct, because for any one plaintiff the expense for bringing suit would far exceed the likely recovery. Cost-sharing decreases the expense of pursuing legal recourse and accordingly deters potential defendants who might otherwise assume minor wrongs would not result in litigation ...</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183</w:t>
      </w:r>
      <w:r>
        <w:rPr>
          <w:rFonts w:ascii="arial" w:eastAsia="arial" w:hAnsi="arial" w:cs="arial"/>
          <w:color w:val="000000"/>
          <w:sz w:val="20"/>
          <w:lang w:val="en-US" w:eastAsia="en-US" w:bidi="ar-SA"/>
        </w:rPr>
        <w:t xml:space="preserve">  The proposed common issues in this case satisfy the objective articulated in </w:t>
      </w:r>
      <w:r>
        <w:rPr>
          <w:rFonts w:ascii="arial" w:eastAsia="arial" w:hAnsi="arial" w:cs="arial"/>
          <w:i/>
          <w:color w:val="000000"/>
          <w:sz w:val="20"/>
          <w:lang w:val="en-US" w:eastAsia="en-US" w:bidi="ar-SA"/>
        </w:rPr>
        <w:t>Western Canadian Shopping Centre</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184</w:t>
      </w:r>
      <w:r>
        <w:rPr>
          <w:rFonts w:ascii="arial" w:eastAsia="arial" w:hAnsi="arial" w:cs="arial"/>
          <w:color w:val="000000"/>
          <w:sz w:val="20"/>
          <w:lang w:val="en-US" w:eastAsia="en-US" w:bidi="ar-SA"/>
        </w:rPr>
        <w:t xml:space="preserve">  On the basis of the evidence available at this stage, a class proceeding is the preferable procedure for the fair, efficient and manageable resolution of the common issues. A trial of the common issues would significantly advance the litigation and has the potential to determine the entire case. If appropriate, simplified structure and procedures can be implemented for determination of any individual issues: s. 27 of the </w:t>
      </w:r>
      <w:r>
        <w:rPr>
          <w:rFonts w:ascii="arial" w:eastAsia="arial" w:hAnsi="arial" w:cs="arial"/>
          <w:i/>
          <w:color w:val="000000"/>
          <w:sz w:val="20"/>
          <w:lang w:val="en-US" w:eastAsia="en-US" w:bidi="ar-SA"/>
        </w:rPr>
        <w:t>CPA</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Section 7 Considerations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185</w:t>
      </w:r>
      <w:r>
        <w:rPr>
          <w:rFonts w:ascii="arial" w:eastAsia="arial" w:hAnsi="arial" w:cs="arial"/>
          <w:color w:val="000000"/>
          <w:sz w:val="20"/>
          <w:lang w:val="en-US" w:eastAsia="en-US" w:bidi="ar-SA"/>
        </w:rPr>
        <w:t xml:space="preserve">  I note that s. 7 of the </w:t>
      </w:r>
      <w:r>
        <w:rPr>
          <w:rFonts w:ascii="arial" w:eastAsia="arial" w:hAnsi="arial" w:cs="arial"/>
          <w:i/>
          <w:color w:val="000000"/>
          <w:sz w:val="20"/>
          <w:lang w:val="en-US" w:eastAsia="en-US" w:bidi="ar-SA"/>
        </w:rPr>
        <w:t>CPA</w:t>
      </w:r>
      <w:r>
        <w:rPr>
          <w:rFonts w:ascii="arial" w:eastAsia="arial" w:hAnsi="arial" w:cs="arial"/>
          <w:color w:val="000000"/>
          <w:sz w:val="20"/>
          <w:lang w:val="en-US" w:eastAsia="en-US" w:bidi="ar-SA"/>
        </w:rPr>
        <w:t xml:space="preserve"> sets out certain matters which are not to be bars to certification. Of relevance in this proceeding is s. 7(b): "the relief claimed relates to separate contracts involving different class members".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186</w:t>
      </w:r>
      <w:r>
        <w:rPr>
          <w:rFonts w:ascii="arial" w:eastAsia="arial" w:hAnsi="arial" w:cs="arial"/>
          <w:color w:val="000000"/>
          <w:sz w:val="20"/>
          <w:lang w:val="en-US" w:eastAsia="en-US" w:bidi="ar-SA"/>
        </w:rPr>
        <w:t xml:space="preserve">  Furthermore, it is not necessary for the representative plaintiff to have a cause of action against each defendant so long as a member of the proposed class has a cause of action against each named defendant: Ward K. Branch, </w:t>
      </w:r>
      <w:r>
        <w:rPr>
          <w:rFonts w:ascii="arial" w:eastAsia="arial" w:hAnsi="arial" w:cs="arial"/>
          <w:i/>
          <w:color w:val="000000"/>
          <w:sz w:val="20"/>
          <w:lang w:val="en-US" w:eastAsia="en-US" w:bidi="ar-SA"/>
        </w:rPr>
        <w:t>Class Actions in Canada</w:t>
      </w:r>
      <w:r>
        <w:rPr>
          <w:rFonts w:ascii="arial" w:eastAsia="arial" w:hAnsi="arial" w:cs="arial"/>
          <w:color w:val="000000"/>
          <w:sz w:val="20"/>
          <w:lang w:val="en-US" w:eastAsia="en-US" w:bidi="ar-SA"/>
        </w:rPr>
        <w:t>, looseleaf (Vancouver: Western Legal Publications, 1996) at para. 4.550.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187</w:t>
      </w:r>
      <w:r>
        <w:rPr>
          <w:rFonts w:ascii="arial" w:eastAsia="arial" w:hAnsi="arial" w:cs="arial"/>
          <w:color w:val="000000"/>
          <w:sz w:val="20"/>
          <w:lang w:val="en-US" w:eastAsia="en-US" w:bidi="ar-SA"/>
        </w:rPr>
        <w:t>  The defendants properly concede that the existence of separate contracts involving different class members is not a basis to refuse to make the certification order.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Appropriateness of the Representative Plaintiff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188</w:t>
      </w:r>
      <w:r>
        <w:rPr>
          <w:rFonts w:ascii="arial" w:eastAsia="arial" w:hAnsi="arial" w:cs="arial"/>
          <w:color w:val="000000"/>
          <w:sz w:val="20"/>
          <w:lang w:val="en-US" w:eastAsia="en-US" w:bidi="ar-SA"/>
        </w:rPr>
        <w:t xml:space="preserve">  As part of the requirements for certification, s. 4(1)(e) of the </w:t>
      </w:r>
      <w:r>
        <w:rPr>
          <w:rFonts w:ascii="arial" w:eastAsia="arial" w:hAnsi="arial" w:cs="arial"/>
          <w:i/>
          <w:color w:val="000000"/>
          <w:sz w:val="20"/>
          <w:lang w:val="en-US" w:eastAsia="en-US" w:bidi="ar-SA"/>
        </w:rPr>
        <w:t>CPA</w:t>
      </w:r>
      <w:r>
        <w:rPr>
          <w:rFonts w:ascii="arial" w:eastAsia="arial" w:hAnsi="arial" w:cs="arial"/>
          <w:color w:val="000000"/>
          <w:sz w:val="20"/>
          <w:lang w:val="en-US" w:eastAsia="en-US" w:bidi="ar-SA"/>
        </w:rPr>
        <w:t xml:space="preserve"> requires that:</w:t>
      </w:r>
      <w:r>
        <w:rPr>
          <w:rFonts w:ascii="arial" w:eastAsia="arial" w:hAnsi="arial" w:cs="arial"/>
          <w:sz w:val="20"/>
          <w:lang w:val="en-US" w:eastAsia="en-US" w:bidi="ar-SA"/>
        </w:rPr>
        <w:cr/>
      </w:r>
    </w:p>
    <w:p>
      <w:pPr>
        <w:numPr>
          <w:numId w:val="4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there is a representative plaintiff who</w:t>
      </w:r>
    </w:p>
    <w:p>
      <w:pPr>
        <w:numPr>
          <w:numId w:val="41"/>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would fairly and adequately represent the interests of the class,</w:t>
      </w:r>
    </w:p>
    <w:p>
      <w:pPr>
        <w:numPr>
          <w:numId w:val="42"/>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has produced a plan for the proceeding that sets out a workable method of advancing the proceeding on behalf of the class and of notifying class members of the proceeding, and</w:t>
      </w:r>
    </w:p>
    <w:p>
      <w:pPr>
        <w:numPr>
          <w:numId w:val="43"/>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does not have, on the common issues, an interest that is in conflict with the interests of other class members.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189</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Western Canadian Shopping Centres</w:t>
      </w:r>
      <w:r>
        <w:rPr>
          <w:rFonts w:ascii="arial" w:eastAsia="arial" w:hAnsi="arial" w:cs="arial"/>
          <w:color w:val="000000"/>
          <w:sz w:val="20"/>
          <w:lang w:val="en-US" w:eastAsia="en-US" w:bidi="ar-SA"/>
        </w:rPr>
        <w:t>, McLachlin C.J.C. at para. 41 clarified the requirements for the adequacy of the representative plaintiff:</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proposed representative need not be "typical" of the class, nor the "best" possible representative. The court should be satisfied, however, that the proposed representative will vigorously and capably prosecute the interests of the class ...</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190</w:t>
      </w:r>
      <w:r>
        <w:rPr>
          <w:rFonts w:ascii="arial" w:eastAsia="arial" w:hAnsi="arial" w:cs="arial"/>
          <w:color w:val="000000"/>
          <w:sz w:val="20"/>
          <w:lang w:val="en-US" w:eastAsia="en-US" w:bidi="ar-SA"/>
        </w:rPr>
        <w:t>  The plaintiff submits that Alisha Koubi has no conflict in representing the entire class and that she meets all the requirements of adequately representing the class in these proceedings.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191</w:t>
      </w:r>
      <w:r>
        <w:rPr>
          <w:rFonts w:ascii="arial" w:eastAsia="arial" w:hAnsi="arial" w:cs="arial"/>
          <w:color w:val="000000"/>
          <w:sz w:val="20"/>
          <w:lang w:val="en-US" w:eastAsia="en-US" w:bidi="ar-SA"/>
        </w:rPr>
        <w:t xml:space="preserve">  As referred to above, the class does have potential sub-classes. However, at this stage, the plaintiff submits that efficiency favours single representation without sub-classing. If necessary, it will not be difficult for the Court to provide the necessary directions to address this issue. As noted by the Court of Appeal in </w:t>
      </w:r>
      <w:r>
        <w:rPr>
          <w:rFonts w:ascii="arial" w:eastAsia="arial" w:hAnsi="arial" w:cs="arial"/>
          <w:i/>
          <w:color w:val="000000"/>
          <w:sz w:val="20"/>
          <w:lang w:val="en-US" w:eastAsia="en-US" w:bidi="ar-SA"/>
        </w:rPr>
        <w:t>Infineon</w:t>
      </w:r>
      <w:r>
        <w:rPr>
          <w:rFonts w:ascii="arial" w:eastAsia="arial" w:hAnsi="arial" w:cs="arial"/>
          <w:color w:val="000000"/>
          <w:sz w:val="20"/>
          <w:lang w:val="en-US" w:eastAsia="en-US" w:bidi="ar-SA"/>
        </w:rPr>
        <w:t xml:space="preserve"> at para. 76, the </w:t>
      </w:r>
      <w:r>
        <w:rPr>
          <w:rFonts w:ascii="arial" w:eastAsia="arial" w:hAnsi="arial" w:cs="arial"/>
          <w:i/>
          <w:color w:val="000000"/>
          <w:sz w:val="20"/>
          <w:lang w:val="en-US" w:eastAsia="en-US" w:bidi="ar-SA"/>
        </w:rPr>
        <w:t>CPA</w:t>
      </w:r>
      <w:r>
        <w:rPr>
          <w:rFonts w:ascii="arial" w:eastAsia="arial" w:hAnsi="arial" w:cs="arial"/>
          <w:color w:val="000000"/>
          <w:sz w:val="20"/>
          <w:lang w:val="en-US" w:eastAsia="en-US" w:bidi="ar-SA"/>
        </w:rPr>
        <w:t xml:space="preserve"> is a powerful procedural statute and provides the case management judge considerable flexibility to deal with sub-classing and any other complexities should it be necessary.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192</w:t>
      </w:r>
      <w:r>
        <w:rPr>
          <w:rFonts w:ascii="arial" w:eastAsia="arial" w:hAnsi="arial" w:cs="arial"/>
          <w:color w:val="000000"/>
          <w:sz w:val="20"/>
          <w:lang w:val="en-US" w:eastAsia="en-US" w:bidi="ar-SA"/>
        </w:rPr>
        <w:t xml:space="preserve">  In the result, I find that at this stage, Ms. Koubi is an appropriate representative plaintiff. There are no foreseeable conflicts of interest and I cannot see how she would not fairly and adequately represent the interests of all the class members. The fact that she has pursued this action suggests that she would "vigorously prosecute the claim": </w:t>
      </w:r>
      <w:r>
        <w:rPr>
          <w:rFonts w:ascii="arial" w:eastAsia="arial" w:hAnsi="arial" w:cs="arial"/>
          <w:i/>
          <w:color w:val="000000"/>
          <w:sz w:val="20"/>
          <w:lang w:val="en-US" w:eastAsia="en-US" w:bidi="ar-SA"/>
        </w:rPr>
        <w:t>Campbell</w:t>
      </w:r>
      <w:r>
        <w:rPr>
          <w:rFonts w:ascii="arial" w:eastAsia="arial" w:hAnsi="arial" w:cs="arial"/>
          <w:color w:val="000000"/>
          <w:sz w:val="20"/>
          <w:lang w:val="en-US" w:eastAsia="en-US" w:bidi="ar-SA"/>
        </w:rPr>
        <w:t xml:space="preserve"> at para. 75.</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Workable Litigation Plan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193</w:t>
      </w:r>
      <w:r>
        <w:rPr>
          <w:rFonts w:ascii="arial" w:eastAsia="arial" w:hAnsi="arial" w:cs="arial"/>
          <w:color w:val="000000"/>
          <w:sz w:val="20"/>
          <w:lang w:val="en-US" w:eastAsia="en-US" w:bidi="ar-SA"/>
        </w:rPr>
        <w:t>  The defendants submit that the plaintiff's failure to present any workable litigation plan makes this proceeding unsuitable for certification.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194</w:t>
      </w:r>
      <w:r>
        <w:rPr>
          <w:rFonts w:ascii="arial" w:eastAsia="arial" w:hAnsi="arial" w:cs="arial"/>
          <w:color w:val="000000"/>
          <w:sz w:val="20"/>
          <w:lang w:val="en-US" w:eastAsia="en-US" w:bidi="ar-SA"/>
        </w:rPr>
        <w:t xml:space="preserve">  The defendants' primary objection to the litigation plan attached to Ms. Koubi's affidavit is that there is no plan advanced by the plaintiff that would allow for determination of the individual issues arising in respect of the mental distress claim. I have concluded that the mental distress claim shall not be certified as a common issue. Furthermore, if the waiver of tort claim succeeds, monetary relief could be granted to the class without the determination of any individual issues. In any case, "any procedures necessary to resolve the individual litigation will be no more complex than they would have been within individual litigation and, given the many management tools available in class proceedings, should be simpler": </w:t>
      </w:r>
      <w:r>
        <w:rPr>
          <w:rFonts w:ascii="arial" w:eastAsia="arial" w:hAnsi="arial" w:cs="arial"/>
          <w:i/>
          <w:color w:val="000000"/>
          <w:sz w:val="20"/>
          <w:lang w:val="en-US" w:eastAsia="en-US" w:bidi="ar-SA"/>
        </w:rPr>
        <w:t>Fakhri</w:t>
      </w:r>
      <w:r>
        <w:rPr>
          <w:rFonts w:ascii="arial" w:eastAsia="arial" w:hAnsi="arial" w:cs="arial"/>
          <w:color w:val="000000"/>
          <w:sz w:val="20"/>
          <w:lang w:val="en-US" w:eastAsia="en-US" w:bidi="ar-SA"/>
        </w:rPr>
        <w:t xml:space="preserve"> (S.C.) at para. 99.</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195</w:t>
      </w:r>
      <w:r>
        <w:rPr>
          <w:rFonts w:ascii="arial" w:eastAsia="arial" w:hAnsi="arial" w:cs="arial"/>
          <w:color w:val="000000"/>
          <w:sz w:val="20"/>
          <w:lang w:val="en-US" w:eastAsia="en-US" w:bidi="ar-SA"/>
        </w:rPr>
        <w:t xml:space="preserve">  A proper litigation plan must be comprehensive and it must set out a workable framework within which the proceeding will be advanced on behalf of the class. The plan should demonstrate that the representative plaintiff and class counsel have a clear grasp of the complexities involved and a plan to address those complexities. However, a representative claimant is not required to prepare a plan detailing every step, and it is anticipated that the plan will have to be amended as the action proceeds and the exigencies of the litigation become known: </w:t>
      </w:r>
      <w:r>
        <w:rPr>
          <w:rFonts w:ascii="arial" w:eastAsia="arial" w:hAnsi="arial" w:cs="arial"/>
          <w:i/>
          <w:color w:val="000000"/>
          <w:sz w:val="20"/>
          <w:lang w:val="en-US" w:eastAsia="en-US" w:bidi="ar-SA"/>
        </w:rPr>
        <w:t>Infineon</w:t>
      </w:r>
      <w:r>
        <w:rPr>
          <w:rFonts w:ascii="arial" w:eastAsia="arial" w:hAnsi="arial" w:cs="arial"/>
          <w:color w:val="000000"/>
          <w:sz w:val="20"/>
          <w:lang w:val="en-US" w:eastAsia="en-US" w:bidi="ar-SA"/>
        </w:rPr>
        <w:t xml:space="preserve"> (C.A.) at para. 79.</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196</w:t>
      </w:r>
      <w:r>
        <w:rPr>
          <w:rFonts w:ascii="arial" w:eastAsia="arial" w:hAnsi="arial" w:cs="arial"/>
          <w:color w:val="000000"/>
          <w:sz w:val="20"/>
          <w:lang w:val="en-US" w:eastAsia="en-US" w:bidi="ar-SA"/>
        </w:rPr>
        <w:t>  Although it does not alter my conclusion that a class proceeding is the preferable procedure, the litigation plan which has been submitted is somewhat perfunctory given the complexity of this litigation and the size of the class. In particular the plan does not address how experts are to be identified and retained, and how and with what resources class counsel proposes to manage litigation of this scope. Nor does it address what, if any steps may be necessary following a common issues trial.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197</w:t>
      </w:r>
      <w:r>
        <w:rPr>
          <w:rFonts w:ascii="arial" w:eastAsia="arial" w:hAnsi="arial" w:cs="arial"/>
          <w:color w:val="000000"/>
          <w:sz w:val="20"/>
          <w:lang w:val="en-US" w:eastAsia="en-US" w:bidi="ar-SA"/>
        </w:rPr>
        <w:t>  As the plaintiff has met the other requirements for certification, I am certifying the action subject to the plaintiffs producing a more comprehensive litigation plan.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CONCLUSION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198</w:t>
      </w:r>
      <w:r>
        <w:rPr>
          <w:rFonts w:ascii="arial" w:eastAsia="arial" w:hAnsi="arial" w:cs="arial"/>
          <w:color w:val="000000"/>
          <w:sz w:val="20"/>
          <w:lang w:val="en-US" w:eastAsia="en-US" w:bidi="ar-SA"/>
        </w:rPr>
        <w:t xml:space="preserve">  I am satisfied that there is an "air of reality" to the commonality of the claims proposed to be advanced on behalf of the class members such that consideration of fairness, efficiency and access to justice favour certification: </w:t>
      </w:r>
      <w:r>
        <w:rPr>
          <w:rFonts w:ascii="arial" w:eastAsia="arial" w:hAnsi="arial" w:cs="arial"/>
          <w:i/>
          <w:color w:val="000000"/>
          <w:sz w:val="20"/>
          <w:lang w:val="en-US" w:eastAsia="en-US" w:bidi="ar-SA"/>
        </w:rPr>
        <w:t>Samos</w:t>
      </w:r>
      <w:r>
        <w:rPr>
          <w:rFonts w:ascii="arial" w:eastAsia="arial" w:hAnsi="arial" w:cs="arial"/>
          <w:color w:val="000000"/>
          <w:sz w:val="20"/>
          <w:lang w:val="en-US" w:eastAsia="en-US" w:bidi="ar-SA"/>
        </w:rPr>
        <w:t xml:space="preserve"> at para. 156.</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199</w:t>
      </w:r>
      <w:r>
        <w:rPr>
          <w:rFonts w:ascii="arial" w:eastAsia="arial" w:hAnsi="arial" w:cs="arial"/>
          <w:color w:val="000000"/>
          <w:sz w:val="20"/>
          <w:lang w:val="en-US" w:eastAsia="en-US" w:bidi="ar-SA"/>
        </w:rPr>
        <w:t xml:space="preserve">  Certification of this case as a class proceeding is consistent with the purposes of the </w:t>
      </w:r>
      <w:r>
        <w:rPr>
          <w:rFonts w:ascii="arial" w:eastAsia="arial" w:hAnsi="arial" w:cs="arial"/>
          <w:i/>
          <w:color w:val="000000"/>
          <w:sz w:val="20"/>
          <w:lang w:val="en-US" w:eastAsia="en-US" w:bidi="ar-SA"/>
        </w:rPr>
        <w:t>CPA</w:t>
      </w:r>
      <w:r>
        <w:rPr>
          <w:rFonts w:ascii="arial" w:eastAsia="arial" w:hAnsi="arial" w:cs="arial"/>
          <w:color w:val="000000"/>
          <w:sz w:val="20"/>
          <w:lang w:val="en-US" w:eastAsia="en-US" w:bidi="ar-SA"/>
        </w:rPr>
        <w:t>, particularly the purpose of providing improved access to the courts for those whose actions might not otherwise be asserted. The costs of proving the common issues serve as an "overwhelming deterrent" to individual claims. The fact that damages may require individual assessment, if the waiver of tort fails, is not a bar to certification.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200</w:t>
      </w:r>
      <w:r>
        <w:rPr>
          <w:rFonts w:ascii="arial" w:eastAsia="arial" w:hAnsi="arial" w:cs="arial"/>
          <w:color w:val="000000"/>
          <w:sz w:val="20"/>
          <w:lang w:val="en-US" w:eastAsia="en-US" w:bidi="ar-SA"/>
        </w:rPr>
        <w:t>  In any event, certification is conditional and is always subject to decertification by the court.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201</w:t>
      </w:r>
      <w:r>
        <w:rPr>
          <w:rFonts w:ascii="arial" w:eastAsia="arial" w:hAnsi="arial" w:cs="arial"/>
          <w:color w:val="000000"/>
          <w:sz w:val="20"/>
          <w:lang w:val="en-US" w:eastAsia="en-US" w:bidi="ar-SA"/>
        </w:rPr>
        <w:t xml:space="preserve">  The requirements of s. 4(1) of the </w:t>
      </w:r>
      <w:r>
        <w:rPr>
          <w:rFonts w:ascii="arial" w:eastAsia="arial" w:hAnsi="arial" w:cs="arial"/>
          <w:i/>
          <w:color w:val="000000"/>
          <w:sz w:val="20"/>
          <w:lang w:val="en-US" w:eastAsia="en-US" w:bidi="ar-SA"/>
        </w:rPr>
        <w:t>CPA</w:t>
      </w:r>
      <w:r>
        <w:rPr>
          <w:rFonts w:ascii="arial" w:eastAsia="arial" w:hAnsi="arial" w:cs="arial"/>
          <w:color w:val="000000"/>
          <w:sz w:val="20"/>
          <w:lang w:val="en-US" w:eastAsia="en-US" w:bidi="ar-SA"/>
        </w:rPr>
        <w:t xml:space="preserve"> have been satisfied subject to the plaintiff producing an acceptable litigation plan, and the proposed class action is certified as a class action subject to the plaintiff satisfying this condition.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202</w:t>
      </w:r>
      <w:r>
        <w:rPr>
          <w:rFonts w:ascii="arial" w:eastAsia="arial" w:hAnsi="arial" w:cs="arial"/>
          <w:color w:val="000000"/>
          <w:sz w:val="20"/>
          <w:lang w:val="en-US" w:eastAsia="en-US" w:bidi="ar-SA"/>
        </w:rPr>
        <w:t xml:space="preserve">  I emphasize that I have restricted my assessment of the issues to the standards required in a certification application. It is not appropriate at this stage to engage in a rigorous review of the merits; that will be for trial. The defendants' arguments do raise considerable difficulties for the representative plaintiff. The plaintiff will face significant and challenging complexities at the trial of the common issues particularly with respect to the waiver of tort claim. However, neither the novelty of the cause of action, nor the potential of the defendants to present a strong defence should preclude the plaintiff from proceeding with the claim: </w:t>
      </w:r>
      <w:r>
        <w:rPr>
          <w:rFonts w:ascii="arial" w:eastAsia="arial" w:hAnsi="arial" w:cs="arial"/>
          <w:i/>
          <w:color w:val="000000"/>
          <w:sz w:val="20"/>
          <w:lang w:val="en-US" w:eastAsia="en-US" w:bidi="ar-SA"/>
        </w:rPr>
        <w:t>Hunt</w:t>
      </w:r>
      <w:r>
        <w:rPr>
          <w:rFonts w:ascii="arial" w:eastAsia="arial" w:hAnsi="arial" w:cs="arial"/>
          <w:color w:val="000000"/>
          <w:sz w:val="20"/>
          <w:lang w:val="en-US" w:eastAsia="en-US" w:bidi="ar-SA"/>
        </w:rPr>
        <w:t xml:space="preserve"> at 980.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203</w:t>
      </w:r>
      <w:r>
        <w:rPr>
          <w:rFonts w:ascii="arial" w:eastAsia="arial" w:hAnsi="arial" w:cs="arial"/>
          <w:color w:val="000000"/>
          <w:sz w:val="20"/>
          <w:lang w:val="en-US" w:eastAsia="en-US" w:bidi="ar-SA"/>
        </w:rPr>
        <w:t>  The class representative is Ms. Koubi.</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204</w:t>
      </w:r>
      <w:r>
        <w:rPr>
          <w:rFonts w:ascii="arial" w:eastAsia="arial" w:hAnsi="arial" w:cs="arial"/>
          <w:color w:val="000000"/>
          <w:sz w:val="20"/>
          <w:lang w:val="en-US" w:eastAsia="en-US" w:bidi="ar-SA"/>
        </w:rPr>
        <w:t>  The common issues that are certified:</w:t>
      </w:r>
      <w:r>
        <w:rPr>
          <w:rFonts w:ascii="arial" w:eastAsia="arial" w:hAnsi="arial" w:cs="arial"/>
          <w:sz w:val="20"/>
          <w:lang w:val="en-US" w:eastAsia="en-US" w:bidi="ar-SA"/>
        </w:rPr>
        <w:cr/>
      </w:r>
    </w:p>
    <w:p>
      <w:pPr>
        <w:numPr>
          <w:numId w:val="44"/>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Was the door lock mechanism defective?</w:t>
      </w:r>
    </w:p>
    <w:p>
      <w:pPr>
        <w:numPr>
          <w:numId w:val="45"/>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Did the sale or lease of the Mazda3 vehicles with this door lock mechanism breach the implied warranties as to quality and fitness pursuant to ss. 18(a) and (b) of the </w:t>
      </w:r>
      <w:r>
        <w:rPr>
          <w:rFonts w:ascii="arial" w:eastAsia="arial" w:hAnsi="arial" w:cs="arial"/>
          <w:i/>
          <w:color w:val="000000"/>
          <w:sz w:val="20"/>
          <w:lang w:val="en-US" w:eastAsia="en-US" w:bidi="ar-SA"/>
        </w:rPr>
        <w:t>SGA</w:t>
      </w:r>
      <w:r>
        <w:rPr>
          <w:rFonts w:ascii="arial" w:eastAsia="arial" w:hAnsi="arial" w:cs="arial"/>
          <w:color w:val="000000"/>
          <w:sz w:val="20"/>
          <w:lang w:val="en-US" w:eastAsia="en-US" w:bidi="ar-SA"/>
        </w:rPr>
        <w:t>?</w:t>
      </w:r>
    </w:p>
    <w:p>
      <w:pPr>
        <w:numPr>
          <w:numId w:val="46"/>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On what date did the defendants learn that the door lock mechanism in these Mazda3 vehicles was defective?</w:t>
      </w:r>
    </w:p>
    <w:p>
      <w:pPr>
        <w:numPr>
          <w:numId w:val="47"/>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Did any of the defendant supplier's representations concerning the performance characteristics and quality of the Mazda3 vehicle or any of its conduct in the marketing and sale of the Mazda3 vehicle constitute a "deceptive act or practice" under the </w:t>
      </w:r>
      <w:r>
        <w:rPr>
          <w:rFonts w:ascii="arial" w:eastAsia="arial" w:hAnsi="arial" w:cs="arial"/>
          <w:i/>
          <w:color w:val="000000"/>
          <w:sz w:val="20"/>
          <w:lang w:val="en-US" w:eastAsia="en-US" w:bidi="ar-SA"/>
        </w:rPr>
        <w:t>BPCPA</w:t>
      </w:r>
      <w:r>
        <w:rPr>
          <w:rFonts w:ascii="arial" w:eastAsia="arial" w:hAnsi="arial" w:cs="arial"/>
          <w:color w:val="000000"/>
          <w:sz w:val="20"/>
          <w:lang w:val="en-US" w:eastAsia="en-US" w:bidi="ar-SA"/>
        </w:rPr>
        <w:t>?</w:t>
      </w:r>
    </w:p>
    <w:p>
      <w:pPr>
        <w:numPr>
          <w:numId w:val="48"/>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If the answer to question 4 is yes, did the defendant supplier do so with knowledge that its representations were false?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205</w:t>
      </w:r>
      <w:r>
        <w:rPr>
          <w:rFonts w:ascii="arial" w:eastAsia="arial" w:hAnsi="arial" w:cs="arial"/>
          <w:color w:val="000000"/>
          <w:sz w:val="20"/>
          <w:lang w:val="en-US" w:eastAsia="en-US" w:bidi="ar-SA"/>
        </w:rPr>
        <w:t>  Counsel agreed the question of appropriate method of notice to class members should await determination of whether the claim was certified as a class proceeding.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206</w:t>
      </w:r>
      <w:r>
        <w:rPr>
          <w:rFonts w:ascii="arial" w:eastAsia="arial" w:hAnsi="arial" w:cs="arial"/>
          <w:color w:val="000000"/>
          <w:sz w:val="20"/>
          <w:lang w:val="en-US" w:eastAsia="en-US" w:bidi="ar-SA"/>
        </w:rPr>
        <w:t>  I ask counsel to contact Supreme Court Scheduling and arrange a further half day hearing before me either to address the following issues, or to schedule further hearings to do so:</w:t>
      </w:r>
      <w:r>
        <w:rPr>
          <w:rFonts w:ascii="arial" w:eastAsia="arial" w:hAnsi="arial" w:cs="arial"/>
          <w:sz w:val="20"/>
          <w:lang w:val="en-US" w:eastAsia="en-US" w:bidi="ar-SA"/>
        </w:rPr>
        <w:cr/>
      </w:r>
    </w:p>
    <w:p>
      <w:pPr>
        <w:numPr>
          <w:numId w:val="49"/>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the form of amendments to the statement of claim;</w:t>
      </w:r>
    </w:p>
    <w:p>
      <w:pPr>
        <w:numPr>
          <w:numId w:val="50"/>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the precise framing of common issues (9) and (10) relating to the waiver of tort;</w:t>
      </w:r>
    </w:p>
    <w:p>
      <w:pPr>
        <w:numPr>
          <w:numId w:val="5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if, when, and by what means, should notice be given to the class members, and what form the notice will take; and</w:t>
      </w:r>
    </w:p>
    <w:p>
      <w:pPr>
        <w:numPr>
          <w:numId w:val="52"/>
        </w:numPr>
        <w:tabs>
          <w:tab w:val="num" w:pos="1120"/>
          <w:tab w:val="clear" w:pos="184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the revised litigation plan.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D. DARDI J.</w:t>
      </w:r>
      <w:r>
        <w:rPr>
          <w:rFonts w:ascii="arial" w:eastAsia="arial" w:hAnsi="arial" w:cs="arial"/>
          <w:sz w:val="20"/>
          <w:lang w:val="en-US" w:eastAsia="en-US" w:bidi="ar-SA"/>
        </w:rPr>
        <w:cr/>
      </w:r>
    </w:p>
    <w:p>
      <w:pPr>
        <w:rPr>
          <w:rFonts w:ascii="arial" w:eastAsia="arial" w:hAnsi="arial" w:cs="arial"/>
          <w:sz w:val="20"/>
          <w:lang w:val="en-US" w:eastAsia="en-US" w:bidi="ar-SA"/>
        </w:rPr>
      </w:pPr>
    </w:p>
    <w:p>
      <w:pPr>
        <w:ind w:left="200"/>
        <w:rPr>
          <w:rFonts w:ascii="arial" w:eastAsia="arial" w:hAnsi="arial" w:cs="arial"/>
          <w:sz w:val="20"/>
          <w:lang w:val="en-US" w:eastAsia="en-US" w:bidi="ar-SA"/>
        </w:rPr>
        <w:sectPr>
          <w:type w:val="continuous"/>
          <w:pgMar w:top="840" w:right="1000" w:bottom="840" w:left="1000" w:header="400" w:footer="400"/>
          <w:pgNumType w:fmt="decimal"/>
          <w:cols w:space="720"/>
        </w:sectPr>
      </w:pPr>
      <w:r>
        <w:rPr>
          <w:rFonts w:ascii="arial" w:eastAsia="arial" w:hAnsi="arial" w:cs="arial"/>
          <w:sz w:val="20"/>
          <w:lang w:val="en-US" w:eastAsia="en-US" w:bidi="ar-SA"/>
        </w:rPr>
        <w:br/>
      </w:r>
      <w:r>
        <w:pict>
          <v:line id="_x0000_s1260" style="position:absolute;z-index:251894784" from="0,10pt" to="512pt,10pt" strokecolor="black" strokeweight="1pt">
            <v:stroke linestyle="single"/>
          </v:line>
        </w:pict>
      </w:r>
      <w:r>
        <w:rPr>
          <w:b/>
          <w:color w:val="767676"/>
          <w:sz w:val="16"/>
          <w:lang w:val="en-US" w:eastAsia="en-US" w:bidi="ar-SA"/>
        </w:rPr>
        <w:t>End of Document</w:t>
      </w:r>
    </w:p>
    <w:p>
      <w:pPr>
        <w:rPr>
          <w:rFonts w:ascii="arial" w:eastAsia="arial" w:hAnsi="arial" w:cs="arial"/>
          <w:sz w:val="20"/>
          <w:lang w:val="en-US" w:eastAsia="en-US" w:bidi="ar-SA"/>
        </w:rPr>
        <w:sectPr>
          <w:headerReference w:type="even" r:id="rId1081"/>
          <w:headerReference w:type="default" r:id="rId1082"/>
          <w:footerReference w:type="even" r:id="rId1083"/>
          <w:footerReference w:type="default" r:id="rId1084"/>
          <w:headerReference w:type="first" r:id="rId1085"/>
          <w:footerReference w:type="first" r:id="rId1086"/>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eastAsia="arial" w:hAnsi="Arial" w:cs="Arial"/>
          <w:b/>
          <w:bCs/>
          <w:kern w:val="32"/>
          <w:sz w:val="32"/>
          <w:szCs w:val="32"/>
          <w:lang w:val="en-US" w:eastAsia="en-US" w:bidi="ar-SA"/>
        </w:rPr>
      </w:pPr>
      <w:hyperlink r:id="rId1087" w:history="1">
        <w:r>
          <w:rPr>
            <w:rFonts w:ascii="arial" w:eastAsia="arial" w:hAnsi="arial" w:cs="arial"/>
            <w:b/>
            <w:bCs/>
            <w:i/>
            <w:color w:val="0077CC"/>
            <w:kern w:val="32"/>
            <w:sz w:val="28"/>
            <w:szCs w:val="32"/>
            <w:u w:val="single"/>
            <w:shd w:val="clear" w:color="auto" w:fill="FFFFFF"/>
            <w:lang w:val="en-US" w:eastAsia="en-US" w:bidi="ar-SA"/>
          </w:rPr>
          <w:t>Paul v. Vancouver International Airport Authority, [2000] B.C.J. No. 537</w:t>
        </w:r>
      </w:hyperlink>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Judgments</w:t>
      </w:r>
    </w:p>
    <w:p>
      <w:pPr>
        <w:rPr>
          <w:rFonts w:ascii="arial" w:eastAsia="arial" w:hAnsi="arial" w:cs="arial"/>
          <w:sz w:val="20"/>
          <w:lang w:val="en-US" w:eastAsia="en-US" w:bidi="ar-SA"/>
        </w:rPr>
      </w:pP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Vancouver, British Columbia</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Stromberg-Stein J.</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Heard: January 10 - 14, 17 - 21 and 24 - 27, 2000.</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Judgment: March 2, 2000.</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Vancouver Registry No. C964759</w:t>
      </w:r>
    </w:p>
    <w:p>
      <w:pPr>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r>
        <w:rPr>
          <w:rFonts w:ascii="arial" w:eastAsia="arial" w:hAnsi="arial" w:cs="arial"/>
          <w:b/>
          <w:color w:val="000000"/>
          <w:sz w:val="20"/>
          <w:lang w:val="en-US" w:eastAsia="en-US" w:bidi="ar-SA"/>
        </w:rPr>
        <w:t>[2000] B.C.J. No. 537</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2000 BCSC 341</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5 B.L.R. (3d) 135</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95 A.C.W.S. (3d) 856</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[2000] B.C.T.C. 153</w:t>
      </w:r>
    </w:p>
    <w:p>
      <w:pPr>
        <w:spacing w:before="120" w:line="260" w:lineRule="atLeast"/>
        <w:rPr>
          <w:rFonts w:ascii="arial" w:eastAsia="arial" w:hAnsi="arial" w:cs="arial"/>
          <w:sz w:val="20"/>
          <w:lang w:val="en-US" w:eastAsia="en-US" w:bidi="ar-SA"/>
        </w:rPr>
      </w:pPr>
      <w:r>
        <w:rPr>
          <w:rFonts w:ascii="arial" w:eastAsia="arial" w:hAnsi="arial" w:cs="arial"/>
          <w:color w:val="000000"/>
          <w:sz w:val="20"/>
          <w:lang w:val="en-US" w:eastAsia="en-US" w:bidi="ar-SA"/>
        </w:rPr>
        <w:t>Between Christopher Paul and S-8002 Holdings Ltd., plaintiffs, and Vancouver International Airport Authority, defendant</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(125 paras.)</w:t>
      </w:r>
    </w:p>
    <w:p>
      <w:pPr>
        <w:keepNext/>
        <w:spacing w:before="12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Case Summary</w:t>
      </w:r>
    </w:p>
    <w:p>
      <w:pPr>
        <w:spacing w:line="60" w:lineRule="exact"/>
        <w:rPr>
          <w:rFonts w:ascii="arial" w:eastAsia="arial" w:hAnsi="arial" w:cs="arial"/>
          <w:sz w:val="20"/>
          <w:lang w:val="en-US" w:eastAsia="en-US" w:bidi="ar-SA"/>
        </w:rPr>
      </w:pPr>
      <w:r>
        <w:pict>
          <v:line id="_x0000_s1261" style="position:absolute;z-index:251708416"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bookmarkStart w:id="329" w:name="Keywords_47"/>
      <w:bookmarkEnd w:id="329"/>
      <w:r>
        <w:rPr>
          <w:rFonts w:ascii="arial" w:eastAsia="arial" w:hAnsi="arial" w:cs="arial"/>
          <w:b/>
          <w:color w:val="000000"/>
          <w:sz w:val="20"/>
          <w:lang w:val="en-US" w:eastAsia="en-US" w:bidi="ar-SA"/>
        </w:rPr>
        <w:t>Contracts — Formation of contract — Agreements that are not contracts — Agreements to agree — Mistake, misunderstanding or misrepresentation — Misrepresentation, what constitutes — Promissory estoppel — Where applicable — Requirement of detrimental reliance.</w:t>
      </w:r>
    </w:p>
    <w:p>
      <w:pPr>
        <w:rPr>
          <w:rFonts w:ascii="arial" w:eastAsia="arial" w:hAnsi="arial" w:cs="arial"/>
          <w:sz w:val="20"/>
          <w:lang w:val="en-US" w:eastAsia="en-US" w:bidi="ar-SA"/>
        </w:rPr>
      </w:pPr>
    </w:p>
    <w:tbl>
      <w:tblPr>
        <w:tblStyle w:val="TableNormal"/>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
      <w:tblGrid>
        <w:gridCol w:w="10225"/>
      </w:tblGrid>
      <w:tr>
        <w:tblPrEx>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Ex>
        <w:tc>
          <w:tcPr/>
          <w:p>
            <w:pPr>
              <w:rPr>
                <w:rFonts w:ascii="arial" w:eastAsia="arial" w:hAnsi="arial" w:cs="arial"/>
                <w:sz w:val="20"/>
                <w:lang w:val="en-US" w:eastAsia="en-US" w:bidi="ar-SA"/>
              </w:rPr>
            </w:pPr>
            <w:bookmarkStart w:id="330" w:name="Case Summary_45"/>
            <w:bookmarkEnd w:id="330"/>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Action by Paul and S-8002 Holdings against the Airport Authority for breach of contract. The Authority and Her majesty the Queen were landlord and tenant. Any lease entered into between the Authority and a third party was subject to the terms of the Head Lease. In 1994, Kandert was the manager of the land, leasing and cargo development for the Authority. Paul was employed at the Airport and together with an architect, Tusar, and Capistrano, as project manager, Paul developed a concept to build a neighbourhood pub and restaurant on the land that was within the control of the Authority. Approval was essential before Paul could build the establishment. Kandert informed Paul's team that prior to granting approval in principle, regulatory approvals were required, and thus there was a need for detailed plans. Kandert told Paul's team that the Authority was prepared to explore Paul's concept, though expressed concern about whether the area could support two similar facilities. Another company, Harbour Air had plans to replace a terminal to include a restaurant and pub. Paul did not know about Harbour Air's plans and continued to develop a business proposal and negotiate a lease agreement. Kandert wrote a letter to Paul's team on July 15, 1994. Kandert claimed that this letter was a comfort letter and was not intended to be a binding contractual agreement. Paul claimed that this letter was a contract for the project. In December 1994, Paul learned about Harbour Air's planned expansion. Kandert then informed Paul's team that the Airport Authority would no longer support the Paul proposal. </w:t>
            </w:r>
            <w:r>
              <w:rPr>
                <w:rFonts w:ascii="arial" w:eastAsia="arial" w:hAnsi="arial" w:cs="arial"/>
                <w:sz w:val="20"/>
                <w:lang w:val="en-US" w:eastAsia="en-US" w:bidi="ar-SA"/>
              </w:rPr>
              <w:cr/>
            </w:r>
          </w:p>
          <w:p>
            <w:pPr>
              <w:spacing w:before="120" w:line="260" w:lineRule="atLeast"/>
              <w:ind w:left="240"/>
              <w:jc w:val="both"/>
              <w:rPr>
                <w:rFonts w:ascii="arial" w:eastAsia="arial" w:hAnsi="arial" w:cs="arial"/>
                <w:sz w:val="20"/>
                <w:lang w:val="en-US" w:eastAsia="en-US" w:bidi="ar-SA"/>
              </w:rPr>
            </w:pPr>
            <w:bookmarkStart w:id="331" w:name="Holdings of Court_39"/>
            <w:bookmarkEnd w:id="331"/>
            <w:r>
              <w:rPr>
                <w:rFonts w:ascii="arial" w:eastAsia="arial" w:hAnsi="arial" w:cs="arial"/>
                <w:color w:val="000000"/>
                <w:sz w:val="20"/>
                <w:lang w:val="en-US" w:eastAsia="en-US" w:bidi="ar-SA"/>
              </w:rPr>
              <w:t>HELD: Action dismissed.</w:t>
            </w:r>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The parties did not enter into a contract. There was no mutual intention to create a contractual relationship. There was no acceptance, by countersigning the letter of July 15 1994. There was no consideration from Paul to the Airport Authority. The suggested lease terms were uncertain. The parties and land to be leased were not sufficiently identified. The letter was therefore an agreement to agree, but not a contract. Neither estoppel by representation nor by promissory estoppel could form the basis of an independent cause of action, and there was no evidence to support such a finding in this case. Paul did not act to his detriment in the expectation of acquiring a right over the Airport land. The Authority did not make any negligent misrepresentations to Paul. There was no special relationship between the parties. The Authority did not fail to act in good faith in its dealings with Paul, and did not abuse its public office. The evidence did not support a breach of confidence on behalf of the Airport Authority. Paul and his team performed no work or services at the request of the Airport Authority, and therefore there was no merit to a claim for restitution. </w:t>
            </w:r>
            <w:r>
              <w:rPr>
                <w:rFonts w:ascii="arial" w:eastAsia="arial" w:hAnsi="arial" w:cs="arial"/>
                <w:sz w:val="20"/>
                <w:lang w:val="en-US" w:eastAsia="en-US" w:bidi="ar-SA"/>
              </w:rPr>
              <w:cr/>
            </w:r>
          </w:p>
          <w:p>
            <w:pPr>
              <w:rPr>
                <w:rFonts w:ascii="arial" w:eastAsia="arial" w:hAnsi="arial" w:cs="arial"/>
                <w:sz w:val="20"/>
                <w:lang w:val="en-US" w:eastAsia="en-US" w:bidi="ar-SA"/>
              </w:rPr>
            </w:pPr>
          </w:p>
        </w:tc>
      </w:tr>
    </w:tbl>
    <w:p>
      <w:pPr>
        <w:jc w:val="both"/>
        <w:rPr>
          <w:rFonts w:ascii="arial" w:eastAsia="arial" w:hAnsi="arial" w:cs="arial"/>
          <w:sz w:val="20"/>
          <w:lang w:val="en-US" w:eastAsia="en-US" w:bidi="ar-SA"/>
        </w:rPr>
      </w:pPr>
      <w:bookmarkStart w:id="332" w:name="Legislation Cited_33"/>
      <w:bookmarkEnd w:id="332"/>
      <w:r>
        <w:rPr>
          <w:rFonts w:ascii="arial" w:eastAsia="arial" w:hAnsi="arial" w:cs="arial"/>
          <w:sz w:val="20"/>
          <w:lang w:val="en-US" w:eastAsia="en-US" w:bidi="ar-SA"/>
        </w:rPr>
        <w:br/>
      </w:r>
    </w:p>
    <w:p>
      <w:pPr>
        <w:keepNext/>
        <w:spacing w:before="24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Statutes, Regulations and Rules Cited:</w:t>
      </w:r>
    </w:p>
    <w:p>
      <w:pPr>
        <w:spacing w:line="60" w:lineRule="exact"/>
        <w:rPr>
          <w:rFonts w:ascii="arial" w:eastAsia="arial" w:hAnsi="arial" w:cs="arial"/>
          <w:sz w:val="20"/>
          <w:lang w:val="en-US" w:eastAsia="en-US" w:bidi="ar-SA"/>
        </w:rPr>
      </w:pPr>
      <w:r>
        <w:pict>
          <v:line id="_x0000_s1262" style="position:absolute;z-index:251759616"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Canada Corporations Act.</w:t>
      </w:r>
      <w:r>
        <w:rPr>
          <w:rFonts w:ascii="arial" w:eastAsia="arial" w:hAnsi="arial" w:cs="arial"/>
          <w:sz w:val="20"/>
          <w:lang w:val="en-US" w:eastAsia="en-US" w:bidi="ar-SA"/>
        </w:rPr>
        <w:cr/>
      </w:r>
    </w:p>
    <w:p>
      <w:pPr>
        <w:keepNext/>
        <w:spacing w:before="240" w:line="340" w:lineRule="atLeast"/>
        <w:rPr>
          <w:rFonts w:ascii="arial" w:eastAsia="arial" w:hAnsi="arial" w:cs="arial"/>
          <w:sz w:val="20"/>
          <w:lang w:val="en-US" w:eastAsia="en-US" w:bidi="ar-SA"/>
        </w:rPr>
      </w:pPr>
      <w:bookmarkStart w:id="333" w:name="Counsel_47"/>
      <w:bookmarkEnd w:id="333"/>
      <w:r>
        <w:rPr>
          <w:rFonts w:ascii="arial" w:eastAsia="arial" w:hAnsi="arial" w:cs="arial"/>
          <w:b/>
          <w:color w:val="000000"/>
          <w:sz w:val="28"/>
          <w:lang w:val="en-US" w:eastAsia="en-US" w:bidi="ar-SA"/>
        </w:rPr>
        <w:t>Counsel</w:t>
      </w:r>
    </w:p>
    <w:p>
      <w:pPr>
        <w:spacing w:line="60" w:lineRule="exact"/>
        <w:rPr>
          <w:rFonts w:ascii="arial" w:eastAsia="arial" w:hAnsi="arial" w:cs="arial"/>
          <w:sz w:val="20"/>
          <w:lang w:val="en-US" w:eastAsia="en-US" w:bidi="ar-SA"/>
        </w:rPr>
      </w:pPr>
      <w:r>
        <w:pict>
          <v:line id="_x0000_s1263" style="position:absolute;z-index:251810816"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 Cameron Ward and J. Levine, for the plaintiffs. Alan A. Hobkirk, for the defendant.</w:t>
      </w:r>
      <w:r>
        <w:rPr>
          <w:rFonts w:ascii="arial" w:eastAsia="arial" w:hAnsi="arial" w:cs="arial"/>
          <w:sz w:val="20"/>
          <w:lang w:val="en-US" w:eastAsia="en-US" w:bidi="ar-SA"/>
        </w:rPr>
        <w:cr/>
      </w:r>
    </w:p>
    <w:p>
      <w:pPr>
        <w:spacing w:after="240"/>
        <w:rPr>
          <w:rFonts w:ascii="arial" w:eastAsia="arial" w:hAnsi="arial" w:cs="arial"/>
          <w:sz w:val="20"/>
          <w:lang w:val="en-US" w:eastAsia="en-US" w:bidi="ar-SA"/>
        </w:rPr>
      </w:pPr>
      <w:bookmarkStart w:id="334" w:name="Judgment_48"/>
      <w:bookmarkEnd w:id="334"/>
      <w:r>
        <w:pict>
          <v:line id="_x0000_s1264" style="position:absolute;z-index:251859968" from="0,12pt" to="512pt,12pt" strokecolor="#009ddb" strokeweight="1.5pt">
            <v:stroke linestyle="single"/>
          </v:line>
        </w:pict>
      </w:r>
    </w:p>
    <w:p>
      <w:pPr>
        <w:rPr>
          <w:rFonts w:ascii="arial" w:eastAsia="arial" w:hAnsi="arial" w:cs="arial"/>
          <w:sz w:val="20"/>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3537"/>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rFonts w:ascii="arial" w:eastAsia="arial" w:hAnsi="arial" w:cs="arial"/>
                <w:sz w:val="20"/>
                <w:lang w:val="en-US" w:eastAsia="en-US" w:bidi="ar-SA"/>
              </w:rPr>
            </w:pPr>
            <w:bookmarkStart w:id="335" w:name="STROMBERG-STEIN J."/>
            <w:bookmarkEnd w:id="335"/>
            <w:r>
              <w:rPr>
                <w:rFonts w:ascii="arial" w:eastAsia="arial" w:hAnsi="arial" w:cs="arial"/>
                <w:b/>
                <w:color w:val="000000"/>
                <w:sz w:val="30"/>
                <w:lang w:val="en-US" w:eastAsia="en-US" w:bidi="ar-SA"/>
              </w:rPr>
              <w:t>STROMBERG-STEIN J.</w:t>
            </w:r>
          </w:p>
        </w:tc>
      </w:tr>
    </w:tbl>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Introduction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Mr. Paul thought he had a novel and unique idea when he approached the Airport Authority with a concept to build a neighbourhood pub and restaurant on a beautiful site overlooking the Fraser River on Sea Island, adjacent to Harbour Air's dilapidated seaplane terminal. This site fell within the control of the Airport Authority and its approval of the concept was essential before Mr. Paul could build his dream establishment.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Mr. Paul's concept was neither novel nor unique and he could have discovered Harbour Air's long-standing plans to build a new terminal with a similar pub and restaurant establishment had he or his project team exercised a modicum of due diligence. Unfortunately, the Paul proposal was doomed by the failure to exercise the due diligence required in arm's length business dealings.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Mr. Paul concedes that two adjacent similar facilities would not be economically viable. However, he feels he has been wronged, legally and morally, by the Airport Authority's withdrawal of its support for his concept while permitting Harbour Air to proceed with the replacement of its aviation-related facility. From the perspective of the Airport Authority, Mr. Paul seeks compensation for the disappointment flowing from his own inability to distinguish between his dream and the reality of the business world.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Harbour Air replaced its terminal and opened the Flying Beaver Bar and Grill in July 1995. The business has been a huge success, grossing in excess of $10 million to date.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Issues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The issues of liability and damages were severed by agreement at the commencement of the trial. This judgment concerns liability only. Mr. Paul's claims for wasted expenses, economic loss of opportunity, and aggravated, exemplary and punitive damages have been reserved in the event liability is established.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The issues are, alternatively:</w:t>
      </w:r>
      <w:r>
        <w:rPr>
          <w:rFonts w:ascii="arial" w:eastAsia="arial" w:hAnsi="arial" w:cs="arial"/>
          <w:sz w:val="20"/>
          <w:lang w:val="en-US" w:eastAsia="en-US" w:bidi="ar-SA"/>
        </w:rPr>
        <w:cr/>
      </w:r>
    </w:p>
    <w:p>
      <w:pPr>
        <w:numPr>
          <w:numId w:val="16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Did the parties enter into a contract which was breached by the Airport Authority?</w:t>
      </w:r>
    </w:p>
    <w:p>
      <w:pPr>
        <w:numPr>
          <w:numId w:val="16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Does the doctrine of equitable estoppel give rise to a cause of action and damages?</w:t>
      </w:r>
    </w:p>
    <w:p>
      <w:pPr>
        <w:numPr>
          <w:numId w:val="16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Was the Airport Authority negligent or guilty of negligent misrepresentation in its dealings with Mr. Paul?</w:t>
      </w:r>
    </w:p>
    <w:p>
      <w:pPr>
        <w:numPr>
          <w:numId w:val="16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Was there an abuse of public office by the Airport Authority?</w:t>
      </w:r>
    </w:p>
    <w:p>
      <w:pPr>
        <w:numPr>
          <w:numId w:val="16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Was there a breach of confidence by the Airport Authority?</w:t>
      </w:r>
    </w:p>
    <w:p>
      <w:pPr>
        <w:numPr>
          <w:numId w:val="16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Is Mr. Paul entitled to restitution on quantum meruit for wasted time and expenses?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In final submissions, counsel for Mr. Paul abandoned claims for false representation, breach of fiduciary duty and appropriation of business opportunity.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Assessment of Credibility and Reliability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There are two diverse perspectives on how the events of 1994 unfolded as between Mr. Paul and the Airport Authority. Unfortunately, a fairly extensive review of the evidence is necessary because of the number and nature of issues raised. It is not my intention to review all of the evidence, although I have carefully considered and weighed the totality of the evidence following the three week trial.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An assessment of the reliability and credibility of all the witnesses is necessary due to the absence or inaccuracy of records and documents of the events. All the witnesses seemed credible. Some were more reliable than others. However, Mr. Paul's evidence was riddled with inconsistencies; Mr. Tusar was prone to exaggerations and misstatements; Mr. Capistrano had minimal independent recollection and has relied upon some inaccurate discussion summaries and documentation to refresh his memory; and Mr. Purnell's evidence was inconsistent with the evidence of Mr. Paul and Mr. Tusar. Mr. McDougall and Mr. Colquhoun were credible and reliable; and Mr. Kandert, although not always entirely convincing, was for the most part reliable and credible.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Facts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xml:space="preserve">  The Vancouver International Airport Authority ("Airport Authority") was incorporated by Letters Patent pursuant to the Canada Corporations Act, </w:t>
      </w:r>
      <w:hyperlink r:id="rId1088" w:history="1">
        <w:r>
          <w:rPr>
            <w:rFonts w:ascii="arial" w:eastAsia="arial" w:hAnsi="arial" w:cs="arial"/>
            <w:i/>
            <w:color w:val="0077CC"/>
            <w:sz w:val="20"/>
            <w:u w:val="single"/>
            <w:shd w:val="clear" w:color="auto" w:fill="FFFFFF"/>
            <w:lang w:val="en-US" w:eastAsia="en-US" w:bidi="ar-SA"/>
          </w:rPr>
          <w:t>R.S.C. 1970, c. C-32</w:t>
        </w:r>
      </w:hyperlink>
      <w:r>
        <w:rPr>
          <w:rFonts w:ascii="arial" w:eastAsia="arial" w:hAnsi="arial" w:cs="arial"/>
          <w:color w:val="000000"/>
          <w:sz w:val="20"/>
          <w:lang w:val="en-US" w:eastAsia="en-US" w:bidi="ar-SA"/>
        </w:rPr>
        <w:t>. The Airport Authority is an independent, non-governmental, not-for-profit corporation, with no shareholders. The management and operation of the Vancouver International Airport, comprising most of Sea Island, was transferred from Transport Canada on July 1, 1992, to the Airport Authority. The Airport Authority holds a 60 year lease ("Head Lease") over the airport lands with Her Majesty the Queen. There is an option to renew for 20 years. The Airport Authority and Her Majesty the Queen are landlord and tenant. The Head Lease expressly provides that they are not partners, joint ventures, nor principal and agent. Any lease entered into between the Airport Authority and a third party is subject to the terms of the Head Lease. The Airport Authority has jurisdiction over the airport lands but not over water lots. The use, development and protection of airport lands is now governed by a Master Plan approved by the Minister of Transport after extensive community consultation throughout 1994.</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In 1994, Mr. Kandert was the manager of Land, Leasing and Cargo Development for the Airport Authority. Mr. Kandert's duties included consideration of unsolicited proposals with respect to airport lands. He reported to Gerry Bruno, Vice President of Marketing, until a reorganization in November 1994 when he reported to Gordon Lancaster, Senior Vice President and Chief Financial Officer. Mr. Kandert's authority extended to negotiating with respect to proposals, but he had no authority to bind the Airport Authority. The evidence establishes that the limit of Mr. Kandert's authority was known to Mr. Paul and his team. They knew he had no authority to grant a lease or option to lease on his own; he had to get approval from other departments and from his superiors.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In 1994, Mr. Paul was a 32 year old ramp attendant employed at the Airport. He also had a small landscaping business on the side. He earned approximately $28,000 a year and was a recently discharged bankrupt, having been in bankruptcy for five years.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To turn his dream into reality, Mr. Paul, through his father Ed Paul, enlisted the assistance of family friend and architect, Denis Tusar, who had some experience developing projects at the airport with Ed Paul and others.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Mr. Tusar appointed Frank Capistrano as the project manager; he was the detail person responsible for bringing the concept to fruition. Mr. Capistrano was primarily responsible for dealing with personnel at the Airport Authority and obtaining environmental approval for the project from the North Fraser Harbour Commission ("Harbour Commission") and the Fraser Regional Estuary Management Program Committee ("FREMP"). Mr. Paul was given the responsibility of applying for a liquor licence.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w:t>
      </w:r>
      <w:r>
        <w:rPr>
          <w:rFonts w:ascii="arial" w:eastAsia="arial" w:hAnsi="arial" w:cs="arial"/>
          <w:color w:val="000000"/>
          <w:sz w:val="20"/>
          <w:lang w:val="en-US" w:eastAsia="en-US" w:bidi="ar-SA"/>
        </w:rPr>
        <w:t>  It is unclear when Mr. Kandert was first approached by Mr. Paul or members of his team. It may have been as early as January, as suggested by Mr. Paul, but Mr. Kandert has no recollection of meeting then with Mr. Paul. The first significant meeting occurred in late March or early April ("March/April meeting") when the proposal was formally presented by the proponents -- Mr. Paul, Mr. Tusar and Mr. Capistrano -- to Mr. Kandert, Mr. Sirola and Ms. Lloyd of the Airport Authority. What occurred at this one and a half to two hour meeting is the subject of dispute, affected by faded memories, the lack of any notes or lost notes, and unsupported by documentary evidence.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w:t>
      </w:r>
      <w:r>
        <w:rPr>
          <w:rFonts w:ascii="arial" w:eastAsia="arial" w:hAnsi="arial" w:cs="arial"/>
          <w:color w:val="000000"/>
          <w:sz w:val="20"/>
          <w:lang w:val="en-US" w:eastAsia="en-US" w:bidi="ar-SA"/>
        </w:rPr>
        <w:t>  There is no dispute that at the March/April meeting the proponents sketched their concept and offered two or three preliminary site plans. The Airport Authority's Technical Data Centre generated the plans but Mr. Tusar's firm superimposed the proposed building on the plans. There is no dispute that at this same meeting the issue of the requirement of a public tender process and the need for regulatory approvals were raised.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w:t>
      </w:r>
      <w:r>
        <w:rPr>
          <w:rFonts w:ascii="arial" w:eastAsia="arial" w:hAnsi="arial" w:cs="arial"/>
          <w:color w:val="000000"/>
          <w:sz w:val="20"/>
          <w:lang w:val="en-US" w:eastAsia="en-US" w:bidi="ar-SA"/>
        </w:rPr>
        <w:t>  I conclude Mr. Kandert informed the proponents that prior to the granting of approval in principle of the concept, regulatory approvals were required, there was a need for detailed drawings and plans showing the exact location of the building, and it was necessary to provide a business plan and detailed financial information. I conclude that Mr. Kandert informed the proponents of the need to involve the City of Richmond, the Harbour Commission and FREMP in the environmental, regulatory and permit approvals. He also alerted the proponents to setback requirements on the siting of the building.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w:t>
      </w:r>
      <w:r>
        <w:rPr>
          <w:rFonts w:ascii="arial" w:eastAsia="arial" w:hAnsi="arial" w:cs="arial"/>
          <w:color w:val="000000"/>
          <w:sz w:val="20"/>
          <w:lang w:val="en-US" w:eastAsia="en-US" w:bidi="ar-SA"/>
        </w:rPr>
        <w:t>  I conclude on the weight of the evidence, corroborated in part by some of the evidence of Mr. Paul, Mr. Tusar and Mr. Capistrano, that Mr. Kandert told the proponents that the Airport Authority was prepared to explore Mr. Paul's concept. But I also conclude that Mr. Kandert expressed concern about whether the area could support two similar facilities, in light of Harbour Air's plans to replace their terminal to include a restaurant/pub. I conclude the proponents indicated that Harbour Air's expansion plans were of no concern because they believed the two proposals were entirely different.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w:t>
      </w:r>
      <w:r>
        <w:rPr>
          <w:rFonts w:ascii="arial" w:eastAsia="arial" w:hAnsi="arial" w:cs="arial"/>
          <w:color w:val="000000"/>
          <w:sz w:val="20"/>
          <w:lang w:val="en-US" w:eastAsia="en-US" w:bidi="ar-SA"/>
        </w:rPr>
        <w:t>  I do not accept the evidence of Mr. Kandert that he informed the proponents that the Airport Authority considered itself to be only a minor player since the building would be substantially over the water; or that he informed the proponents that the Airport Authority could discontinue consideration of the proposal at any time. However, I conclude that no commitment was made by the Airport Authority to the unsolicited non-aviation related proposal which was then merely conceptual. I accept that this was not the Airport Authority's proposal and it was Mr. Paul and his team who dictated the progress. However, the Airport Authority endeavored to facilitate the proposal.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w:t>
      </w:r>
      <w:r>
        <w:rPr>
          <w:rFonts w:ascii="arial" w:eastAsia="arial" w:hAnsi="arial" w:cs="arial"/>
          <w:color w:val="000000"/>
          <w:sz w:val="20"/>
          <w:lang w:val="en-US" w:eastAsia="en-US" w:bidi="ar-SA"/>
        </w:rPr>
        <w:t>  Mr. Paul and Mr. Tusar felt the necessity of a public tender process was unfair. Mr. Paul believed he was being robbed of his inspiration, somewhat like a copyright infringement. Mr. Tusar wrote to Mr. Kandert on April 15 requesting that the Airport Authority exclude the proposal from the public tender process, urging that "[i]n order to meet its mandate of self-sufficiency and compete with the private sector, the YVR must put aside the burden of prior public sector regulations and now deal with the private sector as an active and equal participant". There is no evidence of any response from Mr. Kandert or the Airport Authority to the plea to avoid a public tender process, but the proposal was not put to public tender. Of note, Mr. Tusar's letter included only two short paragraphs describing the proposal. The letter was peppered with exaggerations, embellishments and misstatements about the scope of activity allegedly already undertaken by the proponents in advancing the proposal.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w:t>
      </w:r>
      <w:r>
        <w:rPr>
          <w:rFonts w:ascii="arial" w:eastAsia="arial" w:hAnsi="arial" w:cs="arial"/>
          <w:color w:val="000000"/>
          <w:sz w:val="20"/>
          <w:lang w:val="en-US" w:eastAsia="en-US" w:bidi="ar-SA"/>
        </w:rPr>
        <w:t>  I do not accept the proposition advanced by counsel for Mr. Paul that foregoing the public tender process was tantamount to the Airport Authority accepting Mr. Paul as the successful bidder as if the proposal had been open to public tender. There is no evidence the Airport Authority offered Mr. Paul an exclusive opportunity. Nor is there evidence that Mr. Paul's team sought confidentiality or a non-competition agreement from the Airport Authority.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w:t>
      </w:r>
      <w:r>
        <w:rPr>
          <w:rFonts w:ascii="arial" w:eastAsia="arial" w:hAnsi="arial" w:cs="arial"/>
          <w:color w:val="000000"/>
          <w:sz w:val="20"/>
          <w:lang w:val="en-US" w:eastAsia="en-US" w:bidi="ar-SA"/>
        </w:rPr>
        <w:t>  There was minimal contact between the proponents and the Airport Authority between the March/April meeting and the end of June. The proponents pursued the environmental and regulatory approvals, meeting with the Harbour Commission and the numerous regulatory agencies that made up FREMP. Mr. Paul made some inquiries about what was required for a Class "D" neighbourhood pub liquor licence as well as for other more easily attainable classes of licences. The proponents had informal discussions with various individuals, including one or two pub owners, a liquor distributor, a chef and a possible investor.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w:t>
      </w:r>
      <w:r>
        <w:rPr>
          <w:rFonts w:ascii="arial" w:eastAsia="arial" w:hAnsi="arial" w:cs="arial"/>
          <w:color w:val="000000"/>
          <w:sz w:val="20"/>
          <w:lang w:val="en-US" w:eastAsia="en-US" w:bidi="ar-SA"/>
        </w:rPr>
        <w:t>  The possible investor was Ben Purnell. Of note, his testimony that he was willing to invest $1 million in the project is inconsistent with the evidence of Mr. Paul and Mr. Tusar who both described the discussions with Mr. Purnell as very preliminary. While they hoped that he would be interested in investing, there was no formal commitment from Mr. Purnell. He was considered only a prospective investor.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w:t>
      </w:r>
      <w:r>
        <w:rPr>
          <w:rFonts w:ascii="arial" w:eastAsia="arial" w:hAnsi="arial" w:cs="arial"/>
          <w:color w:val="000000"/>
          <w:sz w:val="20"/>
          <w:lang w:val="en-US" w:eastAsia="en-US" w:bidi="ar-SA"/>
        </w:rPr>
        <w:t>  On June 28, Mr. Capistrano telephoned Mr. Kandert, apparently as a follow up to some meeting. Mr. Capistrano had no independent recollection of the conversation and refreshed his memory from a discussion summary where he recorded the gist of the conversation more or less contemporaneously with the telephone conversation. Mr. Kandert denies telling Mr. Capistrano that "the Sportsgrill lease was run through the "merrygoround"" and a "positive response was received from committee"; that "YVRAA is prepared to lease the land at commercial rates"; or that "YVRAA wants a piece of the action in the form of %" and was open to negotiations and a reasonable offer.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w:t>
      </w:r>
      <w:r>
        <w:rPr>
          <w:rFonts w:ascii="arial" w:eastAsia="arial" w:hAnsi="arial" w:cs="arial"/>
          <w:color w:val="000000"/>
          <w:sz w:val="20"/>
          <w:lang w:val="en-US" w:eastAsia="en-US" w:bidi="ar-SA"/>
        </w:rPr>
        <w:t>  Mr. Kandert testified that Mr. Capistrano called to seek a letter of comfort to facilitate applications to the regulatory bodies. Mr. Kandert recalled a general discussion about the status of the proposal, and about leasing the land at negotiable commercial rates and a percentage rent if a lease were granted. As well, Mr. Kandert told Mr. Capistrano that he had the okay from his manager to further explore the concept.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w:t>
      </w:r>
      <w:r>
        <w:rPr>
          <w:rFonts w:ascii="arial" w:eastAsia="arial" w:hAnsi="arial" w:cs="arial"/>
          <w:color w:val="000000"/>
          <w:sz w:val="20"/>
          <w:lang w:val="en-US" w:eastAsia="en-US" w:bidi="ar-SA"/>
        </w:rPr>
        <w:t>  It is noteworthy that after receiving Mr. Tusar's letter of April 15, the Airport Authority had received no further information, plans or drawings in connection with the proposal. At the time of Mr. Capistrano's telephone call on June 28 the proposal was still in its infancy - "very conceptual" in the words of Mr. Kandert. For this reason, I accept Mr. Kandert's version of the telephone conversation.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w:t>
      </w:r>
      <w:r>
        <w:rPr>
          <w:rFonts w:ascii="arial" w:eastAsia="arial" w:hAnsi="arial" w:cs="arial"/>
          <w:color w:val="000000"/>
          <w:sz w:val="20"/>
          <w:lang w:val="en-US" w:eastAsia="en-US" w:bidi="ar-SA"/>
        </w:rPr>
        <w:t>  Having regard to Mr. Capistrano's July 6 letter to Mr. Kandert, it is clear that the parties had discussed, but not reached, the approval in principle stage. Mr. Tusar telephoned Mr. Kandert before that letter was sent to indicate that the proponents required something in writing to demonstrate to the regulatory bodies that the proposal was under consideration by the Airport Authority. Mr. Tusar specifically requested that Mr. Kandert keep the letter "simple", obviously so it would serve to facilitate the proposal rather than act as an impediment. Mr. Capistrano wrote to Mr. Kandert on July 6:</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732"/>
        <w:gridCol w:w="8051"/>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717"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RE:</w:t>
            </w:r>
          </w:p>
        </w:tc>
        <w:tc>
          <w:tcPr>
            <w:tcW w:w="788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APPLICATION FOR APPROVAL IN PRINCIPLE</w:t>
            </w:r>
          </w:p>
        </w:tc>
        <w:tc>
          <w:tcPr>
            <w:tcW w:w="1024"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614"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717"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FOR A "SPORTS GRILLE" PROPOSAL ON INGLIS DRIVE</w:t>
            </w:r>
          </w:p>
        </w:tc>
        <w:tc>
          <w:tcPr>
            <w:tcW w:w="1024" w:type="dxa"/>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bl>
    <w:p>
      <w:pPr>
        <w:rPr>
          <w:rFonts w:ascii="arial" w:eastAsia="arial" w:hAnsi="arial" w:cs="arial"/>
          <w:sz w:val="20"/>
          <w:lang w:val="en-US" w:eastAsia="en-US" w:bidi="ar-SA"/>
        </w:rPr>
      </w:pP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Dear Mr. Kandert: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This will confirm our telephone conversation on June 28th, 1994 regarding the above-noted matter and our request for a written confirmation from YVR Airport Authority, as follows:</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-Approval-In-Principle for the proposed facility that will provide casual dining, beverage service, games and TV-sports coverage;</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-YVRAA will lease the area of land indicated in our drawing, at commercial rates; and that this facility is regarded as a commercial venture;</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-The commercial rates will be negotiated at a later date.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Should you have any additions or corrections regarding the above information, please notify me.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We will proceed with the liquor license and will require YVRAA written confirmation regarding the lease.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w:t>
      </w:r>
      <w:r>
        <w:rPr>
          <w:rFonts w:ascii="arial" w:eastAsia="arial" w:hAnsi="arial" w:cs="arial"/>
          <w:color w:val="000000"/>
          <w:sz w:val="20"/>
          <w:lang w:val="en-US" w:eastAsia="en-US" w:bidi="ar-SA"/>
        </w:rPr>
        <w:t>  Mr. Capistrano's letter of July 6 was reviewed by Mr. Kandert and Mr. Bruno. In response Mr. Kandert wrote the July 15 letter; it has become the key document and the focus of this trial:</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Dear Mr. Capistrano:</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732"/>
        <w:gridCol w:w="8051"/>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717"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RE:</w:t>
            </w:r>
          </w:p>
        </w:tc>
        <w:tc>
          <w:tcPr>
            <w:tcW w:w="788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APPLICATION FOR APPROVAL-IN-PRINCIPLE</w:t>
            </w:r>
          </w:p>
        </w:tc>
        <w:tc>
          <w:tcPr>
            <w:tcW w:w="1024"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614"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717"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FOR A SPORTS GRILLE PROPOSAL ON INGLIS DRIVE</w:t>
            </w:r>
          </w:p>
        </w:tc>
        <w:tc>
          <w:tcPr>
            <w:tcW w:w="1024" w:type="dxa"/>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bl>
    <w:p>
      <w:pPr>
        <w:rPr>
          <w:rFonts w:ascii="arial" w:eastAsia="arial" w:hAnsi="arial" w:cs="arial"/>
          <w:sz w:val="20"/>
          <w:lang w:val="en-US" w:eastAsia="en-US" w:bidi="ar-SA"/>
        </w:rPr>
      </w:pP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This refers to our previous meetings and your letter of July 6, 1994 regarding the referenced proposal.</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This letter is your confirmation that providing your client works out the necessary water lot arrangements with the North Fraser Harbour Commission and obtains the requisite authorizations from the Liquor Control and Licensing Branch, the Airport Authority is prepared to:</w:t>
      </w:r>
    </w:p>
    <w:p>
      <w:pPr>
        <w:numPr>
          <w:numId w:val="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grant approval-in-principle for the proposed sports grille subject to your client's agreement to pay percentage rents for this business opportunity;</w:t>
      </w:r>
    </w:p>
    <w:p>
      <w:pPr>
        <w:numPr>
          <w:numId w:val="3"/>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lease the land, which you have identified for customer parking and a portion of your building, at commercial rates;</w:t>
      </w:r>
    </w:p>
    <w:p>
      <w:pPr>
        <w:numPr>
          <w:numId w:val="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negotiate the percentage rents and commercial land rates at a later date.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We trust the foregoing will meet your requirements and enable you to proceed with making the other arrangements.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w:t>
      </w:r>
      <w:r>
        <w:rPr>
          <w:rFonts w:ascii="arial" w:eastAsia="arial" w:hAnsi="arial" w:cs="arial"/>
          <w:color w:val="000000"/>
          <w:sz w:val="20"/>
          <w:lang w:val="en-US" w:eastAsia="en-US" w:bidi="ar-SA"/>
        </w:rPr>
        <w:t>  On July 19 Mr. Capistrano requested that the July 15 letter be modified to add to the reference "/NEIGHBOURHOOD PUBLIC HOUSE" after SPORTS GRILLE. Mr. Kandert complied.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w:t>
      </w:r>
      <w:r>
        <w:rPr>
          <w:rFonts w:ascii="arial" w:eastAsia="arial" w:hAnsi="arial" w:cs="arial"/>
          <w:color w:val="000000"/>
          <w:sz w:val="20"/>
          <w:lang w:val="en-US" w:eastAsia="en-US" w:bidi="ar-SA"/>
        </w:rPr>
        <w:t>  In response to the July 15 letter, Mr. Capistrano wrote to Mr. Kandert: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732"/>
        <w:gridCol w:w="8051"/>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717"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RE:</w:t>
            </w:r>
          </w:p>
        </w:tc>
        <w:tc>
          <w:tcPr>
            <w:tcW w:w="788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APPLICATION FOR APPROVAL IN PRINCIPLE</w:t>
            </w:r>
          </w:p>
        </w:tc>
        <w:tc>
          <w:tcPr>
            <w:tcW w:w="1024"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717"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788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FOR A SPORTS GRILLE/NEIGHBOURHOOD PUBLIC HOUSE</w:t>
            </w:r>
          </w:p>
        </w:tc>
        <w:tc>
          <w:tcPr>
            <w:tcW w:w="1024"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614"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717"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PROPOSAL ON INGLIS DRIVE, RICHMOND</w:t>
            </w:r>
          </w:p>
        </w:tc>
        <w:tc>
          <w:tcPr>
            <w:tcW w:w="1024" w:type="dxa"/>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bl>
    <w:p>
      <w:pPr>
        <w:rPr>
          <w:rFonts w:ascii="arial" w:eastAsia="arial" w:hAnsi="arial" w:cs="arial"/>
          <w:sz w:val="20"/>
          <w:lang w:val="en-US" w:eastAsia="en-US" w:bidi="ar-SA"/>
        </w:rPr>
      </w:pP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We are in receipt of your letter dated July 15, 1994 confirming that the Airport Authority is prepared to grant the approval-in-principle for the above referenced project provided that other required authorizations and approvals are obtained. We acknowledge your support for the proposed facility, and thank you for your endeavour in assisting Tusar Architecture's application.</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For your information, pre-application meetings are proceeding with the Fraser River Estuary Management Program Committee, and the Liquor Control and Licensing Branch. We will provide YVRAA with the documentation from these meetings as soon as possible.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Thank you again.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This letter was circulated by Mr. Kandert to Mr. Bruno and others at the Airport Authority.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w:t>
      </w:r>
      <w:r>
        <w:rPr>
          <w:rFonts w:ascii="arial" w:eastAsia="arial" w:hAnsi="arial" w:cs="arial"/>
          <w:color w:val="000000"/>
          <w:sz w:val="20"/>
          <w:lang w:val="en-US" w:eastAsia="en-US" w:bidi="ar-SA"/>
        </w:rPr>
        <w:t>  Mr. Kandert says the Airport Authority never intended to enter into any agreement, make any commitment to lease, or bind the Airport Authority in any way at that time. The proposal had not yet reached the approval in principle stage. The Airport Authority simply intended to provide a "comfort letter", as requested, to facilitate the process of approvals and authorizations sought by the proponents from the various regulatory bodies. All the Airport Authority was prepared to do then was to consider granting approval in principle and to further explore the proposal.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w:t>
      </w:r>
      <w:r>
        <w:rPr>
          <w:rFonts w:ascii="arial" w:eastAsia="arial" w:hAnsi="arial" w:cs="arial"/>
          <w:color w:val="000000"/>
          <w:sz w:val="20"/>
          <w:lang w:val="en-US" w:eastAsia="en-US" w:bidi="ar-SA"/>
        </w:rPr>
        <w:t>  There were a number of contacts in August and September between Mr. Capistrano and the Technical Data Centre with respect to the FREMP approval process, setback requirements, and whether the City of Richmond or the Airport Authority had jurisdiction over the permit process.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w:t>
      </w:r>
      <w:r>
        <w:rPr>
          <w:rFonts w:ascii="arial" w:eastAsia="arial" w:hAnsi="arial" w:cs="arial"/>
          <w:color w:val="000000"/>
          <w:sz w:val="20"/>
          <w:lang w:val="en-US" w:eastAsia="en-US" w:bidi="ar-SA"/>
        </w:rPr>
        <w:t>  Mr. Paul's team finally filed their completed application for FREMP approval on August 18.</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34</w:t>
      </w:r>
      <w:r>
        <w:rPr>
          <w:rFonts w:ascii="arial" w:eastAsia="arial" w:hAnsi="arial" w:cs="arial"/>
          <w:color w:val="000000"/>
          <w:sz w:val="20"/>
          <w:lang w:val="en-US" w:eastAsia="en-US" w:bidi="ar-SA"/>
        </w:rPr>
        <w:t>  On September 15, Mr. Capistrano wrote to Mr. Kandert making the first of many requests to the Airport Authority to provide evidence of an interest in the site, by means of either an option to lease or a lease, in order to support an application for a liquor licence. Mr. Capistrano stated in his letter, in part: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2. Liquor Control and Licensing Branch are in receipt of a copy of your letter dated July 15, 1994 confirming that the Airport Authority is prepared to grant the approval-in-principle for the above referenced project provided that other required authorizations and approvals are obtained. The LCLB advised that a valid LEASE is required for our application or an option to lease, signed by both the applicant - Chris Paul and the property owner. We attach a copy of the "Document Checklist For A Complete Application" from the LCLB; please see to item 4.</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For your information.</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We request for an OPTION TO LEASE document for our LCLB application, with an eight-month term and a consideration/payment of $100.00. We trust that this meets your approval.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35</w:t>
      </w:r>
      <w:r>
        <w:rPr>
          <w:rFonts w:ascii="arial" w:eastAsia="arial" w:hAnsi="arial" w:cs="arial"/>
          <w:color w:val="000000"/>
          <w:sz w:val="20"/>
          <w:lang w:val="en-US" w:eastAsia="en-US" w:bidi="ar-SA"/>
        </w:rPr>
        <w:t>  As indicated, Mr. Paul and his team had divided the areas of responsibility and it fell to Mr. Paul to secure the liquor licence. Apparently, Mr. Paul had overlooked the requirement in Item 4 on the document checklist provided to him by the Liquor Control and Licensing Branch. Item 4 required a completed application to include: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Proof of a valid interest in the site proposed to be licensed, such as: Certificate of Title, or Offer or Option to Purchase land and building(s), or a valid Lease/Option to Lease (offer or option must show "consideration", have a term, an expiry date and be signed by the applicant and the property owner).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36</w:t>
      </w:r>
      <w:r>
        <w:rPr>
          <w:rFonts w:ascii="arial" w:eastAsia="arial" w:hAnsi="arial" w:cs="arial"/>
          <w:color w:val="000000"/>
          <w:sz w:val="20"/>
          <w:lang w:val="en-US" w:eastAsia="en-US" w:bidi="ar-SA"/>
        </w:rPr>
        <w:t>  The Airport Authority would not provide an option to lease or a lease despite numerous requests by the proponents. The second of the many requests came in a telephone call from Mr. Capistrano to Mr. Kandert on September 20. Mr. Capistrano relies on a discussion summary he made contemporaneously as he has no independent recollection of the conversation. His notes indicate that the Airport Authority would accept $1,000 in exchange for a standard option with an eight-month term. The accuracy of this note does not withstand cross-examination. Mr. Capistrano did not deny, but could not remember, that Mr. Kandert told him that he was getting ahead of himself and that an option agreement was premature. Further, Mr. Capistrano agreed that while Mr. Kandert mentioned $1,000 in the context of a fee for the liquor application, he could not remember whether Mr. Kandert mentioned $1,000 in the context of the cost of an option to lease. Mr. Kandert denies the conversation as described in Mr. Capistrano's notes. He recalls telling Mr. Capistrano that any discussion about an option to lease was premature. He also told him that the Airport Authority did not have a standard option document but one was being developed. He agreed that the Airport Authority would be amenable to an eight-month term for an option if the proposal received approval from the Airport Authority.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37</w:t>
      </w:r>
      <w:r>
        <w:rPr>
          <w:rFonts w:ascii="arial" w:eastAsia="arial" w:hAnsi="arial" w:cs="arial"/>
          <w:color w:val="000000"/>
          <w:sz w:val="20"/>
          <w:lang w:val="en-US" w:eastAsia="en-US" w:bidi="ar-SA"/>
        </w:rPr>
        <w:t>  On October 26, in a letter containing many exaggerations or misrepresentations, Mr. Tusar wrote to Mr. Kandert informing the Airport Authority that he and Mr. Paul had entered into a partnership agreement. However, while a partnership agreement had been drafted, the parties never signed it. As well, in September Mr. Paul had incorporated a company, S-8002 HOLDINGS LTD. (added as a plaintiff on the first day of trial), apparently with the intention of operating the business. At some point, Mr. Tusar was made a shareholder and secretary of this company, but it is entirely unclear when this occurred. The Register of Members reveals that Mr. Tusar became a 50% shareholder and secretary on September 22, 1994, but the director's resolution was not signed until December 12. The matter is further confused by the results of an on-line corporate search, updated to January 6, 2000, which indicates that as of the last annual report on September 19, 1997, Mr. Paul was the sole director and officer holding the positions of both president and secretary. At trial Mr. Tusar was surprised by this information.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38</w:t>
      </w:r>
      <w:r>
        <w:rPr>
          <w:rFonts w:ascii="arial" w:eastAsia="arial" w:hAnsi="arial" w:cs="arial"/>
          <w:color w:val="000000"/>
          <w:sz w:val="20"/>
          <w:lang w:val="en-US" w:eastAsia="en-US" w:bidi="ar-SA"/>
        </w:rPr>
        <w:t>  Also in the letter of October 26, Mr. Tusar requested an option to lease as follows: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last major approval that we are seeking is that of the LCLB. A dialogue has been established with them and the approval process is relatively straight forward even though lengthy. The LCLB acknowledges your original letter of commitment to lease the property to us but requires an actual option document. I understand there have been numerous discussions, correspondence and agreement between yourself, Chris Paul and Frank Capistrano regarding option to lease and the payment of $1000 to secure said option. This item is the only document missing from our application package.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We are prepared to submit to you the above agreed upon amount and hereby request your assistance in expediting and issuing the option document so that final approval for a liquor licence can be formalized.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39</w:t>
      </w:r>
      <w:r>
        <w:rPr>
          <w:rFonts w:ascii="arial" w:eastAsia="arial" w:hAnsi="arial" w:cs="arial"/>
          <w:color w:val="000000"/>
          <w:sz w:val="20"/>
          <w:lang w:val="en-US" w:eastAsia="en-US" w:bidi="ar-SA"/>
        </w:rPr>
        <w:t>  Mr. Kandert responded to Mr. Tusar's letter on November 3:</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6"/>
        <w:gridCol w:w="521"/>
        <w:gridCol w:w="240"/>
        <w:gridCol w:w="8027"/>
        <w:gridCol w:w="104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RE:</w:t>
            </w:r>
          </w:p>
        </w:tc>
        <w:tc>
          <w:tcPr>
            <w:tcW w:w="205"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SPORTS GRILLE/NEIGHBOURHOOD PUBLIC HOUSE ON INGLIS DRIVE</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Thank you for your letter of October 26, 1994 regarding the above proposal.</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We are pleased to note your firm's involvement in this development proposal and view this as a substantial benefit, as is the pending approval from FREMP and the North Fraser Harbour Commission (NFHC). However, before we could entertain your request for a formal option agreement, we will require the following additional information:</w:t>
      </w:r>
    </w:p>
    <w:p>
      <w:pPr>
        <w:numPr>
          <w:numId w:val="5"/>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 names and backgrounds of all principals involved including an outline of their related experience (during our telecon of October 26, 1994 you indicated a third party was involved)</w:t>
      </w:r>
    </w:p>
    <w:p>
      <w:pPr>
        <w:numPr>
          <w:numId w:val="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details of the proposed ownership structure (i.e. partnership, limited company, etc.)</w:t>
      </w:r>
    </w:p>
    <w:p>
      <w:pPr>
        <w:numPr>
          <w:numId w:val="7"/>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detailed business plan including proforma financial statements</w:t>
      </w:r>
    </w:p>
    <w:p>
      <w:pPr>
        <w:numPr>
          <w:numId w:val="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details regarding sources of financing, loan amount, rate, term, etc.</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We look forward to receiving the additional information and any progress updates regarding your dealings with FREMP and NFHC.</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40</w:t>
      </w:r>
      <w:r>
        <w:rPr>
          <w:rFonts w:ascii="arial" w:eastAsia="arial" w:hAnsi="arial" w:cs="arial"/>
          <w:color w:val="000000"/>
          <w:sz w:val="20"/>
          <w:lang w:val="en-US" w:eastAsia="en-US" w:bidi="ar-SA"/>
        </w:rPr>
        <w:t>  Only some of the requested information was ever provided to the Airport Authority, and not until December 9, the date the Airport Authority informed the proponents that they would no longer consider the proposal.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41</w:t>
      </w:r>
      <w:r>
        <w:rPr>
          <w:rFonts w:ascii="arial" w:eastAsia="arial" w:hAnsi="arial" w:cs="arial"/>
          <w:color w:val="000000"/>
          <w:sz w:val="20"/>
          <w:lang w:val="en-US" w:eastAsia="en-US" w:bidi="ar-SA"/>
        </w:rPr>
        <w:t>  There was a delay in receiving FREMP approval, in part due to an apparent difficulty in trying to sort out with the Airport Authority who had jurisdiction over the permit process. This issue related to where the proposed building was to be situated -- whether primarily on the land or over the water. Mr. Tusar was adamant that the Airport Authority had the jurisdiction to issue the required permits and complained that the City of Richmond was only interested in collecting huge fees.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42</w:t>
      </w:r>
      <w:r>
        <w:rPr>
          <w:rFonts w:ascii="arial" w:eastAsia="arial" w:hAnsi="arial" w:cs="arial"/>
          <w:color w:val="000000"/>
          <w:sz w:val="20"/>
          <w:lang w:val="en-US" w:eastAsia="en-US" w:bidi="ar-SA"/>
        </w:rPr>
        <w:t>  Historically, the City of Richmond had permit jurisdiction over water leases and the Airport Authority had jurisdiction over land leases. It seems the parties did not know that at the end of November the Airport Authority and Richmond had signed an Accord concerning the permit process.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43</w:t>
      </w:r>
      <w:r>
        <w:rPr>
          <w:rFonts w:ascii="arial" w:eastAsia="arial" w:hAnsi="arial" w:cs="arial"/>
          <w:color w:val="000000"/>
          <w:sz w:val="20"/>
          <w:lang w:val="en-US" w:eastAsia="en-US" w:bidi="ar-SA"/>
        </w:rPr>
        <w:t>  To further confuse the issue, Mr. Capistrano wrote to Mr. Kandert on November 22, indicating that the proposed building would be positioned primarily on the land. It is unclear whether detailed site plans ever existed. It is unclear whether anyone at the Airport Authority saw or approved detailed site plans showing the position of the building, taking into account the required setback of 50 feet from the centre of Inglis Drive. In fact, in late November there was communication within the Airport Authority between Mr. Kandert and Gary McClure expressing concern about the proposed siting, the related setback requirements, and compliance with commercial land development guidelines that were being developed.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44</w:t>
      </w:r>
      <w:r>
        <w:rPr>
          <w:rFonts w:ascii="arial" w:eastAsia="arial" w:hAnsi="arial" w:cs="arial"/>
          <w:color w:val="000000"/>
          <w:sz w:val="20"/>
          <w:lang w:val="en-US" w:eastAsia="en-US" w:bidi="ar-SA"/>
        </w:rPr>
        <w:t>  FREMP approval was given on November 30 and verbally communicated on December 2 to Mr. Capistrano by George Colquhoun from the Harbour Commission. Although Mr. Colquhoun's usual practice was to immediately send a package containing written confirmation, this package was not sent until December 9, following a request from Mr. Capistrano. Mr. Colquhoun's evidence was that it was "very unusual" that the approval notification was not sent out immediately following the November 30 meeting. Mr. Capistrano recorded in a discussion summary that Mr. Colquhoun told him that Mr. Kandert asked him not to send the package "apparently because an agreement had been reached between the Airport and Richmond". Both Mr. Colquhoun and Mr. Kandert deny telling Mr. Capistrano anything of the sort. I accept their denials and conclude that the discussion summary is inaccurate.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45</w:t>
      </w:r>
      <w:r>
        <w:rPr>
          <w:rFonts w:ascii="arial" w:eastAsia="arial" w:hAnsi="arial" w:cs="arial"/>
          <w:color w:val="000000"/>
          <w:sz w:val="20"/>
          <w:lang w:val="en-US" w:eastAsia="en-US" w:bidi="ar-SA"/>
        </w:rPr>
        <w:t>  It was the impression of Mr. Paul and his team that there was a change in attitude at the Airport Authority in the fall of 1994, just as they seemed close to securing the necessary regulatory approvals. In their view, the Airport Authority seemed less enthusiastic, less supportive, less available, and less co-operative. At this time, unknown to Mr. Paul and his team, the Airport Authority and Harbour Air were engaged in serious negotiations concerning a land lease for the proposed replacement of the Harbour Air terminal on the adjacent site.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46</w:t>
      </w:r>
      <w:r>
        <w:rPr>
          <w:rFonts w:ascii="arial" w:eastAsia="arial" w:hAnsi="arial" w:cs="arial"/>
          <w:color w:val="000000"/>
          <w:sz w:val="20"/>
          <w:lang w:val="en-US" w:eastAsia="en-US" w:bidi="ar-SA"/>
        </w:rPr>
        <w:t>  Harbour Air and Mr. Kandert entered into lease negotiations in September 1994 at the same time Mr. Capistrano and Mr. Tusar were pressing Mr. Kandert for a lease or option and Mr. Colquhoun was seeking clarification about the jurisdiction of the permit process. Mr. Paul's proposal was seemingly stalled.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47</w:t>
      </w:r>
      <w:r>
        <w:rPr>
          <w:rFonts w:ascii="arial" w:eastAsia="arial" w:hAnsi="arial" w:cs="arial"/>
          <w:color w:val="000000"/>
          <w:sz w:val="20"/>
          <w:lang w:val="en-US" w:eastAsia="en-US" w:bidi="ar-SA"/>
        </w:rPr>
        <w:t>  An internal Airport Authority e-mail dated October 20 announced the intention of Harbour Air to construct a new terminal, the same date Mr. McDougall, on behalf of Harbour Air, signed an application for a Class "D" neighbourhood pub licence, after seven years of proceeding on the basis of a Class "A" licence. This application was not filed with the Liquor Control and Licensing Branch until December 9. There is no evidence that this application was motivated by knowledge of Mr. Paul's proposal. To the contrary, the evidence supports a conclusion the application was motivated by Harbour Air's desire to restrict competition from a similar establishment because the Airport Authority refused to provide Harbour Air with a non-competition clause.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48</w:t>
      </w:r>
      <w:r>
        <w:rPr>
          <w:rFonts w:ascii="arial" w:eastAsia="arial" w:hAnsi="arial" w:cs="arial"/>
          <w:color w:val="000000"/>
          <w:sz w:val="20"/>
          <w:lang w:val="en-US" w:eastAsia="en-US" w:bidi="ar-SA"/>
        </w:rPr>
        <w:t>  The Airport Authority was aware by at least early February 1994 that Harbour Air had finalized plans to proceed with the construction of their new facility. Information about Harbour Air's planned expansion was not withheld from Mr. Paul and his team, although the details were not revealed. On October 28, Mr. Kandert called both the Harbour Commission and the Liquor Branch to inquire of the status of the applications of both Mr. Paul and Harbour Air. I can draw no inferences of impropriety from this evidence as urged by counsel for Mr. Paul.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49</w:t>
      </w:r>
      <w:r>
        <w:rPr>
          <w:rFonts w:ascii="arial" w:eastAsia="arial" w:hAnsi="arial" w:cs="arial"/>
          <w:color w:val="000000"/>
          <w:sz w:val="20"/>
          <w:lang w:val="en-US" w:eastAsia="en-US" w:bidi="ar-SA"/>
        </w:rPr>
        <w:t>  On more than one occasion, including at the March/April meeting, Mr. Kandert raised the fact of Harbour Air's planned expansion and questioned the economic viability of two similar proposals. His concerns were deflected by the proponents' expressed lack of concern. In addition, Mr. Paul became aware that Harbour Air had a Class "A" liquor licence as a result of his research into obtaining the Class "D" liquor licence. He believed Harbour Air's liquor licence was for a passenger lounge only and he believed it was due to lapse because of inactivity. He claims he asked Mr. Kandert about the licence and Mr. Kandert said he knew nothing about it. Mr. Paul believed his concept was entirely different from Harbour Air's planned expansion, but he took no steps to confirm his belief.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50</w:t>
      </w:r>
      <w:r>
        <w:rPr>
          <w:rFonts w:ascii="arial" w:eastAsia="arial" w:hAnsi="arial" w:cs="arial"/>
          <w:color w:val="000000"/>
          <w:sz w:val="20"/>
          <w:lang w:val="en-US" w:eastAsia="en-US" w:bidi="ar-SA"/>
        </w:rPr>
        <w:t>  Harbour Air's proposed facility bore an uncanny resemblance to the establishment envisioned by Mr. Paul. Later, Mr. Paul would believe, perhaps fueled by accusations made by Mr. Tusar to Mr. Kandert, that the Airport Authority divulged confidential information about his concept to Harbour Air.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51</w:t>
      </w:r>
      <w:r>
        <w:rPr>
          <w:rFonts w:ascii="arial" w:eastAsia="arial" w:hAnsi="arial" w:cs="arial"/>
          <w:color w:val="000000"/>
          <w:sz w:val="20"/>
          <w:lang w:val="en-US" w:eastAsia="en-US" w:bidi="ar-SA"/>
        </w:rPr>
        <w:t>  Apparently unbeknownst to Mr. Paul and his team, in 1989 Harbour Air had proposed an expansion to build a restaurant/pub, to accommodate 125 patrons, to serve Harbour Air's customers as well as others from the Airport and surrounding community. Harbour Air, an aviation-related facility and a long-standing tenant of the Airport Authority, had been engaged in a lengthy planning process over many years to replace its dilapidated terminal. Harbour Air's planned expansion had been fodder for the airport rumor mill intermittently for many years. In 1992, when Harbour Air applied for the liquor licence, it was required to advertise in a newspaper and to place prominent signage on its site, inviting participation by the public. The project proceeded in fits and starts and seven years had passed without alteration to the site. It had taken approximately three years and a number of appeals to secure the Class "A" liquor licence. There had been a number of extensions to the liquor licence, which was about to lapse, unless Harbour Air provided solid evidence of an intention to proceed. In a letter to the Airport Authority on February 9, 1994, Harbour Air informed Ms. Lloyd that it expected the expansion of its facility into a destination restaurant/pub to be completed in 1995.</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52</w:t>
      </w:r>
      <w:r>
        <w:rPr>
          <w:rFonts w:ascii="arial" w:eastAsia="arial" w:hAnsi="arial" w:cs="arial"/>
          <w:color w:val="000000"/>
          <w:sz w:val="20"/>
          <w:lang w:val="en-US" w:eastAsia="en-US" w:bidi="ar-SA"/>
        </w:rPr>
        <w:t>  It had taken years to put in place all the necessary regulatory approvals and permits until finally Harbour Air was ready to commence the demolition of the existing facility in November 1994.</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53</w:t>
      </w:r>
      <w:r>
        <w:rPr>
          <w:rFonts w:ascii="arial" w:eastAsia="arial" w:hAnsi="arial" w:cs="arial"/>
          <w:color w:val="000000"/>
          <w:sz w:val="20"/>
          <w:lang w:val="en-US" w:eastAsia="en-US" w:bidi="ar-SA"/>
        </w:rPr>
        <w:t>  About the same time, there was a change in management at the Airport Authority. On December 5 or 6, Mr. Kandert met with his new boss to apprise him of the two proposals. At this meeting between Mr. Kandert and Mr. Lancaster the status of the Paul proposal was discussed. A number of issues were raised, including ongoing airport plans and initiatives, and whether two similar proposals would be successful. I accept that these were bona fide considerations by the Airport Authority in determining whether it made good business sense to continue to explore the Paul proposal.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54</w:t>
      </w:r>
      <w:r>
        <w:rPr>
          <w:rFonts w:ascii="arial" w:eastAsia="arial" w:hAnsi="arial" w:cs="arial"/>
          <w:color w:val="000000"/>
          <w:sz w:val="20"/>
          <w:lang w:val="en-US" w:eastAsia="en-US" w:bidi="ar-SA"/>
        </w:rPr>
        <w:t>  On December 8, Mr. Paul read in the Airport News about Harbour Air's planned expansion, which included a "full-sized 'Keg-style' kitchen". He immediately sounded the alarm, contacting Mr. Tusar. Also on December 8, Mr. Lancaster instructed Mr. Kandert to inform Mr. Paul's team that the Airport Authority would no longer support the Paul proposal having regard to evolving plans and long range planning objectives.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55</w:t>
      </w:r>
      <w:r>
        <w:rPr>
          <w:rFonts w:ascii="arial" w:eastAsia="arial" w:hAnsi="arial" w:cs="arial"/>
          <w:color w:val="000000"/>
          <w:sz w:val="20"/>
          <w:lang w:val="en-US" w:eastAsia="en-US" w:bidi="ar-SA"/>
        </w:rPr>
        <w:t>  At the request of Mr. Lancaster, Mr. Kandert drafted a letter (which was never sent) and then spoke to Mr. Tusar on December 9, so as not to "blindside" him with a letter. He informed Mr. Tusar that the Airport Authority was in the process of updating the Master Plan, which would examine long-term needs and the development of options and service concepts, and that it was not in their interests to pursue the proposal further at the time. Mr. Tusar was "extremely agitated" and accused Mr. Kandert of bowing to political pressure from Harbour Air. He was assured this was not the case and Mr. Kandert, in his words, "rationalized" the decision on the basis of "planning initiatives".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56</w:t>
      </w:r>
      <w:r>
        <w:rPr>
          <w:rFonts w:ascii="arial" w:eastAsia="arial" w:hAnsi="arial" w:cs="arial"/>
          <w:color w:val="000000"/>
          <w:sz w:val="20"/>
          <w:lang w:val="en-US" w:eastAsia="en-US" w:bidi="ar-SA"/>
        </w:rPr>
        <w:t>  December 9 saw a flurry of activity on behalf of Mr. Paul and his team. Mr. Tusar cobbled together the long-requested business plan omitting to disclose the source of funding, the name of the potential investor, or to enclose pro forma financial statements and Mr. Tusar's personal financial statements. The application for the liquor licence, which was incomplete, due to the absence of evidence of an interest in the site, was filed late in the afternoon of December 9. Mr. Capistrano sent Mr. Kandert a letter dated December 9, but obviously written on December 12, requesting a lease or option to lease in order to complete the application for a liquor licence.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57</w:t>
      </w:r>
      <w:r>
        <w:rPr>
          <w:rFonts w:ascii="arial" w:eastAsia="arial" w:hAnsi="arial" w:cs="arial"/>
          <w:color w:val="000000"/>
          <w:sz w:val="20"/>
          <w:lang w:val="en-US" w:eastAsia="en-US" w:bidi="ar-SA"/>
        </w:rPr>
        <w:t>  On December 14, Mr. Tusar spoke to Tony Gugliotta, Mr. Kandert's immediate superior. According to a note made by Mr. Tusar, which he described as an "interpolation" of what was said by Mr. Gugliotta, the proposal was no longer supported due to the developing Master Plan, a near agreement with Richmond concerning permits and jurisdiction and the development of a jogging path system. Mr. Tusar expressed concern that Harbour Air was being allowed to proceed while the Paul proposal was being stalled. He wanted to know how Harbour Air's proposal had recently gone from a coffee shop/cafeteria operation with a Class "A" liquor licence to a full-blown "Keg-style" operation. He demanded to know who had been feeding Harbour Air their ideas and actions.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58</w:t>
      </w:r>
      <w:r>
        <w:rPr>
          <w:rFonts w:ascii="arial" w:eastAsia="arial" w:hAnsi="arial" w:cs="arial"/>
          <w:color w:val="000000"/>
          <w:sz w:val="20"/>
          <w:lang w:val="en-US" w:eastAsia="en-US" w:bidi="ar-SA"/>
        </w:rPr>
        <w:t>  On January 9, 1995 Mr. Lancaster wrote to Mr. Tusar setting out in detail why the Airport Authority had decided not to further pursue the Paul proposal then. He justified the decision on the basis of an incomplete planning process; a process which included a series of initiatives involving participation from the public and the City of Richmond. This included an Airport Master Plan and related Land Use Plan, a Sea Island Parks and Recreation Plan, an Airport South Master Plan, and a Transportation Plan.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Breach of Contract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59</w:t>
      </w:r>
      <w:r>
        <w:rPr>
          <w:rFonts w:ascii="arial" w:eastAsia="arial" w:hAnsi="arial" w:cs="arial"/>
          <w:color w:val="000000"/>
          <w:sz w:val="20"/>
          <w:lang w:val="en-US" w:eastAsia="en-US" w:bidi="ar-SA"/>
        </w:rPr>
        <w:t>  Is the July 15 letter a binding contract?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60</w:t>
      </w:r>
      <w:r>
        <w:rPr>
          <w:rFonts w:ascii="arial" w:eastAsia="arial" w:hAnsi="arial" w:cs="arial"/>
          <w:color w:val="000000"/>
          <w:sz w:val="20"/>
          <w:lang w:val="en-US" w:eastAsia="en-US" w:bidi="ar-SA"/>
        </w:rPr>
        <w:t>  Both parties agree that the surrounding circumstances and the conduct of the parties must be examined for any evidence of a mutual intention to create a legal relationship.</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61</w:t>
      </w:r>
      <w:r>
        <w:rPr>
          <w:rFonts w:ascii="arial" w:eastAsia="arial" w:hAnsi="arial" w:cs="arial"/>
          <w:color w:val="000000"/>
          <w:sz w:val="20"/>
          <w:lang w:val="en-US" w:eastAsia="en-US" w:bidi="ar-SA"/>
        </w:rPr>
        <w:t>  Mr. Paul argues that the July 15 letter represents a binding contract to lease. It is the position of Mr. Paul that he had an agreement that upon obtaining the two regulatory approvals, he would be entitled to a lease. Counsel on behalf of Mr. Paul urges the Court, in the event of any uncertainty, to imply terms to give effect to the parties' intentions. Further, it is argued that the contract has been frustrated by the failure of the Airport Authority to provide an interest in the site, which rendered fulfilment of the condition precedent impossible and resulted in an anticipatory breach of the contract. It is argued that this Catch-22 situation was created because, without a liquor licence, the Airport Authority would not provide a lease or an option; without a lease or an option, a liquor licence was not available.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62</w:t>
      </w:r>
      <w:r>
        <w:rPr>
          <w:rFonts w:ascii="arial" w:eastAsia="arial" w:hAnsi="arial" w:cs="arial"/>
          <w:color w:val="000000"/>
          <w:sz w:val="20"/>
          <w:lang w:val="en-US" w:eastAsia="en-US" w:bidi="ar-SA"/>
        </w:rPr>
        <w:t>  On behalf of the Airport Authority, it is submitted that the letter of July 15 was merely a "comfort letter", offered to facilitate regulatory approvals. Counsel for the Airport Authority argues that Mr. Paul must first establish a contract before the effect of a condition precedent, frustration or anticipatory breach is considered. Counsel argues that, if anything, a mutual mistake was caused by Mr. Paul's lack of due diligence in ascertaining that a lease or an option was required for his liquor licence application. I agree with the position advanced by counsel for the Airport Authority.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63</w:t>
      </w:r>
      <w:r>
        <w:rPr>
          <w:rFonts w:ascii="arial" w:eastAsia="arial" w:hAnsi="arial" w:cs="arial"/>
          <w:color w:val="000000"/>
          <w:sz w:val="20"/>
          <w:lang w:val="en-US" w:eastAsia="en-US" w:bidi="ar-SA"/>
        </w:rPr>
        <w:t>  An examination of the conduct of the parties before and after the July 15 letter is illuminating. The starting point is the March/April meeting when Mr. Kandert informed Mr. Paul and his team that the Airport Authority was prepared to explore the concept. The proponents were told that regulatory approvals were required, along with detailed site plans, a business plan and financial information before the granting of approval in principle. Mr. Paul and his team knew that the Airport Authority approval process was a chain of connected events; each link in the chain had to be in place before the Airport Authority would consider granting a lease. The parties had not reached this stage by July 15.</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64</w:t>
      </w:r>
      <w:r>
        <w:rPr>
          <w:rFonts w:ascii="arial" w:eastAsia="arial" w:hAnsi="arial" w:cs="arial"/>
          <w:color w:val="000000"/>
          <w:sz w:val="20"/>
          <w:lang w:val="en-US" w:eastAsia="en-US" w:bidi="ar-SA"/>
        </w:rPr>
        <w:t>  The July 15 letter was written pursuant to a specific request for a "comfort letter" to show the regulatory agencies that the Airport Authority had knowledge of the proposal and supported the concept. Prior to July 15, no request was made for a lease or option, no offer was made for a lease or option, and there was no discussion about specific lease terms. In fact, from the March/April meeting to July 15, there was almost no contact between Mr. Paul and his team and the Airport Authority.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65</w:t>
      </w:r>
      <w:r>
        <w:rPr>
          <w:rFonts w:ascii="arial" w:eastAsia="arial" w:hAnsi="arial" w:cs="arial"/>
          <w:color w:val="000000"/>
          <w:sz w:val="20"/>
          <w:lang w:val="en-US" w:eastAsia="en-US" w:bidi="ar-SA"/>
        </w:rPr>
        <w:t>  Following the July 15 letter, the conduct of the parties demonstrated a lack of mutual intention to create legal relations. In fact, just the opposite is revealed as Mr. Paul sought to acquire legal rights over a number of months, beginning about September 15, when Mr. Tusar and Mr. Capistrano first unsuccessfully requested an option and then offered to pay $100 for the option for an eight-month term. There is no evidence to suggest they challenged the Airport Authority when they were told on September 20 that talk of a lease or an option was premature. Nor did they at any time tender consideration or an agreement. At no time did the parties conduct themselves as if they had a legal and binding agreement.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66</w:t>
      </w:r>
      <w:r>
        <w:rPr>
          <w:rFonts w:ascii="arial" w:eastAsia="arial" w:hAnsi="arial" w:cs="arial"/>
          <w:color w:val="000000"/>
          <w:sz w:val="20"/>
          <w:lang w:val="en-US" w:eastAsia="en-US" w:bidi="ar-SA"/>
        </w:rPr>
        <w:t>  Finally, I can draw no inferences about a mutual intention to create legal relations from a meeting between Mr. Kandert, Mr. Tusar and Mr. Paul some time in 1995 when, according to Mr. Tusar and Mr. Paul, Mr. Kandert appeared "uncomfortable" discussing the failed proposal and raised the possibility of another project.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67</w:t>
      </w:r>
      <w:r>
        <w:rPr>
          <w:rFonts w:ascii="arial" w:eastAsia="arial" w:hAnsi="arial" w:cs="arial"/>
          <w:color w:val="000000"/>
          <w:sz w:val="20"/>
          <w:lang w:val="en-US" w:eastAsia="en-US" w:bidi="ar-SA"/>
        </w:rPr>
        <w:t>  I agree with the submission of the Airport Authority that it is unrealistic to conclude that the parties intended or believed at this early stage that there was a commitment to lease the site. From a business perspective, the Airport Authority possessed insufficient information at this stage. There were no proper site plans, no business plan, and no knowledge of the financial means or even certain knowledge of the identity of the proponents. The purpose of the July 15 letter was spelled out clearly in the last lines: "We trust the foregoing will meet your requirements and enable you to proceed with making the other arrangements."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68</w:t>
      </w:r>
      <w:r>
        <w:rPr>
          <w:rFonts w:ascii="arial" w:eastAsia="arial" w:hAnsi="arial" w:cs="arial"/>
          <w:color w:val="000000"/>
          <w:sz w:val="20"/>
          <w:lang w:val="en-US" w:eastAsia="en-US" w:bidi="ar-SA"/>
        </w:rPr>
        <w:t>  I conclude that the letter of July 15 is not a contract for many reasons:</w:t>
      </w:r>
      <w:r>
        <w:rPr>
          <w:rFonts w:ascii="arial" w:eastAsia="arial" w:hAnsi="arial" w:cs="arial"/>
          <w:sz w:val="20"/>
          <w:lang w:val="en-US" w:eastAsia="en-US" w:bidi="ar-SA"/>
        </w:rPr>
        <w:cr/>
      </w:r>
    </w:p>
    <w:p>
      <w:pPr>
        <w:numPr>
          <w:numId w:val="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there was no mutual intention to create a contractual relationship;</w:t>
      </w:r>
    </w:p>
    <w:p>
      <w:pPr>
        <w:numPr>
          <w:numId w:val="1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there was no "acceptance", by countersigning the letter or otherwise;</w:t>
      </w:r>
    </w:p>
    <w:p>
      <w:pPr>
        <w:numPr>
          <w:numId w:val="1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there was no consideration from Mr. Paul to the Airport Authority;</w:t>
      </w:r>
    </w:p>
    <w:p>
      <w:pPr>
        <w:numPr>
          <w:numId w:val="1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suggested lease terms were uncertain as to length, and rates and there was no mechanism in place to negotiate terms at a later date;</w:t>
      </w:r>
    </w:p>
    <w:p>
      <w:pPr>
        <w:numPr>
          <w:numId w:val="1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parties were not sufficiently identified, and in any event changed from Mr. Paul alone on July 15 to include the numbered company and a partnership with Mr. Tusar in September and October, without any assignment of rights; and</w:t>
      </w:r>
    </w:p>
    <w:p>
      <w:pPr>
        <w:numPr>
          <w:numId w:val="1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land to be leased was insufficiently identified.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69</w:t>
      </w:r>
      <w:r>
        <w:rPr>
          <w:rFonts w:ascii="arial" w:eastAsia="arial" w:hAnsi="arial" w:cs="arial"/>
          <w:color w:val="000000"/>
          <w:sz w:val="20"/>
          <w:lang w:val="en-US" w:eastAsia="en-US" w:bidi="ar-SA"/>
        </w:rPr>
        <w:t>  At best, the July 15 letter is an agreement to agree, but not a contract.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Equitable Estoppel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70</w:t>
      </w:r>
      <w:r>
        <w:rPr>
          <w:rFonts w:ascii="arial" w:eastAsia="arial" w:hAnsi="arial" w:cs="arial"/>
          <w:color w:val="000000"/>
          <w:sz w:val="20"/>
          <w:lang w:val="en-US" w:eastAsia="en-US" w:bidi="ar-SA"/>
        </w:rPr>
        <w:t xml:space="preserve">  Counsel for Mr. Paul relies on no less than 17 different cases in support of the alternative position that equitable estoppel gives rise to a cause of action and damages in this case. In particular, counsel relies on Zelmer et al. v. Victor Projects Ltd. et al. </w:t>
      </w:r>
      <w:hyperlink r:id="rId1089" w:history="1">
        <w:r>
          <w:rPr>
            <w:rFonts w:ascii="arial" w:eastAsia="arial" w:hAnsi="arial" w:cs="arial"/>
            <w:i/>
            <w:color w:val="0077CC"/>
            <w:sz w:val="20"/>
            <w:u w:val="single"/>
            <w:shd w:val="clear" w:color="auto" w:fill="FFFFFF"/>
            <w:lang w:val="en-US" w:eastAsia="en-US" w:bidi="ar-SA"/>
          </w:rPr>
          <w:t>(1997), 147 D.L.R. (4th) 216</w:t>
        </w:r>
      </w:hyperlink>
      <w:r>
        <w:rPr>
          <w:rFonts w:ascii="arial" w:eastAsia="arial" w:hAnsi="arial" w:cs="arial"/>
          <w:color w:val="000000"/>
          <w:sz w:val="20"/>
          <w:lang w:val="en-US" w:eastAsia="en-US" w:bidi="ar-SA"/>
        </w:rPr>
        <w:t xml:space="preserve"> (B.C.C.A.) for the proposition that proprietary estoppel can found a cause of action. Counsel cites a number of cases dealing with promissory estoppel, estoppel by representation and other forms of estoppel. These cases enunciate a variety of conflicting principles, tests, and uses.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71</w:t>
      </w:r>
      <w:r>
        <w:rPr>
          <w:rFonts w:ascii="arial" w:eastAsia="arial" w:hAnsi="arial" w:cs="arial"/>
          <w:color w:val="000000"/>
          <w:sz w:val="20"/>
          <w:lang w:val="en-US" w:eastAsia="en-US" w:bidi="ar-SA"/>
        </w:rPr>
        <w:t>  The distinction between various types of estoppel is discussed by J.E. Martin, Hanbury &amp; Martin - Modern Equity, 14th ed. (London: Sweet &amp; Maxwell, 1993) at p. 877:</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There are many different types of estoppel at law and in equity. We are concerned with three of these, each having a separate origin and history. The Australian courts have recently asserted that distinctions should not be drawn between the various categories of estoppel, nor between their common law or equitable origin. As the following account will reveal, the courts in this country have not yet reached this conclusion, although there have been dicta to the effect that it is undesirable to distinguish between types of estoppel. If this view prevails, the existing differences (such as whether the type of estoppel operates as a sword or shield) will have to be modified in order to achieve a coherent unified doctrine.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72</w:t>
      </w:r>
      <w:r>
        <w:rPr>
          <w:rFonts w:ascii="arial" w:eastAsia="arial" w:hAnsi="arial" w:cs="arial"/>
          <w:color w:val="000000"/>
          <w:sz w:val="20"/>
          <w:lang w:val="en-US" w:eastAsia="en-US" w:bidi="ar-SA"/>
        </w:rPr>
        <w:t>  Many of the cases relied upon by Mr. Paul discourage the distinction between various forms of estoppel: Waltons Stores (Interstate) Ltd. v. Maher (1988), 164 C.L.R. 387 (Aust.H.C.); Crabb v. Arun District Council,[1975] 3 All E.R. 865 (C.A.); Amalgamated Investment v. Texas Commerce, [1981] 3 All E.R. 577 (C.A.); J. T. Developments Ltd. v. Quinn (1991), 62 P. &amp; C.R. 33 (C.A.). These cases are not persuasive on this issue, as it appears from Zelmer that our Court of Appeal continues to distinguish between the various forms of estoppel.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73</w:t>
      </w:r>
      <w:r>
        <w:rPr>
          <w:rFonts w:ascii="arial" w:eastAsia="arial" w:hAnsi="arial" w:cs="arial"/>
          <w:color w:val="000000"/>
          <w:sz w:val="20"/>
          <w:lang w:val="en-US" w:eastAsia="en-US" w:bidi="ar-SA"/>
        </w:rPr>
        <w:t>  I find it necessary to analyze the various forms of estoppel to determine the applicability of each to this case.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74</w:t>
      </w:r>
      <w:r>
        <w:rPr>
          <w:rFonts w:ascii="arial" w:eastAsia="arial" w:hAnsi="arial" w:cs="arial"/>
          <w:color w:val="000000"/>
          <w:sz w:val="20"/>
          <w:lang w:val="en-US" w:eastAsia="en-US" w:bidi="ar-SA"/>
        </w:rPr>
        <w:t>  Hanbury &amp; Martin - Modern Equity, supra at pp 878 - 881, is a useful guide in differentiating between the various forms of estoppel and the use of each:</w:t>
      </w:r>
      <w:r>
        <w:rPr>
          <w:rFonts w:ascii="arial" w:eastAsia="arial" w:hAnsi="arial" w:cs="arial"/>
          <w:sz w:val="20"/>
          <w:lang w:val="en-US" w:eastAsia="en-US" w:bidi="ar-SA"/>
        </w:rPr>
        <w:cr/>
      </w:r>
    </w:p>
    <w:p>
      <w:pPr>
        <w:numPr>
          <w:numId w:val="15"/>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b/>
          <w:color w:val="000000"/>
          <w:sz w:val="20"/>
          <w:lang w:val="en-US" w:eastAsia="en-US" w:bidi="ar-SA"/>
        </w:rPr>
        <w:t>(i) Estoppel by Representation.</w:t>
      </w:r>
      <w:r>
        <w:rPr>
          <w:rFonts w:ascii="arial" w:eastAsia="arial" w:hAnsi="arial" w:cs="arial"/>
          <w:color w:val="000000"/>
          <w:sz w:val="20"/>
          <w:lang w:val="en-US" w:eastAsia="en-US" w:bidi="ar-SA"/>
        </w:rPr>
        <w:t xml:space="preserve"> Estoppel Estoppel by representation operates over a wide field of common law and equity. The basic principle is that a person who makes an unambiguous representation, by words, or conduct, or by silence, of an existing fact, and causes another party to act to his detriment in reliance on the representation will not be permitted subsequently to act inconsistently with that representation. ... Apart from a few long-established exceptions, such an estoppel works negatively. It is not capable of creating a cause of action. It works like a rule of evidence, a rule which excludes a particular defence or line of argument...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This is not to say that estoppel is available only to a defendant. A plaintiff may take advantage of the doctrine if he has an independent cause of action, and can show that the defence is inconsistent with a representation of the defendant on which he relies. ...</w:t>
      </w:r>
    </w:p>
    <w:p>
      <w:pPr>
        <w:numPr>
          <w:numId w:val="16"/>
        </w:numPr>
        <w:spacing w:before="120"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(ii) Promissory Estoppel.</w:t>
      </w:r>
      <w:r>
        <w:rPr>
          <w:rFonts w:ascii="arial" w:eastAsia="arial" w:hAnsi="arial" w:cs="arial"/>
          <w:color w:val="000000"/>
          <w:sz w:val="20"/>
          <w:lang w:val="en-US" w:eastAsia="en-US" w:bidi="ar-SA"/>
        </w:rPr>
        <w:t xml:space="preserve"> The doctrine is expanded in equity, so as to include not only representations of fact, but also representations of intention; or promises. The doctrine came into prominence with the decision of Denning J. in Central London Property Trust Ltd. v. High Trees Ltd. in 1947, and became firmly established in later cases.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Where, by words or conduct, a person makes an unambiguous representation as to his future conduct, intending the representation to be relied on, and to affect the legal relations between the parties, and the representee alters his position in reliance on it, the representor will be unable to act inconsistently with the representation if by so doing the representee would be prejudiced.</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But, consistently with estoppel by representation, promissory estoppel does not create a cause of action; it operates to give a negative protection. It is a shield and not a sword.</w:t>
      </w:r>
    </w:p>
    <w:p>
      <w:pPr>
        <w:spacing w:before="120"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(iii) Proprietary Estoppel.</w:t>
      </w:r>
      <w:r>
        <w:rPr>
          <w:rFonts w:ascii="arial" w:eastAsia="arial" w:hAnsi="arial" w:cs="arial"/>
          <w:color w:val="000000"/>
          <w:sz w:val="20"/>
          <w:lang w:val="en-US" w:eastAsia="en-US" w:bidi="ar-SA"/>
        </w:rPr>
        <w:t xml:space="preserve"> Distinct from the types of estoppel by representation previously explained is estoppel by encouragement or by acquiescence. This doctrine is applicable where one party knowingly encourages another to act, or acquiesces in the other's actions, to his detriment and in infringement of the first party's rights. He will be unable to complain later about the infringement, and may indeed be required to make good the expectation which he encouraged in the other party. Unlike other estoppels, therefore, this doctrine may, in some circumstances, create a claim, and an entitlement to positive proprietary rights. ...</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9410"/>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9216"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(Emphasis added.)</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75</w:t>
      </w:r>
      <w:r>
        <w:rPr>
          <w:rFonts w:ascii="arial" w:eastAsia="arial" w:hAnsi="arial" w:cs="arial"/>
          <w:color w:val="000000"/>
          <w:sz w:val="20"/>
          <w:lang w:val="en-US" w:eastAsia="en-US" w:bidi="ar-SA"/>
        </w:rPr>
        <w:t>  While difficult to reconcile with any degree of certainty, I have attempted to group the cases relied upon by counsel under the appropriate form of estoppel in an effort to discern the variety of propositions raised in these cases.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76</w:t>
      </w:r>
      <w:r>
        <w:rPr>
          <w:rFonts w:ascii="arial" w:eastAsia="arial" w:hAnsi="arial" w:cs="arial"/>
          <w:color w:val="000000"/>
          <w:sz w:val="20"/>
          <w:lang w:val="en-US" w:eastAsia="en-US" w:bidi="ar-SA"/>
        </w:rPr>
        <w:t xml:space="preserve">  The plaintiff relies upon the following cases which appear to fall into the category of estoppel by representation: Pickard v. Sears (1837), 112 All E.R. 179; Lawson v. Utan Enterprises Ltd. </w:t>
      </w:r>
      <w:hyperlink r:id="rId1090" w:history="1">
        <w:r>
          <w:rPr>
            <w:rFonts w:ascii="arial" w:eastAsia="arial" w:hAnsi="arial" w:cs="arial"/>
            <w:i/>
            <w:color w:val="0077CC"/>
            <w:sz w:val="20"/>
            <w:u w:val="single"/>
            <w:shd w:val="clear" w:color="auto" w:fill="FFFFFF"/>
            <w:lang w:val="en-US" w:eastAsia="en-US" w:bidi="ar-SA"/>
          </w:rPr>
          <w:t>(1979), 10 B.C.L.R. 163</w:t>
        </w:r>
      </w:hyperlink>
      <w:r>
        <w:rPr>
          <w:rFonts w:ascii="arial" w:eastAsia="arial" w:hAnsi="arial" w:cs="arial"/>
          <w:color w:val="000000"/>
          <w:sz w:val="20"/>
          <w:lang w:val="en-US" w:eastAsia="en-US" w:bidi="ar-SA"/>
        </w:rPr>
        <w:t xml:space="preserve"> (B.C.S.C.); Royal Bank v. Green, [1935] 2 D.L.R. 724 (N.S.C.A.); and Ewing v. Dominion Bank </w:t>
      </w:r>
      <w:hyperlink r:id="rId1091" w:history="1">
        <w:r>
          <w:rPr>
            <w:rFonts w:ascii="arial" w:eastAsia="arial" w:hAnsi="arial" w:cs="arial"/>
            <w:i/>
            <w:color w:val="0077CC"/>
            <w:sz w:val="20"/>
            <w:u w:val="single"/>
            <w:shd w:val="clear" w:color="auto" w:fill="FFFFFF"/>
            <w:lang w:val="en-US" w:eastAsia="en-US" w:bidi="ar-SA"/>
          </w:rPr>
          <w:t>(1904), 35 S.C.R. 133</w:t>
        </w:r>
      </w:hyperlink>
      <w:r>
        <w:rPr>
          <w:rFonts w:ascii="arial" w:eastAsia="arial" w:hAnsi="arial" w:cs="arial"/>
          <w:color w:val="000000"/>
          <w:sz w:val="20"/>
          <w:lang w:val="en-US" w:eastAsia="en-US" w:bidi="ar-SA"/>
        </w:rPr>
        <w:t xml:space="preserve"> (S.C.C.).</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77</w:t>
      </w:r>
      <w:r>
        <w:rPr>
          <w:rFonts w:ascii="arial" w:eastAsia="arial" w:hAnsi="arial" w:cs="arial"/>
          <w:color w:val="000000"/>
          <w:sz w:val="20"/>
          <w:lang w:val="en-US" w:eastAsia="en-US" w:bidi="ar-SA"/>
        </w:rPr>
        <w:t xml:space="preserve">  The plaintiff relies upon the following cases which appear to fall into the category of promissory estoppel: Central London, supra, Re Tudale Explorations Ltd. and Bruce </w:t>
      </w:r>
      <w:hyperlink r:id="rId1092" w:history="1">
        <w:r>
          <w:rPr>
            <w:rFonts w:ascii="arial" w:eastAsia="arial" w:hAnsi="arial" w:cs="arial"/>
            <w:i/>
            <w:color w:val="0077CC"/>
            <w:sz w:val="20"/>
            <w:u w:val="single"/>
            <w:shd w:val="clear" w:color="auto" w:fill="FFFFFF"/>
            <w:lang w:val="en-US" w:eastAsia="en-US" w:bidi="ar-SA"/>
          </w:rPr>
          <w:t>(1978), 88 D.L.R. (3d) 584</w:t>
        </w:r>
      </w:hyperlink>
      <w:r>
        <w:rPr>
          <w:rFonts w:ascii="arial" w:eastAsia="arial" w:hAnsi="arial" w:cs="arial"/>
          <w:color w:val="000000"/>
          <w:sz w:val="20"/>
          <w:lang w:val="en-US" w:eastAsia="en-US" w:bidi="ar-SA"/>
        </w:rPr>
        <w:t xml:space="preserve"> (Ont.C.J.); and Conwest Exploration v. Letain, </w:t>
      </w:r>
      <w:hyperlink r:id="rId1093" w:history="1">
        <w:r>
          <w:rPr>
            <w:rFonts w:ascii="arial" w:eastAsia="arial" w:hAnsi="arial" w:cs="arial"/>
            <w:i/>
            <w:color w:val="0077CC"/>
            <w:sz w:val="20"/>
            <w:u w:val="single"/>
            <w:shd w:val="clear" w:color="auto" w:fill="FFFFFF"/>
            <w:lang w:val="en-US" w:eastAsia="en-US" w:bidi="ar-SA"/>
          </w:rPr>
          <w:t>[1964] S.C.R. 20</w:t>
        </w:r>
      </w:hyperlink>
      <w:r>
        <w:rPr>
          <w:rFonts w:ascii="arial" w:eastAsia="arial" w:hAnsi="arial" w:cs="arial"/>
          <w:color w:val="000000"/>
          <w:sz w:val="20"/>
          <w:lang w:val="en-US" w:eastAsia="en-US" w:bidi="ar-SA"/>
        </w:rPr>
        <w:t xml:space="preserve">, </w:t>
      </w:r>
      <w:hyperlink r:id="rId1093" w:history="1">
        <w:r>
          <w:rPr>
            <w:rFonts w:ascii="arial" w:eastAsia="arial" w:hAnsi="arial" w:cs="arial"/>
            <w:i/>
            <w:color w:val="0077CC"/>
            <w:sz w:val="20"/>
            <w:u w:val="single"/>
            <w:shd w:val="clear" w:color="auto" w:fill="FFFFFF"/>
            <w:lang w:val="en-US" w:eastAsia="en-US" w:bidi="ar-SA"/>
          </w:rPr>
          <w:t>(1963), 41 D.L.R. (2d) 198</w:t>
        </w:r>
      </w:hyperlink>
      <w:r>
        <w:rPr>
          <w:rFonts w:ascii="arial" w:eastAsia="arial" w:hAnsi="arial" w:cs="arial"/>
          <w:color w:val="000000"/>
          <w:sz w:val="20"/>
          <w:lang w:val="en-US" w:eastAsia="en-US" w:bidi="ar-SA"/>
        </w:rPr>
        <w:t xml:space="preserve"> (S.C.C.).</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78</w:t>
      </w:r>
      <w:r>
        <w:rPr>
          <w:rFonts w:ascii="arial" w:eastAsia="arial" w:hAnsi="arial" w:cs="arial"/>
          <w:color w:val="000000"/>
          <w:sz w:val="20"/>
          <w:lang w:val="en-US" w:eastAsia="en-US" w:bidi="ar-SA"/>
        </w:rPr>
        <w:t xml:space="preserve">  The defendant relies upon the following case which appears to fall into the category of promissory estoppel: Canadian Superior Oil Ltd. et al. v. Paddon-Hughes Development Co. Ltd. et al., </w:t>
      </w:r>
      <w:hyperlink r:id="rId1094" w:history="1">
        <w:r>
          <w:rPr>
            <w:rFonts w:ascii="arial" w:eastAsia="arial" w:hAnsi="arial" w:cs="arial"/>
            <w:i/>
            <w:color w:val="0077CC"/>
            <w:sz w:val="20"/>
            <w:u w:val="single"/>
            <w:shd w:val="clear" w:color="auto" w:fill="FFFFFF"/>
            <w:lang w:val="en-US" w:eastAsia="en-US" w:bidi="ar-SA"/>
          </w:rPr>
          <w:t>[1970] S.C.R. 932</w:t>
        </w:r>
      </w:hyperlink>
      <w:r>
        <w:rPr>
          <w:rFonts w:ascii="arial" w:eastAsia="arial" w:hAnsi="arial" w:cs="arial"/>
          <w:color w:val="000000"/>
          <w:sz w:val="20"/>
          <w:lang w:val="en-US" w:eastAsia="en-US" w:bidi="ar-SA"/>
        </w:rPr>
        <w:t xml:space="preserve">,(1970), </w:t>
      </w:r>
      <w:hyperlink r:id="rId1094" w:history="1">
        <w:r>
          <w:rPr>
            <w:rFonts w:ascii="arial" w:eastAsia="arial" w:hAnsi="arial" w:cs="arial"/>
            <w:i/>
            <w:color w:val="0077CC"/>
            <w:sz w:val="20"/>
            <w:u w:val="single"/>
            <w:shd w:val="clear" w:color="auto" w:fill="FFFFFF"/>
            <w:lang w:val="en-US" w:eastAsia="en-US" w:bidi="ar-SA"/>
          </w:rPr>
          <w:t>12 D.L.R. (3d) 247</w:t>
        </w:r>
      </w:hyperlink>
      <w:r>
        <w:rPr>
          <w:rFonts w:ascii="arial" w:eastAsia="arial" w:hAnsi="arial" w:cs="arial"/>
          <w:color w:val="000000"/>
          <w:sz w:val="20"/>
          <w:lang w:val="en-US" w:eastAsia="en-US" w:bidi="ar-SA"/>
        </w:rPr>
        <w:t xml:space="preserve"> (S.C.C.).</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79</w:t>
      </w:r>
      <w:r>
        <w:rPr>
          <w:rFonts w:ascii="arial" w:eastAsia="arial" w:hAnsi="arial" w:cs="arial"/>
          <w:color w:val="000000"/>
          <w:sz w:val="20"/>
          <w:lang w:val="en-US" w:eastAsia="en-US" w:bidi="ar-SA"/>
        </w:rPr>
        <w:t xml:space="preserve">  The plaintiff further relies upon the following cases which appear to fall into the category of proprietary estoppel: Zelmer, supra, Western Fish Products Ltd. v. Penwith District Council, [1981] 2 All E.R. 204 (C.A.), Flello v. Baird </w:t>
      </w:r>
      <w:hyperlink r:id="rId1095" w:history="1">
        <w:r>
          <w:rPr>
            <w:rFonts w:ascii="arial" w:eastAsia="arial" w:hAnsi="arial" w:cs="arial"/>
            <w:i/>
            <w:color w:val="0077CC"/>
            <w:sz w:val="20"/>
            <w:u w:val="single"/>
            <w:shd w:val="clear" w:color="auto" w:fill="FFFFFF"/>
            <w:lang w:val="en-US" w:eastAsia="en-US" w:bidi="ar-SA"/>
          </w:rPr>
          <w:t>(1999), 67 B.C.L.R. (3d) 293</w:t>
        </w:r>
      </w:hyperlink>
      <w:r>
        <w:rPr>
          <w:rFonts w:ascii="arial" w:eastAsia="arial" w:hAnsi="arial" w:cs="arial"/>
          <w:color w:val="000000"/>
          <w:sz w:val="20"/>
          <w:lang w:val="en-US" w:eastAsia="en-US" w:bidi="ar-SA"/>
        </w:rPr>
        <w:t xml:space="preserve"> (B.C.C.A.); Crabb, supra; Salvation Army Ltd. v. West Yorkshire M.C.C. (1974), 1 P. &amp; C.R. 179 (Q.B.); J.T. Developments, supra; Ellis v. Eddy Holding Ltd. </w:t>
      </w:r>
      <w:hyperlink r:id="rId1096" w:history="1">
        <w:r>
          <w:rPr>
            <w:rFonts w:ascii="arial" w:eastAsia="arial" w:hAnsi="arial" w:cs="arial"/>
            <w:i/>
            <w:color w:val="0077CC"/>
            <w:sz w:val="20"/>
            <w:u w:val="single"/>
            <w:shd w:val="clear" w:color="auto" w:fill="FFFFFF"/>
            <w:lang w:val="en-US" w:eastAsia="en-US" w:bidi="ar-SA"/>
          </w:rPr>
          <w:t>(1996), 7 R.P.R. (3d) 70</w:t>
        </w:r>
      </w:hyperlink>
      <w:r>
        <w:rPr>
          <w:rFonts w:ascii="arial" w:eastAsia="arial" w:hAnsi="arial" w:cs="arial"/>
          <w:color w:val="000000"/>
          <w:sz w:val="20"/>
          <w:lang w:val="en-US" w:eastAsia="en-US" w:bidi="ar-SA"/>
        </w:rPr>
        <w:t xml:space="preserve"> (B.C.S.C.); and Stiles v. Tod Mountain Dev. Co. </w:t>
      </w:r>
      <w:hyperlink r:id="rId1097" w:history="1">
        <w:r>
          <w:rPr>
            <w:rFonts w:ascii="arial" w:eastAsia="arial" w:hAnsi="arial" w:cs="arial"/>
            <w:i/>
            <w:color w:val="0077CC"/>
            <w:sz w:val="20"/>
            <w:u w:val="single"/>
            <w:shd w:val="clear" w:color="auto" w:fill="FFFFFF"/>
            <w:lang w:val="en-US" w:eastAsia="en-US" w:bidi="ar-SA"/>
          </w:rPr>
          <w:t>(1992), 88 D.L.R. (4th) 735</w:t>
        </w:r>
      </w:hyperlink>
      <w:r>
        <w:rPr>
          <w:rFonts w:ascii="arial" w:eastAsia="arial" w:hAnsi="arial" w:cs="arial"/>
          <w:color w:val="000000"/>
          <w:sz w:val="20"/>
          <w:lang w:val="en-US" w:eastAsia="en-US" w:bidi="ar-SA"/>
        </w:rPr>
        <w:t xml:space="preserve"> (B.C.S.C.).</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80</w:t>
      </w:r>
      <w:r>
        <w:rPr>
          <w:rFonts w:ascii="arial" w:eastAsia="arial" w:hAnsi="arial" w:cs="arial"/>
          <w:color w:val="000000"/>
          <w:sz w:val="20"/>
          <w:lang w:val="en-US" w:eastAsia="en-US" w:bidi="ar-SA"/>
        </w:rPr>
        <w:t xml:space="preserve">  The defendant relies upon the following cases which appear to fall into the category of proprietary estoppel: Hastings Minor Hockey Assn. et al. v. Pacific National Exhibition </w:t>
      </w:r>
      <w:hyperlink r:id="rId1098" w:history="1">
        <w:r>
          <w:rPr>
            <w:rFonts w:ascii="arial" w:eastAsia="arial" w:hAnsi="arial" w:cs="arial"/>
            <w:i/>
            <w:color w:val="0077CC"/>
            <w:sz w:val="20"/>
            <w:u w:val="single"/>
            <w:shd w:val="clear" w:color="auto" w:fill="FFFFFF"/>
            <w:lang w:val="en-US" w:eastAsia="en-US" w:bidi="ar-SA"/>
          </w:rPr>
          <w:t>(1981), 32 B.C.L.R. 1</w:t>
        </w:r>
      </w:hyperlink>
      <w:r>
        <w:rPr>
          <w:rFonts w:ascii="arial" w:eastAsia="arial" w:hAnsi="arial" w:cs="arial"/>
          <w:color w:val="000000"/>
          <w:sz w:val="20"/>
          <w:lang w:val="en-US" w:eastAsia="en-US" w:bidi="ar-SA"/>
        </w:rPr>
        <w:t xml:space="preserve"> (B.C.C.A.); and Easterbrook v. Attorney General of Canada, </w:t>
      </w:r>
      <w:hyperlink r:id="rId1099" w:history="1">
        <w:r>
          <w:rPr>
            <w:rFonts w:ascii="arial" w:eastAsia="arial" w:hAnsi="arial" w:cs="arial"/>
            <w:i/>
            <w:color w:val="0077CC"/>
            <w:sz w:val="20"/>
            <w:u w:val="single"/>
            <w:shd w:val="clear" w:color="auto" w:fill="FFFFFF"/>
            <w:lang w:val="en-US" w:eastAsia="en-US" w:bidi="ar-SA"/>
          </w:rPr>
          <w:t>[1931] S.C.R. 210</w:t>
        </w:r>
      </w:hyperlink>
      <w:r>
        <w:rPr>
          <w:rFonts w:ascii="arial" w:eastAsia="arial" w:hAnsi="arial" w:cs="arial"/>
          <w:color w:val="000000"/>
          <w:sz w:val="20"/>
          <w:lang w:val="en-US" w:eastAsia="en-US" w:bidi="ar-SA"/>
        </w:rPr>
        <w:t xml:space="preserve"> (S.C.C.).</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81</w:t>
      </w:r>
      <w:r>
        <w:rPr>
          <w:rFonts w:ascii="arial" w:eastAsia="arial" w:hAnsi="arial" w:cs="arial"/>
          <w:color w:val="000000"/>
          <w:sz w:val="20"/>
          <w:lang w:val="en-US" w:eastAsia="en-US" w:bidi="ar-SA"/>
        </w:rPr>
        <w:t>  The cases of Waltons Stores and Amalgamated Investment, supra, relied upon by the plaintiff are absent from the categories set out above as they represent unique cases in which the courts have attempted to amalgamate the concept of estoppel into one unified doctrine. In Amalgamated Investment, Lord Denning M.R. stated at p. 584:</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All these can now be seen to merge into one general principle shorn of limitations. When the parties to a transaction proceed on the basis of an underlying assumption (either of fact or law, and whether due to misrepresentation or mistake, makes no difference), on which they have conducted the dealings between them, neither of them will be allowed to go back on that assumption when it would be unfair or unjust to allow him to do so. ...</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82</w:t>
      </w:r>
      <w:r>
        <w:rPr>
          <w:rFonts w:ascii="arial" w:eastAsia="arial" w:hAnsi="arial" w:cs="arial"/>
          <w:color w:val="000000"/>
          <w:sz w:val="20"/>
          <w:lang w:val="en-US" w:eastAsia="en-US" w:bidi="ar-SA"/>
        </w:rPr>
        <w:t>  It is the position of Mr. Paul that throughout 1994 he and his team believed they had the support, encouragement and commitment from the Airport Authority to lease the selected site once environmental and liquor licence approvals were obtained. He says that even if he had no contract with the Airport Authority as of July 15, he relied on a promise to lease made by the Airport Authority. Mr. Paul argues that the conduct of the Airport Authority as early as the first meeting, and certainly from July 15 onwards, encouraged him to embark upon a course of conduct, to his detriment, in anticipation of leasing the site.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83</w:t>
      </w:r>
      <w:r>
        <w:rPr>
          <w:rFonts w:ascii="arial" w:eastAsia="arial" w:hAnsi="arial" w:cs="arial"/>
          <w:color w:val="000000"/>
          <w:sz w:val="20"/>
          <w:lang w:val="en-US" w:eastAsia="en-US" w:bidi="ar-SA"/>
        </w:rPr>
        <w:t>  Neither estoppel by representation nor promissory estoppel can form the basis of an independent cause of action as sought in this case. Even if estoppel by representation or promissory estoppel were capable of forming the basis of a cause of action, there is no evidence to support such a finding in this case. There existed no unambiguous representations of fact or intention by the Airport Authority; there was clearly no intention to affect the legal relations between the parties; and in reality, Mr. Paul did not act to his detriment in reliance on any such representation.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84</w:t>
      </w:r>
      <w:r>
        <w:rPr>
          <w:rFonts w:ascii="arial" w:eastAsia="arial" w:hAnsi="arial" w:cs="arial"/>
          <w:color w:val="000000"/>
          <w:sz w:val="20"/>
          <w:lang w:val="en-US" w:eastAsia="en-US" w:bidi="ar-SA"/>
        </w:rPr>
        <w:t>  Mr. Paul fails to establish that he has somehow mistaken his legal rights. There is no evidence that the Airport Authority waived reliance on its strict legal rights. There is no evidence it knew or intended that Mr. Paul would treat the July 15 letter as creating a binding commitment to lease. The evidence shows very clearly that Mr. Paul and his team were not mistaken as to the legal effect of the July 15 "comfort letter". The very purpose for which this letter was requested by Mr. Tusar and Mr. Capistrano, and provided by the Airport Authority, is one indicia that neither side believed the letter created a legal commitment to lease. That purpose, as I have said, was to facilitate applications to regulatory agencies. There is further evidence, by the conduct of Mr. Paul and his team, in attempting over a period of many months to obtain a lease or an option to lease once they realized that the July 15 letter was unsuitable for their purposes of applying for a liquor licence. This is proof that Mr. Paul did not rely on any representation made in the July 15 letter and did not consider the Airport Authority had waived any of its legal rights.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85</w:t>
      </w:r>
      <w:r>
        <w:rPr>
          <w:rFonts w:ascii="arial" w:eastAsia="arial" w:hAnsi="arial" w:cs="arial"/>
          <w:color w:val="000000"/>
          <w:sz w:val="20"/>
          <w:lang w:val="en-US" w:eastAsia="en-US" w:bidi="ar-SA"/>
        </w:rPr>
        <w:t>  In addition, there is no evidence that Mr. Paul changed his course or altered his position in reliance upon the July 15 letter. Mr. Paul and his team continued along the same path after July 15 that they had started down before July 15-- spending some time and money in pursuit of regulatory approvals, hoping to advance to the first plateau in the Airport Authority's approval process. While provision of the letter was a prerequisite to further work being done in seeking the regulatory approvals, I do not accept the assertion that the letter suddenly changed the entire playing field. Clearly, had the proponents received an outright "No" from the Airport Authority, either at the outset or upon their request for the "comfort letter", it is likely they would have discontinued further work on their proposal. However, this does not necessarily lead to the conclusion that the Airport Authority committed itself to the still-evolving proposal by not saying "No". By that logic, the Airport Authority would become obligated to anyone whom it encouraged, assisted or facilitated in the furtherance of the development of a proposal still in its infancy. In the circumstances of this case, it would have been entirely unreasonable for Mr. Paul and his team to assume the July 15 letter was a binding commitment to lease. Mr. Paul and his team never indicated to Mr. Kandert that they were relying on the letter to alter their position.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86</w:t>
      </w:r>
      <w:r>
        <w:rPr>
          <w:rFonts w:ascii="arial" w:eastAsia="arial" w:hAnsi="arial" w:cs="arial"/>
          <w:color w:val="000000"/>
          <w:sz w:val="20"/>
          <w:lang w:val="en-US" w:eastAsia="en-US" w:bidi="ar-SA"/>
        </w:rPr>
        <w:t>  As well, I cannot conclude that Mr. Paul made any expenditure to his detriment in a belief that he had a commitment to lease. He had chosen his path and only sought a "comfort letter" from the Airport Authority to advance his proposal beyond the conceptual stage. Nor can I conclude that the Airport Authority encouraged Mr. Paul to spend time and money pursuing his proposal. Throughout, the role of the Airport Authority was that of a facilitator of an unsolicited proposal and nothing else. From the outset, Mr. Paul and his team represented that they were experienced, that they benefited from the assistance of outside professionals, and that they were "active and equal" participants dealing with the Airport Authority at arm's length.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87</w:t>
      </w:r>
      <w:r>
        <w:rPr>
          <w:rFonts w:ascii="arial" w:eastAsia="arial" w:hAnsi="arial" w:cs="arial"/>
          <w:color w:val="000000"/>
          <w:sz w:val="20"/>
          <w:lang w:val="en-US" w:eastAsia="en-US" w:bidi="ar-SA"/>
        </w:rPr>
        <w:t>  The case law is clear that proprietary estoppel can provide the basis of a cause of action in appropriate circumstances. In Zelmer, supra, Hinds J.A., for the Court, stated at paras. 48 and 49:</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Based on the foregoing analysis I conclude that, in appropriate circumstances, a cause of action can be based on the doctrine of proprietary estoppel.</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"appropriate circumstances" may arise as stated by Megaw L.J. in Western Fish Products Ltd. v. Penwith District Council, (supra) at 217, where he interpreted the judgment of Lord Denning in Crabb in the following manner:</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 when A to the knowledge of B acts to his detriment in relation to his own land in the expectation, encouraged by B, of acquiring a right over B's land, such expectation arising from what B has said or done, the court will order B to grant A that right on such terms as may be just.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88</w:t>
      </w:r>
      <w:r>
        <w:rPr>
          <w:rFonts w:ascii="arial" w:eastAsia="arial" w:hAnsi="arial" w:cs="arial"/>
          <w:color w:val="000000"/>
          <w:sz w:val="20"/>
          <w:lang w:val="en-US" w:eastAsia="en-US" w:bidi="ar-SA"/>
        </w:rPr>
        <w:t>  In my view, the claim of proprietary estoppel also fails in this case. I find the Mr. Paul has not acted to his detriment in the expectation of acquiring a right over the Airport land, with the encouragement or the acquiescence of the Airport Authority. For the reasons above, the "comfort letter" could not have provided Mr. Paul with a realistic or reasonable expectation of acquiring a right over the Airport land at such an early stage in the process.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89</w:t>
      </w:r>
      <w:r>
        <w:rPr>
          <w:rFonts w:ascii="arial" w:eastAsia="arial" w:hAnsi="arial" w:cs="arial"/>
          <w:color w:val="000000"/>
          <w:sz w:val="20"/>
          <w:lang w:val="en-US" w:eastAsia="en-US" w:bidi="ar-SA"/>
        </w:rPr>
        <w:t>  It is important to keep in mind that the primary consideration under any test, as emphasized in the unified model, is the presence of an unconscionable or inequitable result which justifies an intervention in equity. In order to succeed in advancing the doctrine of equitable estoppel, Mr. Paul must establish that he has been taken advantage of by the Airport Authority in an unconscionable, inequitable or unjust way. On a plain view of the facts in this case, such unconscionable, inequitable or unjust circumstances simply do not exist.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90</w:t>
      </w:r>
      <w:r>
        <w:rPr>
          <w:rFonts w:ascii="arial" w:eastAsia="arial" w:hAnsi="arial" w:cs="arial"/>
          <w:color w:val="000000"/>
          <w:sz w:val="20"/>
          <w:lang w:val="en-US" w:eastAsia="en-US" w:bidi="ar-SA"/>
        </w:rPr>
        <w:t>  In Western Fish Products, supra, Megaw L.J., provided an apt analysis at p. 216:</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We are unable to accept that a person familiar with the relevant facts known to both the writer and the recipient of the letter, reading the letter with reasonable care, could reasonably have read it as giving the plaintiffs confirmation that there was an existing use right which would cover the uses contemplated by the plaintiffs' scheme without the necessity for planning permission in respect of use. ... [W]e are unable to see how, taking full account of the relevant circumstances and of the context of the letter itself and of the letters and conversations which had led up to it, the words 'Accordingly it is confirmed that the limits of the component parts of the commercial undertaking as now existing appear to be established' could reasonably be understood to be a confirmation of that which the plaintiffs allege it did confirm.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91</w:t>
      </w:r>
      <w:r>
        <w:rPr>
          <w:rFonts w:ascii="arial" w:eastAsia="arial" w:hAnsi="arial" w:cs="arial"/>
          <w:color w:val="000000"/>
          <w:sz w:val="20"/>
          <w:lang w:val="en-US" w:eastAsia="en-US" w:bidi="ar-SA"/>
        </w:rPr>
        <w:t>  In the present case, having regard to the relevant circumstances, the context of the letter and related conversations, I am unable to accept that Mr. Paul and his team could reasonably have understood the "comfort letter" of July 15 to constitute a binding commitment or promise to lease on the part of the Airport Authority.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and Negligent Misrepresentation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92</w:t>
      </w:r>
      <w:r>
        <w:rPr>
          <w:rFonts w:ascii="arial" w:eastAsia="arial" w:hAnsi="arial" w:cs="arial"/>
          <w:color w:val="000000"/>
          <w:sz w:val="20"/>
          <w:lang w:val="en-US" w:eastAsia="en-US" w:bidi="ar-SA"/>
        </w:rPr>
        <w:t>  It is Mr. Paul's position that the Airport Authority was negligent in not disclosing Harbour Air's proposal. Alternatively, the Airport Authority was negligent in not disclosing or apprising Mr. Paul that the Airport Authority was developing plans that might affect the proposal directly or indirectly and impede consideration of the project. As a result, Mr. Paul expended time and money to his detriment.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93</w:t>
      </w:r>
      <w:r>
        <w:rPr>
          <w:rFonts w:ascii="arial" w:eastAsia="arial" w:hAnsi="arial" w:cs="arial"/>
          <w:color w:val="000000"/>
          <w:sz w:val="20"/>
          <w:lang w:val="en-US" w:eastAsia="en-US" w:bidi="ar-SA"/>
        </w:rPr>
        <w:t>  Counsel on behalf of Mr. Paul suggests there was an obligation of the Airport Authority to conduct due diligence on behalf of those with whom they were dealing. He argues a duty of care is imposed on those who contemplate or enter into a business relationship. In this case, such a duty was owed by virtue of a contemplated on-going business relationship and a prospective landlord-tenant relationship.</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94</w:t>
      </w:r>
      <w:r>
        <w:rPr>
          <w:rFonts w:ascii="arial" w:eastAsia="arial" w:hAnsi="arial" w:cs="arial"/>
          <w:color w:val="000000"/>
          <w:sz w:val="20"/>
          <w:lang w:val="en-US" w:eastAsia="en-US" w:bidi="ar-SA"/>
        </w:rPr>
        <w:t xml:space="preserve">  Generally, the law of Canada has not recognized a duty of care between the prospective parties to a commercial transaction. However, a different approach was taken in the case of Martel Building Ltd. v. Canada </w:t>
      </w:r>
      <w:hyperlink r:id="rId1100" w:history="1">
        <w:r>
          <w:rPr>
            <w:rFonts w:ascii="arial" w:eastAsia="arial" w:hAnsi="arial" w:cs="arial"/>
            <w:i/>
            <w:color w:val="0077CC"/>
            <w:sz w:val="20"/>
            <w:u w:val="single"/>
            <w:shd w:val="clear" w:color="auto" w:fill="FFFFFF"/>
            <w:lang w:val="en-US" w:eastAsia="en-US" w:bidi="ar-SA"/>
          </w:rPr>
          <w:t>(1997), 129 F.T.R. 249</w:t>
        </w:r>
      </w:hyperlink>
      <w:r>
        <w:rPr>
          <w:rFonts w:ascii="arial" w:eastAsia="arial" w:hAnsi="arial" w:cs="arial"/>
          <w:color w:val="000000"/>
          <w:sz w:val="20"/>
          <w:lang w:val="en-US" w:eastAsia="en-US" w:bidi="ar-SA"/>
        </w:rPr>
        <w:t xml:space="preserve"> (F.C.T.D.), rev'd on other grounds </w:t>
      </w:r>
      <w:hyperlink r:id="rId1101" w:history="1">
        <w:r>
          <w:rPr>
            <w:rFonts w:ascii="arial" w:eastAsia="arial" w:hAnsi="arial" w:cs="arial"/>
            <w:i/>
            <w:color w:val="0077CC"/>
            <w:sz w:val="20"/>
            <w:u w:val="single"/>
            <w:shd w:val="clear" w:color="auto" w:fill="FFFFFF"/>
            <w:lang w:val="en-US" w:eastAsia="en-US" w:bidi="ar-SA"/>
          </w:rPr>
          <w:t>(1998), 163 D.L.R. (4th) 504</w:t>
        </w:r>
      </w:hyperlink>
      <w:r>
        <w:rPr>
          <w:rFonts w:ascii="arial" w:eastAsia="arial" w:hAnsi="arial" w:cs="arial"/>
          <w:color w:val="000000"/>
          <w:sz w:val="20"/>
          <w:lang w:val="en-US" w:eastAsia="en-US" w:bidi="ar-SA"/>
        </w:rPr>
        <w:t xml:space="preserve"> (F.C.A.), leave to appeal granted </w:t>
      </w:r>
      <w:hyperlink r:id="rId1102" w:history="1">
        <w:r>
          <w:rPr>
            <w:rFonts w:ascii="arial" w:eastAsia="arial" w:hAnsi="arial" w:cs="arial"/>
            <w:i/>
            <w:color w:val="0077CC"/>
            <w:sz w:val="20"/>
            <w:u w:val="single"/>
            <w:shd w:val="clear" w:color="auto" w:fill="FFFFFF"/>
            <w:lang w:val="en-US" w:eastAsia="en-US" w:bidi="ar-SA"/>
          </w:rPr>
          <w:t>[1998] S.C.C.A. No. 479</w:t>
        </w:r>
      </w:hyperlink>
      <w:r>
        <w:rPr>
          <w:rFonts w:ascii="arial" w:eastAsia="arial" w:hAnsi="arial" w:cs="arial"/>
          <w:color w:val="000000"/>
          <w:sz w:val="20"/>
          <w:lang w:val="en-US" w:eastAsia="en-US" w:bidi="ar-SA"/>
        </w:rPr>
        <w:t xml:space="preserve"> (S.C.C.). There, the trial judge dealt with the issue of whether a general duty of care in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existed between a landlord and tenant during negotiations for the renewal of a pre-existing 10-year lease. At para. 75, Reed J. stated: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question to be asked when deciding whether a duty of care existed has been said to be, with some qualification, whether there was a sufficiently close relationship between the parties ... so that, in the reasonable contemplation of the defendant, carelessness on its part might cause damage to the plaintiff. The relationship between the parties in this case supports a conclusion that the requisite duty of care existed. The parties had a subsisting long standing lessor/lessee relationship. The lease contemplated a possibility of renewal although there was no obligation to renegotiate. The defendant was essentially the only tenant in the building and had been so since the building was first constructed. The defendant was the dominant player in the leasing of rental space in the area in which the defendant's building was located. The relationship between the parties was such that one could reasonably contemplate that carelessness on the part of the defendant (through her officials) might cause damage to the plaintiff.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95</w:t>
      </w:r>
      <w:r>
        <w:rPr>
          <w:rFonts w:ascii="arial" w:eastAsia="arial" w:hAnsi="arial" w:cs="arial"/>
          <w:color w:val="000000"/>
          <w:sz w:val="20"/>
          <w:lang w:val="en-US" w:eastAsia="en-US" w:bidi="ar-SA"/>
        </w:rPr>
        <w:t>  In the event that the law has evolved to the point where a general duty of care may arise between commercial parties, such a duty did not exist in this case. The relationship between Mr. Paul and the Airport Authority was not sufficiently close to establish a duty of care. The relationship between the parties is clearly distinguishable from the Martel case where "the parties had a subsisting long standing lessor/lessee relationship".</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96</w:t>
      </w:r>
      <w:r>
        <w:rPr>
          <w:rFonts w:ascii="arial" w:eastAsia="arial" w:hAnsi="arial" w:cs="arial"/>
          <w:color w:val="000000"/>
          <w:sz w:val="20"/>
          <w:lang w:val="en-US" w:eastAsia="en-US" w:bidi="ar-SA"/>
        </w:rPr>
        <w:t>  On behalf of Mr. Paul, it is further submitted that the Airport Authority made a representation in the July 15 letter, which he relied on, that if he obtained the requisite regulatory approvals the Airport Authority would lease him the site in the future. Implicit in that representation was that all relevant Plans had been considered. It is further submitted that Mr. Kandert failed to ascertain whether there was a conflict with Harbour Air's project that would preclude the Airport Authority from leasing the site. The Airport Authority ought to have known that it was not economically viable to permit two similar establishments to operate side by side and that this was the real reason for withdrawing support for the Paul proposal after December 9. It is the position of Mr. Paul that he acted to his detriment, relying on the representations made, and he is therefore entitled to 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97</w:t>
      </w:r>
      <w:r>
        <w:rPr>
          <w:rFonts w:ascii="arial" w:eastAsia="arial" w:hAnsi="arial" w:cs="arial"/>
          <w:color w:val="000000"/>
          <w:sz w:val="20"/>
          <w:lang w:val="en-US" w:eastAsia="en-US" w:bidi="ar-SA"/>
        </w:rPr>
        <w:t xml:space="preserve">  In The Queen v. Cognos, </w:t>
      </w:r>
      <w:hyperlink r:id="rId722" w:history="1">
        <w:r>
          <w:rPr>
            <w:rFonts w:ascii="arial" w:eastAsia="arial" w:hAnsi="arial" w:cs="arial"/>
            <w:i/>
            <w:color w:val="0077CC"/>
            <w:sz w:val="20"/>
            <w:u w:val="single"/>
            <w:shd w:val="clear" w:color="auto" w:fill="FFFFFF"/>
            <w:lang w:val="en-US" w:eastAsia="en-US" w:bidi="ar-SA"/>
          </w:rPr>
          <w:t>[1993] 1 S.C.R. 87</w:t>
        </w:r>
      </w:hyperlink>
      <w:r>
        <w:rPr>
          <w:rFonts w:ascii="arial" w:eastAsia="arial" w:hAnsi="arial" w:cs="arial"/>
          <w:color w:val="000000"/>
          <w:sz w:val="20"/>
          <w:lang w:val="en-US" w:eastAsia="en-US" w:bidi="ar-SA"/>
        </w:rPr>
        <w:t xml:space="preserve"> at 110 (S.C.C.), it was held that the following elements must be established for a successful "Hedley-Byrne" claim in negligent misrepresentation:</w:t>
      </w:r>
      <w:r>
        <w:rPr>
          <w:rFonts w:ascii="arial" w:eastAsia="arial" w:hAnsi="arial" w:cs="arial"/>
          <w:sz w:val="20"/>
          <w:lang w:val="en-US" w:eastAsia="en-US" w:bidi="ar-SA"/>
        </w:rPr>
        <w:cr/>
      </w:r>
    </w:p>
    <w:p>
      <w:pPr>
        <w:numPr>
          <w:numId w:val="17"/>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 existence of a duty of care based on a "special relationship" between the representor and representee;</w:t>
      </w:r>
    </w:p>
    <w:p>
      <w:pPr>
        <w:numPr>
          <w:numId w:val="17"/>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 representation in question must be untrue, inaccurate, or misleading;</w:t>
      </w:r>
    </w:p>
    <w:p>
      <w:pPr>
        <w:numPr>
          <w:numId w:val="17"/>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 representor must have acted negligently in making the misrepresentation;</w:t>
      </w:r>
    </w:p>
    <w:p>
      <w:pPr>
        <w:numPr>
          <w:numId w:val="17"/>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 representee must have relied, in a reasonable manner, on the negligent misrepresentation; and</w:t>
      </w:r>
    </w:p>
    <w:p>
      <w:pPr>
        <w:numPr>
          <w:numId w:val="17"/>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 reliance must have been detrimental to the representee in the sense that damages resulted.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98</w:t>
      </w:r>
      <w:r>
        <w:rPr>
          <w:rFonts w:ascii="arial" w:eastAsia="arial" w:hAnsi="arial" w:cs="arial"/>
          <w:color w:val="000000"/>
          <w:sz w:val="20"/>
          <w:lang w:val="en-US" w:eastAsia="en-US" w:bidi="ar-SA"/>
        </w:rPr>
        <w:t>  Mr. Paul does not get past first base in my view. The evidence does not support the existence of any "special relationship" between the parties. I agree with counsel for the Airport Authority that at best, there existed arm's length business dealings in a pre-contractual, and perhaps even pre-negotiation, stage. To impose liability in these circumstances would be to unnecessarily and unduly interfere with normal business relationships.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99</w:t>
      </w:r>
      <w:r>
        <w:rPr>
          <w:rFonts w:ascii="arial" w:eastAsia="arial" w:hAnsi="arial" w:cs="arial"/>
          <w:color w:val="000000"/>
          <w:sz w:val="20"/>
          <w:lang w:val="en-US" w:eastAsia="en-US" w:bidi="ar-SA"/>
        </w:rPr>
        <w:t>  In any event, I conclude there were no negligent representations made by the Airport Authority to Mr. Paul or his team. I conclude that Mr. Paul and his team knew of Harbour Air's expansion plans, but turned a blind eye in their enthusiastic pursuit of the Paul proposal. The process of planning at the Airport was on-going and public; it fell to Mr. Paul and his team to make the proper inquiries. No obligation existed on the part of the Airport Authority to conduct due diligence on behalf of Mr. Paul.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100</w:t>
      </w:r>
      <w:r>
        <w:rPr>
          <w:rFonts w:ascii="arial" w:eastAsia="arial" w:hAnsi="arial" w:cs="arial"/>
          <w:color w:val="000000"/>
          <w:sz w:val="20"/>
          <w:lang w:val="en-US" w:eastAsia="en-US" w:bidi="ar-SA"/>
        </w:rPr>
        <w:t>  Further, as I have already found, there existed no reasonable reliance and no detriment. Mr. Paul and his team were fully and properly informed of the complex and difficult approval process they faced, and knew or ought to have known that as of July 15, they had yet to reach the first plateau of the approval in principle stage.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101</w:t>
      </w:r>
      <w:r>
        <w:rPr>
          <w:rFonts w:ascii="arial" w:eastAsia="arial" w:hAnsi="arial" w:cs="arial"/>
          <w:color w:val="000000"/>
          <w:sz w:val="20"/>
          <w:lang w:val="en-US" w:eastAsia="en-US" w:bidi="ar-SA"/>
        </w:rPr>
        <w:t xml:space="preserve">  Mr. Paul, in essence, seeks to have this court import into normal arm's length business dealings a duty to negotiate in good faith. I am not satisfied such a duty exists. In Powder Mountain Resorts Ltd. v. British Columbia, </w:t>
      </w:r>
      <w:hyperlink r:id="rId1103" w:history="1">
        <w:r>
          <w:rPr>
            <w:rFonts w:ascii="arial" w:eastAsia="arial" w:hAnsi="arial" w:cs="arial"/>
            <w:i/>
            <w:color w:val="0077CC"/>
            <w:sz w:val="20"/>
            <w:u w:val="single"/>
            <w:shd w:val="clear" w:color="auto" w:fill="FFFFFF"/>
            <w:lang w:val="en-US" w:eastAsia="en-US" w:bidi="ar-SA"/>
          </w:rPr>
          <w:t>[1999] 11 W.W.R. 168</w:t>
        </w:r>
      </w:hyperlink>
      <w:r>
        <w:rPr>
          <w:rFonts w:ascii="arial" w:eastAsia="arial" w:hAnsi="arial" w:cs="arial"/>
          <w:color w:val="000000"/>
          <w:sz w:val="20"/>
          <w:lang w:val="en-US" w:eastAsia="en-US" w:bidi="ar-SA"/>
        </w:rPr>
        <w:t xml:space="preserve"> at 200 (B.C.S.C.), Tysoe J. stated: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...Canadian law has not generally recognized a duty to negotiate in good faith in commercial transactions: see, for example Westcom TV Group Ltd. v. CanWest Global Broadcasting Inc. [</w:t>
      </w:r>
      <w:hyperlink r:id="rId1104" w:history="1">
        <w:r>
          <w:rPr>
            <w:rFonts w:ascii="arial" w:eastAsia="arial" w:hAnsi="arial" w:cs="arial"/>
            <w:i/>
            <w:color w:val="0077CC"/>
            <w:sz w:val="20"/>
            <w:u w:val="single"/>
            <w:shd w:val="clear" w:color="auto" w:fill="FFFFFF"/>
            <w:lang w:val="en-US" w:eastAsia="en-US" w:bidi="ar-SA"/>
          </w:rPr>
          <w:t>(1996), 27 B.C.L.R. (3d) 291</w:t>
        </w:r>
      </w:hyperlink>
      <w:r>
        <w:rPr>
          <w:rFonts w:ascii="arial" w:eastAsia="arial" w:hAnsi="arial" w:cs="arial"/>
          <w:color w:val="000000"/>
          <w:sz w:val="20"/>
          <w:lang w:val="en-US" w:eastAsia="en-US" w:bidi="ar-SA"/>
        </w:rPr>
        <w:t xml:space="preserve"> (B.C.S.C.)] and Martel Building Ltd. v. R. [ </w:t>
      </w:r>
      <w:hyperlink r:id="rId1100" w:history="1">
        <w:r>
          <w:rPr>
            <w:rFonts w:ascii="arial" w:eastAsia="arial" w:hAnsi="arial" w:cs="arial"/>
            <w:i/>
            <w:color w:val="0077CC"/>
            <w:sz w:val="20"/>
            <w:u w:val="single"/>
            <w:shd w:val="clear" w:color="auto" w:fill="FFFFFF"/>
            <w:lang w:val="en-US" w:eastAsia="en-US" w:bidi="ar-SA"/>
          </w:rPr>
          <w:t>(1997), 129 F.T.R. 249</w:t>
        </w:r>
      </w:hyperlink>
      <w:r>
        <w:rPr>
          <w:rFonts w:ascii="arial" w:eastAsia="arial" w:hAnsi="arial" w:cs="arial"/>
          <w:color w:val="000000"/>
          <w:sz w:val="20"/>
          <w:lang w:val="en-US" w:eastAsia="en-US" w:bidi="ar-SA"/>
        </w:rPr>
        <w:t xml:space="preserve"> (F.C.T.D.); rev'd on other grounds </w:t>
      </w:r>
      <w:hyperlink r:id="rId1101" w:history="1">
        <w:r>
          <w:rPr>
            <w:rFonts w:ascii="arial" w:eastAsia="arial" w:hAnsi="arial" w:cs="arial"/>
            <w:i/>
            <w:color w:val="0077CC"/>
            <w:sz w:val="20"/>
            <w:u w:val="single"/>
            <w:shd w:val="clear" w:color="auto" w:fill="FFFFFF"/>
            <w:lang w:val="en-US" w:eastAsia="en-US" w:bidi="ar-SA"/>
          </w:rPr>
          <w:t>(1998), 163 D.L.R. (4th) 504</w:t>
        </w:r>
      </w:hyperlink>
      <w:r>
        <w:rPr>
          <w:rFonts w:ascii="arial" w:eastAsia="arial" w:hAnsi="arial" w:cs="arial"/>
          <w:color w:val="000000"/>
          <w:sz w:val="20"/>
          <w:lang w:val="en-US" w:eastAsia="en-US" w:bidi="ar-SA"/>
        </w:rPr>
        <w:t xml:space="preserve"> (F.C.A.); leave to appeal granted </w:t>
      </w:r>
      <w:hyperlink r:id="rId1102" w:history="1">
        <w:r>
          <w:rPr>
            <w:rFonts w:ascii="arial" w:eastAsia="arial" w:hAnsi="arial" w:cs="arial"/>
            <w:i/>
            <w:color w:val="0077CC"/>
            <w:sz w:val="20"/>
            <w:u w:val="single"/>
            <w:shd w:val="clear" w:color="auto" w:fill="FFFFFF"/>
            <w:lang w:val="en-US" w:eastAsia="en-US" w:bidi="ar-SA"/>
          </w:rPr>
          <w:t>[1998] S.C.C.A. No. 479</w:t>
        </w:r>
      </w:hyperlink>
      <w:r>
        <w:rPr>
          <w:rFonts w:ascii="arial" w:eastAsia="arial" w:hAnsi="arial" w:cs="arial"/>
          <w:color w:val="000000"/>
          <w:sz w:val="20"/>
          <w:lang w:val="en-US" w:eastAsia="en-US" w:bidi="ar-SA"/>
        </w:rPr>
        <w:t xml:space="preserve"> (S.C.C.)]. In the words of Lord Akner in Walford v. Miles [[1992] 2 W.L.R. 174 (H.L.)]:</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...the concept of a duty to carry on negotiations in good faith is inherently repugnant to the adversarial position of the parties when involved in negotiations.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102</w:t>
      </w:r>
      <w:r>
        <w:rPr>
          <w:rFonts w:ascii="arial" w:eastAsia="arial" w:hAnsi="arial" w:cs="arial"/>
          <w:color w:val="000000"/>
          <w:sz w:val="20"/>
          <w:lang w:val="en-US" w:eastAsia="en-US" w:bidi="ar-SA"/>
        </w:rPr>
        <w:t>  Alternatively, the evidence does not show that the Airport Authority failed to act in good faith, or acted in bad faith, in its dealings with Mr. Paul and his team. The evidence supports a conclusion that throughout, the Airport Authority acted fairly, reasonably, and in good faith. This is confirmed by the evidence of Mr. Paul, Mr. Tusar and Mr. Capistrano in describing their dealings with the Airport Authority.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Abuse of Public Office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103</w:t>
      </w:r>
      <w:r>
        <w:rPr>
          <w:rFonts w:ascii="arial" w:eastAsia="arial" w:hAnsi="arial" w:cs="arial"/>
          <w:color w:val="000000"/>
          <w:sz w:val="20"/>
          <w:lang w:val="en-US" w:eastAsia="en-US" w:bidi="ar-SA"/>
        </w:rPr>
        <w:t>  There is conflicting law as to whether something other than malice will suffice to constitute the tort of abuse of public office. I need not decide the issue because, in my view, the plaintiff fails under either test on the facts of this case.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104</w:t>
      </w:r>
      <w:r>
        <w:rPr>
          <w:rFonts w:ascii="arial" w:eastAsia="arial" w:hAnsi="arial" w:cs="arial"/>
          <w:color w:val="000000"/>
          <w:sz w:val="20"/>
          <w:lang w:val="en-US" w:eastAsia="en-US" w:bidi="ar-SA"/>
        </w:rPr>
        <w:t xml:space="preserve">  In First National Properties Ltd. v. District of Highlands, </w:t>
      </w:r>
      <w:hyperlink r:id="rId1105" w:history="1">
        <w:r>
          <w:rPr>
            <w:rFonts w:ascii="arial" w:eastAsia="arial" w:hAnsi="arial" w:cs="arial"/>
            <w:i/>
            <w:color w:val="0077CC"/>
            <w:sz w:val="20"/>
            <w:u w:val="single"/>
            <w:shd w:val="clear" w:color="auto" w:fill="FFFFFF"/>
            <w:lang w:val="en-US" w:eastAsia="en-US" w:bidi="ar-SA"/>
          </w:rPr>
          <w:t>[1999] B.C.J. No. 2246</w:t>
        </w:r>
      </w:hyperlink>
      <w:r>
        <w:rPr>
          <w:rFonts w:ascii="arial" w:eastAsia="arial" w:hAnsi="arial" w:cs="arial"/>
          <w:color w:val="000000"/>
          <w:sz w:val="20"/>
          <w:lang w:val="en-US" w:eastAsia="en-US" w:bidi="ar-SA"/>
        </w:rPr>
        <w:t xml:space="preserve"> (B.C.S.C.), (1 October 1999), Victoria Registry, 95/1435 at para. 49, Quijano J. refers to Francoeur v. Canada </w:t>
      </w:r>
      <w:hyperlink r:id="rId1106" w:history="1">
        <w:r>
          <w:rPr>
            <w:rFonts w:ascii="arial" w:eastAsia="arial" w:hAnsi="arial" w:cs="arial"/>
            <w:i/>
            <w:color w:val="0077CC"/>
            <w:sz w:val="20"/>
            <w:u w:val="single"/>
            <w:shd w:val="clear" w:color="auto" w:fill="FFFFFF"/>
            <w:lang w:val="en-US" w:eastAsia="en-US" w:bidi="ar-SA"/>
          </w:rPr>
          <w:t>(1994), 78 F.T.R. 109</w:t>
        </w:r>
      </w:hyperlink>
      <w:r>
        <w:rPr>
          <w:rFonts w:ascii="arial" w:eastAsia="arial" w:hAnsi="arial" w:cs="arial"/>
          <w:color w:val="000000"/>
          <w:sz w:val="20"/>
          <w:lang w:val="en-US" w:eastAsia="en-US" w:bidi="ar-SA"/>
        </w:rPr>
        <w:t xml:space="preserve"> (F.T.D.) which formulates the broad test for abuse of public office: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Such unlawful action may arise either when a statutory actor purposefully exercises a power which they do not possess with the foreseeable result of an injury to the plaintiff, or when a statutory actor exercises a discretion or power under a statute with malice, thereby rendering the action unlawful.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105</w:t>
      </w:r>
      <w:r>
        <w:rPr>
          <w:rFonts w:ascii="arial" w:eastAsia="arial" w:hAnsi="arial" w:cs="arial"/>
          <w:color w:val="000000"/>
          <w:sz w:val="20"/>
          <w:lang w:val="en-US" w:eastAsia="en-US" w:bidi="ar-SA"/>
        </w:rPr>
        <w:t xml:space="preserve">  It is noteworthy that in each of the cases relied upon by Mr. Paul, the relevant parties were statutory actors. For example, in First National, supra, the defendants included the Corporation of the District of Highlands and the Province of British Columbia. See also Bourguin S.A. and others v. Ministry of Agriculture Fisheries and Food, [1985] 3 All E.R. 585 (C.A.); Stenner v. British Columbia Securities Commission et al. </w:t>
      </w:r>
      <w:hyperlink r:id="rId1107" w:history="1">
        <w:r>
          <w:rPr>
            <w:rFonts w:ascii="arial" w:eastAsia="arial" w:hAnsi="arial" w:cs="arial"/>
            <w:i/>
            <w:color w:val="0077CC"/>
            <w:sz w:val="20"/>
            <w:u w:val="single"/>
            <w:shd w:val="clear" w:color="auto" w:fill="FFFFFF"/>
            <w:lang w:val="en-US" w:eastAsia="en-US" w:bidi="ar-SA"/>
          </w:rPr>
          <w:t>(1996), 141 D.L.R. (4th) 122</w:t>
        </w:r>
      </w:hyperlink>
      <w:r>
        <w:rPr>
          <w:rFonts w:ascii="arial" w:eastAsia="arial" w:hAnsi="arial" w:cs="arial"/>
          <w:color w:val="000000"/>
          <w:sz w:val="20"/>
          <w:lang w:val="en-US" w:eastAsia="en-US" w:bidi="ar-SA"/>
        </w:rPr>
        <w:t xml:space="preserve"> (B.C.C.A.); Francoeur v. Canada, supra; Ichi Canada Ltd. v. Palmquist and Attorney General of Canada, </w:t>
      </w:r>
      <w:hyperlink r:id="rId1108" w:history="1">
        <w:r>
          <w:rPr>
            <w:rFonts w:ascii="arial" w:eastAsia="arial" w:hAnsi="arial" w:cs="arial"/>
            <w:i/>
            <w:color w:val="0077CC"/>
            <w:sz w:val="20"/>
            <w:u w:val="single"/>
            <w:shd w:val="clear" w:color="auto" w:fill="FFFFFF"/>
            <w:lang w:val="en-US" w:eastAsia="en-US" w:bidi="ar-SA"/>
          </w:rPr>
          <w:t>[1997] B.C.J. No. 335</w:t>
        </w:r>
      </w:hyperlink>
      <w:r>
        <w:rPr>
          <w:rFonts w:ascii="arial" w:eastAsia="arial" w:hAnsi="arial" w:cs="arial"/>
          <w:color w:val="000000"/>
          <w:sz w:val="20"/>
          <w:lang w:val="en-US" w:eastAsia="en-US" w:bidi="ar-SA"/>
        </w:rPr>
        <w:t xml:space="preserve"> (B.C.S.C.), (11 February 1997), Vancouver Registry, C861019; Kripps et al. v. Touche Ross &amp; Co. </w:t>
      </w:r>
      <w:hyperlink r:id="rId1109" w:history="1">
        <w:r>
          <w:rPr>
            <w:rFonts w:ascii="arial" w:eastAsia="arial" w:hAnsi="arial" w:cs="arial"/>
            <w:i/>
            <w:color w:val="0077CC"/>
            <w:sz w:val="20"/>
            <w:u w:val="single"/>
            <w:shd w:val="clear" w:color="auto" w:fill="FFFFFF"/>
            <w:lang w:val="en-US" w:eastAsia="en-US" w:bidi="ar-SA"/>
          </w:rPr>
          <w:t>(1990), 48 B.C.L.R. (2d) 171</w:t>
        </w:r>
      </w:hyperlink>
      <w:r>
        <w:rPr>
          <w:rFonts w:ascii="arial" w:eastAsia="arial" w:hAnsi="arial" w:cs="arial"/>
          <w:color w:val="000000"/>
          <w:sz w:val="20"/>
          <w:lang w:val="en-US" w:eastAsia="en-US" w:bidi="ar-SA"/>
        </w:rPr>
        <w:t xml:space="preserve"> (B.C.C.A.) (with third party notice against the British Columbia Securities Commission and the Province of British Columbia); City of Kamloops v. Nielsen, </w:t>
      </w:r>
      <w:hyperlink r:id="rId21" w:history="1">
        <w:r>
          <w:rPr>
            <w:rFonts w:ascii="arial" w:eastAsia="arial" w:hAnsi="arial" w:cs="arial"/>
            <w:i/>
            <w:color w:val="0077CC"/>
            <w:sz w:val="20"/>
            <w:u w:val="single"/>
            <w:shd w:val="clear" w:color="auto" w:fill="FFFFFF"/>
            <w:lang w:val="en-US" w:eastAsia="en-US" w:bidi="ar-SA"/>
          </w:rPr>
          <w:t>[1984] 2 S.C.R. 2</w:t>
        </w:r>
      </w:hyperlink>
      <w:r>
        <w:rPr>
          <w:rFonts w:ascii="arial" w:eastAsia="arial" w:hAnsi="arial" w:cs="arial"/>
          <w:color w:val="000000"/>
          <w:sz w:val="20"/>
          <w:lang w:val="en-US" w:eastAsia="en-US" w:bidi="ar-SA"/>
        </w:rPr>
        <w:t xml:space="preserve"> (S.C.C.); Roncarelli v. Duplessis, </w:t>
      </w:r>
      <w:hyperlink r:id="rId1110" w:history="1">
        <w:r>
          <w:rPr>
            <w:rFonts w:ascii="arial" w:eastAsia="arial" w:hAnsi="arial" w:cs="arial"/>
            <w:i/>
            <w:color w:val="0077CC"/>
            <w:sz w:val="20"/>
            <w:u w:val="single"/>
            <w:shd w:val="clear" w:color="auto" w:fill="FFFFFF"/>
            <w:lang w:val="en-US" w:eastAsia="en-US" w:bidi="ar-SA"/>
          </w:rPr>
          <w:t>[1959] S.C.R. 121</w:t>
        </w:r>
      </w:hyperlink>
      <w:r>
        <w:rPr>
          <w:rFonts w:ascii="arial" w:eastAsia="arial" w:hAnsi="arial" w:cs="arial"/>
          <w:color w:val="000000"/>
          <w:sz w:val="20"/>
          <w:lang w:val="en-US" w:eastAsia="en-US" w:bidi="ar-SA"/>
        </w:rPr>
        <w:t xml:space="preserve"> (S.C.C.) (the respondent was the Attorney-General and Premier of the Province of Quebec); Nelles v. Ontario, </w:t>
      </w:r>
      <w:hyperlink r:id="rId1111" w:history="1">
        <w:r>
          <w:rPr>
            <w:rFonts w:ascii="arial" w:eastAsia="arial" w:hAnsi="arial" w:cs="arial"/>
            <w:i/>
            <w:color w:val="0077CC"/>
            <w:sz w:val="20"/>
            <w:u w:val="single"/>
            <w:shd w:val="clear" w:color="auto" w:fill="FFFFFF"/>
            <w:lang w:val="en-US" w:eastAsia="en-US" w:bidi="ar-SA"/>
          </w:rPr>
          <w:t>[1989] 2 S.C.R. 170</w:t>
        </w:r>
      </w:hyperlink>
      <w:r>
        <w:rPr>
          <w:rFonts w:ascii="arial" w:eastAsia="arial" w:hAnsi="arial" w:cs="arial"/>
          <w:color w:val="000000"/>
          <w:sz w:val="20"/>
          <w:lang w:val="en-US" w:eastAsia="en-US" w:bidi="ar-SA"/>
        </w:rPr>
        <w:t xml:space="preserve"> (S.C.C.); Owsley v. Ontario </w:t>
      </w:r>
      <w:hyperlink r:id="rId1112" w:history="1">
        <w:r>
          <w:rPr>
            <w:rFonts w:ascii="arial" w:eastAsia="arial" w:hAnsi="arial" w:cs="arial"/>
            <w:i/>
            <w:color w:val="0077CC"/>
            <w:sz w:val="20"/>
            <w:u w:val="single"/>
            <w:shd w:val="clear" w:color="auto" w:fill="FFFFFF"/>
            <w:lang w:val="en-US" w:eastAsia="en-US" w:bidi="ar-SA"/>
          </w:rPr>
          <w:t>(1983), 34 C.P.C. 96</w:t>
        </w:r>
      </w:hyperlink>
      <w:r>
        <w:rPr>
          <w:rFonts w:ascii="arial" w:eastAsia="arial" w:hAnsi="arial" w:cs="arial"/>
          <w:color w:val="000000"/>
          <w:sz w:val="20"/>
          <w:lang w:val="en-US" w:eastAsia="en-US" w:bidi="ar-SA"/>
        </w:rPr>
        <w:t xml:space="preserve"> (Ont. H.C.); and Chhabra v. The Queen, </w:t>
      </w:r>
      <w:hyperlink r:id="rId1113" w:history="1">
        <w:r>
          <w:rPr>
            <w:rFonts w:ascii="arial" w:eastAsia="arial" w:hAnsi="arial" w:cs="arial"/>
            <w:i/>
            <w:color w:val="0077CC"/>
            <w:sz w:val="20"/>
            <w:u w:val="single"/>
            <w:shd w:val="clear" w:color="auto" w:fill="FFFFFF"/>
            <w:lang w:val="en-US" w:eastAsia="en-US" w:bidi="ar-SA"/>
          </w:rPr>
          <w:t>[1989] F.C.J. No. 423</w:t>
        </w:r>
      </w:hyperlink>
      <w:r>
        <w:rPr>
          <w:rFonts w:ascii="arial" w:eastAsia="arial" w:hAnsi="arial" w:cs="arial"/>
          <w:color w:val="000000"/>
          <w:sz w:val="20"/>
          <w:lang w:val="en-US" w:eastAsia="en-US" w:bidi="ar-SA"/>
        </w:rPr>
        <w:t xml:space="preserve"> (F.C.T.D.), </w:t>
      </w:r>
      <w:hyperlink r:id="rId1113" w:history="1">
        <w:r>
          <w:rPr>
            <w:rFonts w:ascii="arial" w:eastAsia="arial" w:hAnsi="arial" w:cs="arial"/>
            <w:i/>
            <w:color w:val="0077CC"/>
            <w:sz w:val="20"/>
            <w:u w:val="single"/>
            <w:shd w:val="clear" w:color="auto" w:fill="FFFFFF"/>
            <w:lang w:val="en-US" w:eastAsia="en-US" w:bidi="ar-SA"/>
          </w:rPr>
          <w:t>26 F.T.R. 288</w:t>
        </w:r>
      </w:hyperlink>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106</w:t>
      </w:r>
      <w:r>
        <w:rPr>
          <w:rFonts w:ascii="arial" w:eastAsia="arial" w:hAnsi="arial" w:cs="arial"/>
          <w:color w:val="000000"/>
          <w:sz w:val="20"/>
          <w:lang w:val="en-US" w:eastAsia="en-US" w:bidi="ar-SA"/>
        </w:rPr>
        <w:t>  Mr. Paul argues that the Airport Authority is a quasi-public body, charged with a public duty to manage federal government lands in the public interest on behalf of the public. As such, the Airport Authority owes a duty of care to Mr. Paul and others not to abuse its office. It is the position of the Airport Authority that, although a public trust, it is not a public office. It is an independent, non-governmental organization that has formed a landlord-tenant relationship with the government through the Head Lease with a specific provision that provides that there is no partnership, joint venture, principal or agent relationship.</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107</w:t>
      </w:r>
      <w:r>
        <w:rPr>
          <w:rFonts w:ascii="arial" w:eastAsia="arial" w:hAnsi="arial" w:cs="arial"/>
          <w:color w:val="000000"/>
          <w:sz w:val="20"/>
          <w:lang w:val="en-US" w:eastAsia="en-US" w:bidi="ar-SA"/>
        </w:rPr>
        <w:t>  I am satisfied that the Airport Authority is not a "public office" or a "public body"; it is not a "statutory actor". Further, in the absence of a single case being provided as authority for the proposition that the tort of abuse of public office applies to a "public trust", I do not find Mr. Paul's argument to be persuasive.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108</w:t>
      </w:r>
      <w:r>
        <w:rPr>
          <w:rFonts w:ascii="arial" w:eastAsia="arial" w:hAnsi="arial" w:cs="arial"/>
          <w:color w:val="000000"/>
          <w:sz w:val="20"/>
          <w:lang w:val="en-US" w:eastAsia="en-US" w:bidi="ar-SA"/>
        </w:rPr>
        <w:t>  With respect to the allegation of abuse, Mr. Paul submits that there is strong circumstantial evidence that Mr. Kandert must have advised Harbour Air of the Paul proposal. This is based on the documentary evidence and the timing of various events which he argues amount to more than mere coincidence.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109</w:t>
      </w:r>
      <w:r>
        <w:rPr>
          <w:rFonts w:ascii="arial" w:eastAsia="arial" w:hAnsi="arial" w:cs="arial"/>
          <w:color w:val="000000"/>
          <w:sz w:val="20"/>
          <w:lang w:val="en-US" w:eastAsia="en-US" w:bidi="ar-SA"/>
        </w:rPr>
        <w:t>  It is the position of Mr. Paul that the Airport Authority made a promise to him in July, in effect "leading him down the garden path", then "yanked the rug out from under him" in December and lied about the reason. He submits this conduct is objectionable even in the rough and tumble business world, particularly where the Airport Authority is managing public lands entrusted to its control. He asks this Court to send a message that there is a requirement for the fair and equitable operation of lands entrusted to its control.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110</w:t>
      </w:r>
      <w:r>
        <w:rPr>
          <w:rFonts w:ascii="arial" w:eastAsia="arial" w:hAnsi="arial" w:cs="arial"/>
          <w:color w:val="000000"/>
          <w:sz w:val="20"/>
          <w:lang w:val="en-US" w:eastAsia="en-US" w:bidi="ar-SA"/>
        </w:rPr>
        <w:t>  It is the position of Mr. Paul that the Airport Authority acted in bad faith, abusing its position in its dealing with Harbour Air, by breaching confidences and secretly apprising Harbour Air of the Airport Authority's dealings with the Paul proposal. The conduct of the Airport Authority either gave Harbour Air "a leg up" and/or spurred it on to complete its long dormant project.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111</w:t>
      </w:r>
      <w:r>
        <w:rPr>
          <w:rFonts w:ascii="arial" w:eastAsia="arial" w:hAnsi="arial" w:cs="arial"/>
          <w:color w:val="000000"/>
          <w:sz w:val="20"/>
          <w:lang w:val="en-US" w:eastAsia="en-US" w:bidi="ar-SA"/>
        </w:rPr>
        <w:t>  Mr. Paul further argues there is evidence of bad faith in the manufacturing of reasons for terminating Mr. Paul's proposal. He argues that there is nothing in the Master Plan to support any reason for termination and, in fact, the Master Plan provides support for the proposal by encouraging commercial development along the foreshore of the Fraser River. He asserts this was merely a convenient way of sending the proponents packing rather than being up front. Mr. Paul says that it was in the interests of the Airport Authority to play one proposal off against the other.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112</w:t>
      </w:r>
      <w:r>
        <w:rPr>
          <w:rFonts w:ascii="arial" w:eastAsia="arial" w:hAnsi="arial" w:cs="arial"/>
          <w:color w:val="000000"/>
          <w:sz w:val="20"/>
          <w:lang w:val="en-US" w:eastAsia="en-US" w:bidi="ar-SA"/>
        </w:rPr>
        <w:t>  Mr. Paul argues that there is evidence of political favoritism and/or interference having regard to a letter sent January 18, 1995 by David Emerson, President and C.E.O. of the Airport Authority, to Tom Gunton, Deputy Minister, Ministry of the Environment, Lands &amp; Parks. The purpose of the letter was to make representations on behalf of Harbour Air, described as a "key tenant", to have the term of their Water Lot lease coincide with the Land lease. The Head Lease between the Harbour Commission and the Provincial Government was due to expire before the Head Lease between the Airport Authority and Her Majesty the Queen, so representation was made directly to the provincial government source who could address the issue. This letter does not provide evidence of political interference or favoritism in my view.</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113</w:t>
      </w:r>
      <w:r>
        <w:rPr>
          <w:rFonts w:ascii="arial" w:eastAsia="arial" w:hAnsi="arial" w:cs="arial"/>
          <w:color w:val="000000"/>
          <w:sz w:val="20"/>
          <w:lang w:val="en-US" w:eastAsia="en-US" w:bidi="ar-SA"/>
        </w:rPr>
        <w:t>  Even assuming that the Airport Authority is a public office, there is no evidence to support the allegation of abuse of its office. As I have already found, the Airport Authority acted fairly, reasonably and in good faith throughout. I cannot conclude that the Airport Authority was deliberately obstructing or delaying the proposal in the months leading up to the termination of consideration. I do not conclude that the reasons for termination were fabricated, reflecting bad faith. I do not conclude that the fact that Mr. Kandert "rationalized" the termination meant that he fabricated the reasons for it. Neither do I find evidence to support the allegation that the Airport Authority had any intention to "play one off against the other". As I have already found, the proponents were warned at an early date of potential problems which could arise due to the similarities between the proposals, and chose not to heed the warning. Until one or the other of the proposals ripened into a viable plan, it would have been unreasonable to expect the Airport Authority to preclude the consideration of competing proposals. Moreover, I conclude that the Airport Authority's decisions were more consistent with the exercise of sound business judgment than with the bad faith or political motivation alleged by Mr. Paul.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114</w:t>
      </w:r>
      <w:r>
        <w:rPr>
          <w:rFonts w:ascii="arial" w:eastAsia="arial" w:hAnsi="arial" w:cs="arial"/>
          <w:color w:val="000000"/>
          <w:sz w:val="20"/>
          <w:lang w:val="en-US" w:eastAsia="en-US" w:bidi="ar-SA"/>
        </w:rPr>
        <w:t>  Mr. Paul and his team view the reasons provided for termination, based on "planning initiatives", as being inconsistent with the reasons provided by the Airport Authority at trial for the termination, having regard to the infancy of the Paul proposal. However, in my view, these are not at all inconsistent. Once one of the competing proposals came to fruition, the viability of two similar facilities became a valid concern having regard to the long-term planning initiatives. Clearly, the relative progress of two competing proposals was a necessarily relevant consideration.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Breach of Confidence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115</w:t>
      </w:r>
      <w:r>
        <w:rPr>
          <w:rFonts w:ascii="arial" w:eastAsia="arial" w:hAnsi="arial" w:cs="arial"/>
          <w:color w:val="000000"/>
          <w:sz w:val="20"/>
          <w:lang w:val="en-US" w:eastAsia="en-US" w:bidi="ar-SA"/>
        </w:rPr>
        <w:t xml:space="preserve">  The case of Lac Minerals v. International Corona Resources Ltd., </w:t>
      </w:r>
      <w:hyperlink r:id="rId158" w:history="1">
        <w:r>
          <w:rPr>
            <w:rFonts w:ascii="arial" w:eastAsia="arial" w:hAnsi="arial" w:cs="arial"/>
            <w:i/>
            <w:color w:val="0077CC"/>
            <w:sz w:val="20"/>
            <w:u w:val="single"/>
            <w:shd w:val="clear" w:color="auto" w:fill="FFFFFF"/>
            <w:lang w:val="en-US" w:eastAsia="en-US" w:bidi="ar-SA"/>
          </w:rPr>
          <w:t>[1989] 2 S.C.R. 574</w:t>
        </w:r>
      </w:hyperlink>
      <w:r>
        <w:rPr>
          <w:rFonts w:ascii="arial" w:eastAsia="arial" w:hAnsi="arial" w:cs="arial"/>
          <w:color w:val="000000"/>
          <w:sz w:val="20"/>
          <w:lang w:val="en-US" w:eastAsia="en-US" w:bidi="ar-SA"/>
        </w:rPr>
        <w:t xml:space="preserve"> at 635 (S.C.C.), sets out the elements required to substantiate a claim for breach of confidence:</w:t>
      </w:r>
      <w:r>
        <w:rPr>
          <w:rFonts w:ascii="arial" w:eastAsia="arial" w:hAnsi="arial" w:cs="arial"/>
          <w:sz w:val="20"/>
          <w:lang w:val="en-US" w:eastAsia="en-US" w:bidi="ar-SA"/>
        </w:rPr>
        <w:cr/>
      </w:r>
    </w:p>
    <w:p>
      <w:pPr>
        <w:numPr>
          <w:numId w:val="1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information conveyed was confidential;</w:t>
      </w:r>
    </w:p>
    <w:p>
      <w:pPr>
        <w:numPr>
          <w:numId w:val="1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information was communicated in confidence; and</w:t>
      </w:r>
    </w:p>
    <w:p>
      <w:pPr>
        <w:numPr>
          <w:numId w:val="1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confidential information was misused by the party to whom it was communicated.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116</w:t>
      </w:r>
      <w:r>
        <w:rPr>
          <w:rFonts w:ascii="arial" w:eastAsia="arial" w:hAnsi="arial" w:cs="arial"/>
          <w:color w:val="000000"/>
          <w:sz w:val="20"/>
          <w:lang w:val="en-US" w:eastAsia="en-US" w:bidi="ar-SA"/>
        </w:rPr>
        <w:t>  Mr. Paul advanced a very serious allegation against the Airport Authority. He alleges that Harbour Air was apprised of confidential information about the Paul proposal by Mr. Kandert. In support of this allegation, Mr. Paul led no direct evidence. His counsel argued that there is circumstantial evidence of misconduct. I conclude the evidence amounts to no more than suspicion, conjecture, speculation and coincidence.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117</w:t>
      </w:r>
      <w:r>
        <w:rPr>
          <w:rFonts w:ascii="arial" w:eastAsia="arial" w:hAnsi="arial" w:cs="arial"/>
          <w:color w:val="000000"/>
          <w:sz w:val="20"/>
          <w:lang w:val="en-US" w:eastAsia="en-US" w:bidi="ar-SA"/>
        </w:rPr>
        <w:t>  Mr. Paul points to the fact that although Harbour Air's expansion plans were formulated in 1987, no steps were taken until 1994, long after Mr. Paul's project was underway to the knowledge of Mr. Kandert. Mr. Paul suggests that Mr. Kandert's call to the liquor authority on October 28 is clear evidence that he was seeking to undercut Mr. Paul's proposal.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118</w:t>
      </w:r>
      <w:r>
        <w:rPr>
          <w:rFonts w:ascii="arial" w:eastAsia="arial" w:hAnsi="arial" w:cs="arial"/>
          <w:color w:val="000000"/>
          <w:sz w:val="20"/>
          <w:lang w:val="en-US" w:eastAsia="en-US" w:bidi="ar-SA"/>
        </w:rPr>
        <w:t>  When drawing an inference based on circumstantial evidence in a civil case, one must be satisfied on a balance of probabilities that the result reached is the only reasonable inference to be drawn from the proven facts.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119</w:t>
      </w:r>
      <w:r>
        <w:rPr>
          <w:rFonts w:ascii="arial" w:eastAsia="arial" w:hAnsi="arial" w:cs="arial"/>
          <w:color w:val="000000"/>
          <w:sz w:val="20"/>
          <w:lang w:val="en-US" w:eastAsia="en-US" w:bidi="ar-SA"/>
        </w:rPr>
        <w:t>  I conclude that there is absolutely no evidence, direct or circumstantial, to support the allegation of breach of confidence. There is no evidence to support the conclusion that there was anything confidential about the Paul proposal. Information about Mr. Paul's proposal was in the public domain and bore no stamp of confidentiality. Mr. Paul and his team communicated information about the concept to many individuals, organizations and agencies. It is just as likely that any information Harbour Air may have gleaned about the Paul proposal (if any) was through any one of these individuals, organizations, agencies, or through the active "airport rumor mill". Moreover, in my view, the concept of a restaurant/pub at an airport facility does not bear the traditional hallmarks of uniqueness to which the protection of confidentiality usually attaches.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120</w:t>
      </w:r>
      <w:r>
        <w:rPr>
          <w:rFonts w:ascii="arial" w:eastAsia="arial" w:hAnsi="arial" w:cs="arial"/>
          <w:color w:val="000000"/>
          <w:sz w:val="20"/>
          <w:lang w:val="en-US" w:eastAsia="en-US" w:bidi="ar-SA"/>
        </w:rPr>
        <w:t>  In any event, even if the Airport Authority was the recipient of confidential information, there is not a shred of evidence that it misused this information. Harbour Air had been involved in a lengthy planning process for a number of years to replace its facility. Coincidentally, all of the required pieces fell into place just as Mr. Paul was beginning to explore an identical concept. What Harbour Air built in 1995 was what it first described in 1989 and what is shown in plans drawn in 1992. Harbour Air did not confiscate Mr. Paul's idea by using confidential information, although it obviously came as a surprise to Mr. Paul to realize there was nothing novel or unique about his proposal. Had the requisite due diligence been exercised by the Paul team, this realization would have occurred much earlier in the planning process.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Restitution on Quantum Meruit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121</w:t>
      </w:r>
      <w:r>
        <w:rPr>
          <w:rFonts w:ascii="arial" w:eastAsia="arial" w:hAnsi="arial" w:cs="arial"/>
          <w:color w:val="000000"/>
          <w:sz w:val="20"/>
          <w:lang w:val="en-US" w:eastAsia="en-US" w:bidi="ar-SA"/>
        </w:rPr>
        <w:t>  Mr. Paul's position is that he should be entitled to restitution to compensate him for time and expenses while operating under the assumption that a formal contract would be entered into later. Mr. Paul's expenses may amount to less than $5,000. The claim includes an "in trust" claim for Mr. Tusar's account in the amount of $49,732.86, which account was rendered in Mr. Paul's name alone on April 15, 1996, and which remains unpaid to date. There was no discussion between Mr. Tusar and Mr. Paul about fees initially. Mr. Tusar and Mr. Paul later entered into a partnership whereby Mr. Tusar's 25% interest represented a waiver of any fees. The validity of Mr. Tusar's claim for fees is doubtful but I do not have to decide that issue.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122</w:t>
      </w:r>
      <w:r>
        <w:rPr>
          <w:rFonts w:ascii="arial" w:eastAsia="arial" w:hAnsi="arial" w:cs="arial"/>
          <w:color w:val="000000"/>
          <w:sz w:val="20"/>
          <w:lang w:val="en-US" w:eastAsia="en-US" w:bidi="ar-SA"/>
        </w:rPr>
        <w:t>  I agree with the Airport Authority that Mr. Paul and his team performed no work or services at the request of or on behalf of the Airport Authority, and the Airport Authority received no benefit from anything done by them. There is no merit to a claim for restitution.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Adverse Inferences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123</w:t>
      </w:r>
      <w:r>
        <w:rPr>
          <w:rFonts w:ascii="arial" w:eastAsia="arial" w:hAnsi="arial" w:cs="arial"/>
          <w:color w:val="000000"/>
          <w:sz w:val="20"/>
          <w:lang w:val="en-US" w:eastAsia="en-US" w:bidi="ar-SA"/>
        </w:rPr>
        <w:t>  Mr. Paul seeks to have this court draw an adverse inference against the Airport Authority for failure to call certain witnesses. In some circumstances, the failure of a party to call a crucial witness may entitle the drawing of an adverse inference against that party. However, before drawing any such inference, consideration must be given to whether the witness was equally available to both parties so that either one could call the witness to testify. In this case, I conclude that no adverse inference should be drawn because the burden of proof rests on Mr. Paul and does not shift to the Airport Authority. Those individuals who were not called as witnesses, including Mr. Lancaster who is no longer employed by the Airport Authority, and Ms. Lloyd and Mr. Sirola who were present at the March/April meeting, were unnecessary in the Airport Authority's case. There is no property in a witness, and any witness was equally available to Mr. Paul, whose counsel demonstrated no hesitation in subpoenaing as adverse witnesses Mr. Kandert and Mr. McDougall from Harbour Air.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Conclusion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124</w:t>
      </w:r>
      <w:r>
        <w:rPr>
          <w:rFonts w:ascii="arial" w:eastAsia="arial" w:hAnsi="arial" w:cs="arial"/>
          <w:color w:val="000000"/>
          <w:sz w:val="20"/>
          <w:lang w:val="en-US" w:eastAsia="en-US" w:bidi="ar-SA"/>
        </w:rPr>
        <w:t>  When the Airport Authority terminated further consideration of the Paul proposal, the proposal itself was fraught with uncertainty on the totality of the evidence. Harbour Air was an aviation-related facility and an existing tenant of the Airport Authority. The Airport Authority did not "prefer" Harbour Air's long-planned replacement of its facility over the Paul Proposal. The Airport Authority exercised sound business judgment in its dealings with Mr. Paul. Accordingly, the action is dismissed.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Costs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125</w:t>
      </w:r>
      <w:r>
        <w:rPr>
          <w:rFonts w:ascii="arial" w:eastAsia="arial" w:hAnsi="arial" w:cs="arial"/>
          <w:color w:val="000000"/>
          <w:sz w:val="20"/>
          <w:lang w:val="en-US" w:eastAsia="en-US" w:bidi="ar-SA"/>
        </w:rPr>
        <w:t>  The parties have leave to make written submissions within 30 days of the date of judgment if they cannot reach an agreement on costs.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STROMBERG-STEIN J.</w:t>
      </w:r>
      <w:r>
        <w:rPr>
          <w:rFonts w:ascii="arial" w:eastAsia="arial" w:hAnsi="arial" w:cs="arial"/>
          <w:sz w:val="20"/>
          <w:lang w:val="en-US" w:eastAsia="en-US" w:bidi="ar-SA"/>
        </w:rPr>
        <w:cr/>
      </w:r>
    </w:p>
    <w:p>
      <w:pPr>
        <w:rPr>
          <w:rFonts w:ascii="arial" w:eastAsia="arial" w:hAnsi="arial" w:cs="arial"/>
          <w:sz w:val="20"/>
          <w:lang w:val="en-US" w:eastAsia="en-US" w:bidi="ar-SA"/>
        </w:rPr>
      </w:pPr>
    </w:p>
    <w:p>
      <w:pPr>
        <w:ind w:left="200"/>
        <w:rPr>
          <w:rFonts w:ascii="arial" w:eastAsia="arial" w:hAnsi="arial" w:cs="arial"/>
          <w:sz w:val="20"/>
          <w:lang w:val="en-US" w:eastAsia="en-US" w:bidi="ar-SA"/>
        </w:rPr>
      </w:pPr>
      <w:r>
        <w:rPr>
          <w:rFonts w:ascii="arial" w:eastAsia="arial" w:hAnsi="arial" w:cs="arial"/>
          <w:sz w:val="20"/>
          <w:lang w:val="en-US" w:eastAsia="en-US" w:bidi="ar-SA"/>
        </w:rPr>
        <w:br/>
      </w:r>
      <w:r>
        <w:pict>
          <v:line id="_x0000_s1265" style="position:absolute;z-index:251895808" from="0,10pt" to="512pt,10pt" strokecolor="black" strokeweight="1pt">
            <v:stroke linestyle="single"/>
          </v:line>
        </w:pict>
      </w:r>
      <w:r>
        <w:rPr>
          <w:b/>
          <w:color w:val="767676"/>
          <w:sz w:val="16"/>
          <w:lang w:val="en-US" w:eastAsia="en-US" w:bidi="ar-SA"/>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1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1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1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1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1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1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1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2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2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2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2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2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2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3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3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3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3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3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3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3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3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3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3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4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4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4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4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4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4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4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4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4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4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5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5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5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5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5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5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5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5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5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5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6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6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6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6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6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6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6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6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6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6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7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7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7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7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7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7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7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7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7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7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8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8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8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8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8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8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8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8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8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8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9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9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9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9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9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9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9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9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9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9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10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0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10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10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0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10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10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0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10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10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1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11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11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1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11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11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1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11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11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1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12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12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2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12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12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2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12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12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2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12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13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3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13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13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3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13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13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3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13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13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4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14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14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4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14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14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4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14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14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4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15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Gill v. Canada (Minister of Transport), [2014] B.C.J. No. 594</w:t>
          </w:r>
        </w:p>
      </w:tc>
    </w:tr>
  </w:tbl>
</w:hdr>
</file>

<file path=word/header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Hall v. Pinette, [2004] B.C.J. No. 2225</w:t>
          </w:r>
        </w:p>
      </w:tc>
    </w:tr>
  </w:tbl>
</w:hdr>
</file>

<file path=word/header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L.C. v. British Columbia (Ministry of Children and Families), [2005] B.C.J. No. 2692</w:t>
          </w:r>
        </w:p>
      </w:tc>
    </w:tr>
  </w:tbl>
</w:hdr>
</file>

<file path=word/header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McGlone (Guardian ad litem of) v. Kelly, [2001] B.C.J. No. 2085</w:t>
          </w:r>
        </w:p>
      </w:tc>
    </w:tr>
  </w:tbl>
</w:hdr>
</file>

<file path=word/header1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Prairie Hydraulic Equipment Ltd. v. Lakes District Maintenance Ltd., [2001] B.C.J. No. 1194</w:t>
          </w:r>
        </w:p>
      </w:tc>
    </w:tr>
  </w:tbl>
</w:hdr>
</file>

<file path=word/header1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Ross v. British Columbia Lottery Corp., [2014] B.C.J. No. 612</w:t>
          </w:r>
        </w:p>
      </w:tc>
    </w:tr>
  </w:tbl>
</w:hdr>
</file>

<file path=word/header1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Rough Bay Enterprises Ltd. v. Budden, [2003] B.C.J. No. 2734</w:t>
          </w:r>
        </w:p>
      </w:tc>
    </w:tr>
  </w:tbl>
</w:hdr>
</file>

<file path=word/header2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Schellenberg v. Wawanesa Mutual Insurance Co., [2019] I.L.R. para. I-6131</w:t>
          </w:r>
        </w:p>
      </w:tc>
    </w:tr>
  </w:tbl>
</w:hdr>
</file>

<file path=word/header2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Zink v. Adrian, [2004] I.L.R. para. G-1760</w:t>
          </w:r>
        </w:p>
      </w:tc>
    </w:tr>
  </w:tbl>
</w:hdr>
</file>

<file path=word/header2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Beazley v. Suzuki Motor Corp., [2010] B.C.J. No. 640</w:t>
          </w:r>
        </w:p>
      </w:tc>
    </w:tr>
  </w:tbl>
</w:hdr>
</file>

<file path=word/header3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3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3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British Columbia (Attorney General) v. Perry Ridge Water Users Assn., [2000] B.C.J. No. 1226</w:t>
          </w:r>
        </w:p>
      </w:tc>
    </w:tr>
  </w:tbl>
</w:hdr>
</file>

<file path=word/header3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3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3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Cassidy v. Abbotsford (City) Police Department, [2001] B.C.J. No. 1210</w:t>
          </w:r>
        </w:p>
      </w:tc>
    </w:tr>
  </w:tbl>
</w:hdr>
</file>

<file path=word/header3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3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3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Chapman v. Chapman, [2008] B.C.J. No. 1532</w:t>
          </w:r>
        </w:p>
      </w:tc>
    </w:tr>
  </w:tbl>
</w:hdr>
</file>

<file path=word/header3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4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4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Chaytor (Re), [2006] B.C.J. No. 3037</w:t>
          </w:r>
        </w:p>
      </w:tc>
    </w:tr>
  </w:tbl>
</w:hdr>
</file>

<file path=word/header4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4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4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Downs Construction Ltd. v. British Columbia (Workers' Compensation Appeal Tribunal), [2011] B.C.J. No. 1583</w:t>
          </w:r>
        </w:p>
      </w:tc>
    </w:tr>
  </w:tbl>
</w:hdr>
</file>

<file path=word/header4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4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4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D.P. v. 332391 B.C. Ltd., [2000] B.C.J. No. 195</w:t>
          </w:r>
        </w:p>
      </w:tc>
    </w:tr>
  </w:tbl>
</w:hdr>
</file>

<file path=word/header4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4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5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Faulkner (c.o.b. Red Balloon Toy Store) v. Peace Hills General Insurance Co., [2015] B.C.J. No. 2957</w:t>
          </w:r>
        </w:p>
      </w:tc>
    </w:tr>
  </w:tbl>
</w:hdr>
</file>

<file path=word/header5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5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5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F.A. v. Henley, [2006] B.C.J. No. 1529</w:t>
          </w:r>
        </w:p>
      </w:tc>
    </w:tr>
  </w:tbl>
</w:hdr>
</file>

<file path=word/header5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5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5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J.L.G. v. A.W.W., [2004] B.C.J. No. 1779</w:t>
          </w:r>
        </w:p>
      </w:tc>
    </w:tr>
  </w:tbl>
</w:hdr>
</file>

<file path=word/header5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5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5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Gordon v. Krieg, [2011] B.C.J. No. 1304</w:t>
          </w:r>
        </w:p>
      </w:tc>
    </w:tr>
  </w:tbl>
</w:hdr>
</file>

<file path=word/header6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6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6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Grey v. College of the Rockies, [2005] B.C.J. No. 863</w:t>
          </w:r>
        </w:p>
      </w:tc>
    </w:tr>
  </w:tbl>
</w:hdr>
</file>

<file path=word/header6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6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6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Hadcock v. Georgia Pacific Securities Corp., [2005] B.C.J. No. 858</w:t>
          </w:r>
        </w:p>
      </w:tc>
    </w:tr>
  </w:tbl>
</w:hdr>
</file>

<file path=word/header6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6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6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Hill v. Canada (Royal Canadian Mounted Police), [2001] B.C.J. No. 1695</w:t>
          </w:r>
        </w:p>
      </w:tc>
    </w:tr>
  </w:tbl>
</w:hdr>
</file>

<file path=word/header6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7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7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Hocaluk v. Insurance Corp. of British Columbia, [2007] B.C.J. No. 227</w:t>
          </w:r>
        </w:p>
      </w:tc>
    </w:tr>
  </w:tbl>
</w:hdr>
</file>

<file path=word/header7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7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7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J.C. Creations Ltd. (c.o.b. Heavenly Bodies) v. Vancouver City Savings Credit Union, [2000] B.C.J. No. 2135</w:t>
          </w:r>
        </w:p>
      </w:tc>
    </w:tr>
  </w:tbl>
</w:hdr>
</file>

<file path=word/header7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7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7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Knott v. Doe, [2005] B.C.J. No. 326</w:t>
          </w:r>
        </w:p>
      </w:tc>
    </w:tr>
  </w:tbl>
</w:hdr>
</file>

<file path=word/header7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7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8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MacEachern (Committee of) v. Rennie, [2009] B.C.J. No. 1412</w:t>
          </w:r>
        </w:p>
      </w:tc>
    </w:tr>
  </w:tbl>
</w:hdr>
</file>

<file path=word/header8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8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8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Makowsky v. John Doe, [2007] B.C.J. No. 2742</w:t>
          </w:r>
        </w:p>
      </w:tc>
    </w:tr>
  </w:tbl>
</w:hdr>
</file>

<file path=word/header8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8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8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Morrison v. Van Den Tillaart, [2012] B.C.J. No. 524</w:t>
          </w:r>
        </w:p>
      </w:tc>
    </w:tr>
  </w:tbl>
</w:hdr>
</file>

<file path=word/header8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8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8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Noriega v. Lewars, [2008] B.C.J. No. 1998</w:t>
          </w:r>
        </w:p>
      </w:tc>
    </w:tr>
  </w:tbl>
</w:hdr>
</file>

<file path=word/header9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9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9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Radjenovic v. Bains, [2013] B.C.J. No. 749</w:t>
          </w:r>
        </w:p>
      </w:tc>
    </w:tr>
  </w:tbl>
</w:hdr>
</file>

<file path=word/header9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9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9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Salvatierra v. Vancouver (City), [2008] B.C.J. No. 771</w:t>
          </w:r>
        </w:p>
      </w:tc>
    </w:tr>
  </w:tbl>
</w:hdr>
</file>

<file path=word/header9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9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9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Samuel v. Levi, [2009] I.L.R. para. M-2288</w:t>
          </w:r>
        </w:p>
      </w:tc>
    </w:tr>
  </w:tbl>
</w:hdr>
</file>

<file path=word/header9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0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0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Sciberras v. Naylor, [2002] B.C.J. No. 12</w:t>
          </w:r>
        </w:p>
      </w:tc>
    </w:tr>
  </w:tbl>
</w:hdr>
</file>

<file path=word/header10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0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0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Smithers Parts Ltd. v. Hudson, [2009] B.C.J. No. 2370</w:t>
          </w:r>
        </w:p>
      </w:tc>
    </w:tr>
  </w:tbl>
</w:hdr>
</file>

<file path=word/header10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0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0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Snowfield Development Corp. v. Dyno Nobel Canada Inc., [2011] B.C.J. No. 1809</w:t>
          </w:r>
        </w:p>
      </w:tc>
    </w:tr>
  </w:tbl>
</w:hdr>
</file>

<file path=word/header10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0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1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Strata Plan KAS 3267 v. Happy Valley Resort Ltd., [2015] B.C.J. No. 2320</w:t>
          </w:r>
        </w:p>
      </w:tc>
    </w:tr>
  </w:tbl>
</w:hdr>
</file>

<file path=word/header11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1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1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Superior Filter Recycling Inc. v. L.E.J. International Ltd., [2003] B.C.J. No. 1392</w:t>
          </w:r>
        </w:p>
      </w:tc>
    </w:tr>
  </w:tbl>
</w:hdr>
</file>

<file path=word/header11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1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1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United Savings Credit Union v. Gill, [2002] B.C.J. No. 2791</w:t>
          </w:r>
        </w:p>
      </w:tc>
    </w:tr>
  </w:tbl>
</w:hdr>
</file>

<file path=word/header11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1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1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Velmi v. Pacific International Securities Inc., [2001] B.C.J. No. 994</w:t>
          </w:r>
        </w:p>
      </w:tc>
    </w:tr>
  </w:tbl>
</w:hdr>
</file>

<file path=word/header12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2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2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Ward v. Smith, [2001] B.C.J. No. 2371</w:t>
          </w:r>
        </w:p>
      </w:tc>
    </w:tr>
  </w:tbl>
</w:hdr>
</file>

<file path=word/header12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2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2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Westsea Construction Ltd. v. 0759553 B.C. Ltd., [2013] B.C.J. No. 1657</w:t>
          </w:r>
        </w:p>
      </w:tc>
    </w:tr>
  </w:tbl>
</w:hdr>
</file>

<file path=word/header12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2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2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Winvan Paving Ltd. v. Gencor Industries Inc., [2015] B.C.J. No. 280</w:t>
          </w:r>
        </w:p>
      </w:tc>
    </w:tr>
  </w:tbl>
</w:hdr>
</file>

<file path=word/header12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3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3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British Columbia Teachers' Federation v. British Columbia, [2014] B.C.J. No. 91</w:t>
          </w:r>
        </w:p>
      </w:tc>
    </w:tr>
  </w:tbl>
</w:hdr>
</file>

<file path=word/header13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3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3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Cameron v. Albrich, [2011] B.C.J. No. 806</w:t>
          </w:r>
        </w:p>
      </w:tc>
    </w:tr>
  </w:tbl>
</w:hdr>
</file>

<file path=word/header13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3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3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Davis v. British Columbia Hydro and Power Authority, [2016] B.C.J. No. 1486</w:t>
          </w:r>
        </w:p>
      </w:tc>
    </w:tr>
  </w:tbl>
</w:hdr>
</file>

<file path=word/header13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3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4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Gohringer v. Hernandez-Lazo, [2009] B.C.J. No. 615</w:t>
          </w:r>
        </w:p>
      </w:tc>
    </w:tr>
  </w:tbl>
</w:hdr>
</file>

<file path=word/header14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4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4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Insurance Corp. of British Columbia v. Alexander, [2016] B.C.J. No. 1252</w:t>
          </w:r>
        </w:p>
      </w:tc>
    </w:tr>
  </w:tbl>
</w:hdr>
</file>

<file path=word/header14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4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4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Koubi v. Mazda Canada Inc., [2010] B.C.J. No. 838</w:t>
          </w:r>
        </w:p>
      </w:tc>
    </w:tr>
  </w:tbl>
</w:hdr>
</file>

<file path=word/header14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4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4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Paul v. Vancouver International Airport Authority, [2000] B.C.J. No. 537</w:t>
          </w:r>
        </w:p>
      </w:tc>
    </w:tr>
  </w:tbl>
</w:hdr>
</file>

<file path=word/header15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0000001"/>
    <w:multiLevelType w:val="multilevel"/>
    <w:tmpl w:val="00000001"/>
    <w:lvl w:ilvl="0">
      <w:start w:val="5"/>
      <w:numFmt w:val="decimal"/>
      <w:lvlText w:val=" %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
    <w:nsid w:val="00000002"/>
    <w:multiLevelType w:val="multilevel"/>
    <w:tmpl w:val="00000002"/>
    <w:lvl w:ilvl="0">
      <w:start w:val="7"/>
      <w:numFmt w:val="decimal"/>
      <w:lvlText w:val=" %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
    <w:nsid w:val="00000003"/>
    <w:multiLevelType w:val="multilevel"/>
    <w:tmpl w:val="00000003"/>
    <w:lvl w:ilvl="0">
      <w:start w:val="1"/>
      <w:numFmt w:val="lowerLetter"/>
      <w:lvlText w:val="(%1)"/>
      <w:lvlJc w:val="left"/>
      <w:pPr>
        <w:tabs>
          <w:tab w:val="num" w:pos="1840"/>
        </w:tabs>
        <w:ind w:left="184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
    <w:nsid w:val="00000004"/>
    <w:multiLevelType w:val="multilevel"/>
    <w:tmpl w:val="00000004"/>
    <w:lvl w:ilvl="0">
      <w:start w:val="1"/>
      <w:numFmt w:val="decimal"/>
      <w:lvlText w:val="13."/>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4">
    <w:nsid w:val="00000005"/>
    <w:multiLevelType w:val="multilevel"/>
    <w:tmpl w:val="00000005"/>
    <w:lvl w:ilvl="0">
      <w:start w:val="1"/>
      <w:numFmt w:val="lowerLetter"/>
      <w:lvlText w:val="(%1)"/>
      <w:lvlJc w:val="left"/>
      <w:pPr>
        <w:tabs>
          <w:tab w:val="num" w:pos="1840"/>
        </w:tabs>
        <w:ind w:left="184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5">
    <w:nsid w:val="00000006"/>
    <w:multiLevelType w:val="multilevel"/>
    <w:tmpl w:val="00000006"/>
    <w:lvl w:ilvl="0">
      <w:start w:val="1"/>
      <w:numFmt w:val="decimal"/>
      <w:lvlText w:val="14."/>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6">
    <w:nsid w:val="00000007"/>
    <w:multiLevelType w:val="multilevel"/>
    <w:tmpl w:val="00000007"/>
    <w:lvl w:ilvl="0">
      <w:start w:val="15"/>
      <w:numFmt w:val="lowerLetter"/>
      <w:lvlText w:val="(%1)"/>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7">
    <w:nsid w:val="00000008"/>
    <w:multiLevelType w:val="multilevel"/>
    <w:tmpl w:val="00000008"/>
    <w:lvl w:ilvl="0">
      <w:start w:val="1"/>
      <w:numFmt w:val="decimal"/>
      <w:lvlText w:val="*"/>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8">
    <w:nsid w:val="00000009"/>
    <w:multiLevelType w:val="multilevel"/>
    <w:tmpl w:val="00000009"/>
    <w:lvl w:ilvl="0">
      <w:start w:val="1"/>
      <w:numFmt w:val="decimal"/>
      <w:lvlText w:val="*"/>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9">
    <w:nsid w:val="0000000A"/>
    <w:multiLevelType w:val="multilevel"/>
    <w:tmpl w:val="0000000A"/>
    <w:lvl w:ilvl="0">
      <w:start w:val="1"/>
      <w:numFmt w:val="decimal"/>
      <w:lvlText w:val="*"/>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0">
    <w:nsid w:val="0000000B"/>
    <w:multiLevelType w:val="multilevel"/>
    <w:tmpl w:val="0000000B"/>
    <w:lvl w:ilvl="0">
      <w:start w:val="1"/>
      <w:numFmt w:val="decimal"/>
      <w:lvlText w:val="*"/>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1">
    <w:nsid w:val="0000000C"/>
    <w:multiLevelType w:val="multilevel"/>
    <w:tmpl w:val="0000000C"/>
    <w:lvl w:ilvl="0">
      <w:start w:val="1"/>
      <w:numFmt w:val="decimal"/>
      <w:lvlText w:val="*"/>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2">
    <w:nsid w:val="0000000D"/>
    <w:multiLevelType w:val="multilevel"/>
    <w:tmpl w:val="0000000D"/>
    <w:lvl w:ilvl="0">
      <w:start w:val="1"/>
      <w:numFmt w:val="decimal"/>
      <w:lvlText w:val="*"/>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3">
    <w:nsid w:val="0000000E"/>
    <w:multiLevelType w:val="multilevel"/>
    <w:tmpl w:val="0000000E"/>
    <w:lvl w:ilvl="0">
      <w:start w:val="1"/>
      <w:numFmt w:val="decimal"/>
      <w:lvlText w:val="*"/>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4">
    <w:nsid w:val="0000000F"/>
    <w:multiLevelType w:val="multilevel"/>
    <w:tmpl w:val="0000000F"/>
    <w:lvl w:ilvl="0">
      <w:start w:val="1"/>
      <w:numFmt w:val="decimal"/>
      <w:lvlText w:val="*"/>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5">
    <w:nsid w:val="00000010"/>
    <w:multiLevelType w:val="multilevel"/>
    <w:tmpl w:val="00000010"/>
    <w:lvl w:ilvl="0">
      <w:start w:val="1"/>
      <w:numFmt w:val="lowerLetter"/>
      <w:lvlText w:val=" %1)"/>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6">
    <w:nsid w:val="00000011"/>
    <w:multiLevelType w:val="multilevel"/>
    <w:tmpl w:val="00000011"/>
    <w:lvl w:ilvl="0">
      <w:start w:val="1"/>
      <w:numFmt w:val="decimal"/>
      <w:lvlText w:val="b)"/>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7">
    <w:nsid w:val="00000012"/>
    <w:multiLevelType w:val="multilevel"/>
    <w:tmpl w:val="00000012"/>
    <w:lvl w:ilvl="0">
      <w:start w:val="1"/>
      <w:numFmt w:val="decimal"/>
      <w:lvlText w:val="c)"/>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8">
    <w:nsid w:val="00000013"/>
    <w:multiLevelType w:val="multilevel"/>
    <w:tmpl w:val="00000013"/>
    <w:lvl w:ilvl="0">
      <w:start w:val="1"/>
      <w:numFmt w:val="decimal"/>
      <w:lvlText w:val="*"/>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9">
    <w:nsid w:val="00000014"/>
    <w:multiLevelType w:val="multilevel"/>
    <w:tmpl w:val="00000014"/>
    <w:lvl w:ilvl="0">
      <w:start w:val="1"/>
      <w:numFmt w:val="decimal"/>
      <w:lvlText w:val="*"/>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0">
    <w:nsid w:val="00000015"/>
    <w:multiLevelType w:val="multilevel"/>
    <w:tmpl w:val="00000015"/>
    <w:lvl w:ilvl="0">
      <w:start w:val="1"/>
      <w:numFmt w:val="decimal"/>
      <w:lvlText w:val="*"/>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1">
    <w:nsid w:val="00000016"/>
    <w:multiLevelType w:val="multilevel"/>
    <w:tmpl w:val="00000016"/>
    <w:lvl w:ilvl="0">
      <w:start w:val="1"/>
      <w:numFmt w:val="decimal"/>
      <w:lvlText w:val="*"/>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2">
    <w:nsid w:val="00000017"/>
    <w:multiLevelType w:val="multilevel"/>
    <w:tmpl w:val="00000017"/>
    <w:lvl w:ilvl="0">
      <w:start w:val="1"/>
      <w:numFmt w:val="decimal"/>
      <w:lvlText w:val="*"/>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3">
    <w:nsid w:val="00000018"/>
    <w:multiLevelType w:val="multilevel"/>
    <w:tmpl w:val="00000018"/>
    <w:lvl w:ilvl="0">
      <w:start w:val="1"/>
      <w:numFmt w:val="decimal"/>
      <w:lvlText w:val="*"/>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4">
    <w:nsid w:val="00000019"/>
    <w:multiLevelType w:val="multilevel"/>
    <w:tmpl w:val="00000019"/>
    <w:lvl w:ilvl="0">
      <w:start w:val="1"/>
      <w:numFmt w:val="decimal"/>
      <w:lvlText w:val="*"/>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5">
    <w:nsid w:val="0000001A"/>
    <w:multiLevelType w:val="multilevel"/>
    <w:tmpl w:val="0000001A"/>
    <w:lvl w:ilvl="0">
      <w:start w:val="1"/>
      <w:numFmt w:val="decimal"/>
      <w:lvlText w:val="*"/>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6">
    <w:nsid w:val="0000001B"/>
    <w:multiLevelType w:val="multilevel"/>
    <w:tmpl w:val="0000001B"/>
    <w:lvl w:ilvl="0">
      <w:start w:val="1"/>
      <w:numFmt w:val="decimal"/>
      <w:lvlText w:val="*"/>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7">
    <w:nsid w:val="0000001C"/>
    <w:multiLevelType w:val="multilevel"/>
    <w:tmpl w:val="0000001C"/>
    <w:lvl w:ilvl="0">
      <w:start w:val="1"/>
      <w:numFmt w:val="decimal"/>
      <w:lvlText w:val="*"/>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8">
    <w:nsid w:val="0000001D"/>
    <w:multiLevelType w:val="multilevel"/>
    <w:tmpl w:val="0000001D"/>
    <w:lvl w:ilvl="0">
      <w:start w:val="7"/>
      <w:numFmt w:val="decimal"/>
      <w:lvlText w:val=" %1."/>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9">
    <w:nsid w:val="0000001E"/>
    <w:multiLevelType w:val="multilevel"/>
    <w:tmpl w:val="0000001E"/>
    <w:lvl w:ilvl="0">
      <w:start w:val="1"/>
      <w:numFmt w:val="decimal"/>
      <w:lvlText w:val="44."/>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0">
    <w:nsid w:val="0000001F"/>
    <w:multiLevelType w:val="multilevel"/>
    <w:tmpl w:val="0000001F"/>
    <w:lvl w:ilvl="0">
      <w:start w:val="1"/>
      <w:numFmt w:val="decimal"/>
      <w:lvlText w:val="45."/>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1">
    <w:nsid w:val="00000020"/>
    <w:multiLevelType w:val="multilevel"/>
    <w:tmpl w:val="00000020"/>
    <w:lvl w:ilvl="0">
      <w:start w:val="1"/>
      <w:numFmt w:val="decimal"/>
      <w:lvlText w:val="46."/>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2">
    <w:nsid w:val="00000021"/>
    <w:multiLevelType w:val="multilevel"/>
    <w:tmpl w:val="00000021"/>
    <w:lvl w:ilvl="0">
      <w:start w:val="1"/>
      <w:numFmt w:val="decimal"/>
      <w:lvlText w:val=" %1."/>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3">
    <w:nsid w:val="00000022"/>
    <w:multiLevelType w:val="multilevel"/>
    <w:tmpl w:val="00000022"/>
    <w:lvl w:ilvl="0">
      <w:start w:val="2"/>
      <w:numFmt w:val="decimal"/>
      <w:lvlText w:val=" %1."/>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4">
    <w:nsid w:val="00000023"/>
    <w:multiLevelType w:val="multilevel"/>
    <w:tmpl w:val="00000023"/>
    <w:lvl w:ilvl="0">
      <w:start w:val="3"/>
      <w:numFmt w:val="decimal"/>
      <w:lvlText w:val=" %1."/>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5">
    <w:nsid w:val="00000024"/>
    <w:multiLevelType w:val="multilevel"/>
    <w:tmpl w:val="00000024"/>
    <w:lvl w:ilvl="0">
      <w:start w:val="4"/>
      <w:numFmt w:val="decimal"/>
      <w:lvlText w:val=" %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6">
    <w:nsid w:val="00000025"/>
    <w:multiLevelType w:val="multilevel"/>
    <w:tmpl w:val="00000025"/>
    <w:lvl w:ilvl="0">
      <w:start w:val="1"/>
      <w:numFmt w:val="lowerLetter"/>
      <w:lvlText w:val=" %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7">
    <w:nsid w:val="00000026"/>
    <w:multiLevelType w:val="multilevel"/>
    <w:tmpl w:val="00000026"/>
    <w:lvl w:ilvl="0">
      <w:start w:val="2"/>
      <w:numFmt w:val="lowerLetter"/>
      <w:lvlText w:val=" %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8">
    <w:nsid w:val="00000027"/>
    <w:multiLevelType w:val="multilevel"/>
    <w:tmpl w:val="00000027"/>
    <w:lvl w:ilvl="0">
      <w:start w:val="1"/>
      <w:numFmt w:val="decimal"/>
      <w:lvlText w:val=" %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9">
    <w:nsid w:val="00000028"/>
    <w:multiLevelType w:val="multilevel"/>
    <w:tmpl w:val="00000028"/>
    <w:lvl w:ilvl="0">
      <w:start w:val="2"/>
      <w:numFmt w:val="decimal"/>
      <w:lvlText w:val=" %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40">
    <w:nsid w:val="00000029"/>
    <w:multiLevelType w:val="multilevel"/>
    <w:tmpl w:val="00000029"/>
    <w:lvl w:ilvl="0">
      <w:start w:val="3"/>
      <w:numFmt w:val="decimal"/>
      <w:lvlText w:val=" %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41">
    <w:nsid w:val="0000002A"/>
    <w:multiLevelType w:val="multilevel"/>
    <w:tmpl w:val="0000002A"/>
    <w:lvl w:ilvl="0">
      <w:start w:val="4"/>
      <w:numFmt w:val="decimal"/>
      <w:lvlText w:val=" %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42">
    <w:nsid w:val="0000002B"/>
    <w:multiLevelType w:val="multilevel"/>
    <w:tmpl w:val="0000002B"/>
    <w:lvl w:ilvl="0">
      <w:start w:val="5"/>
      <w:numFmt w:val="decimal"/>
      <w:lvlText w:val=" %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43">
    <w:nsid w:val="0000002C"/>
    <w:multiLevelType w:val="multilevel"/>
    <w:tmpl w:val="0000002C"/>
    <w:lvl w:ilvl="0">
      <w:start w:val="6"/>
      <w:numFmt w:val="decimal"/>
      <w:lvlText w:val=" %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44">
    <w:nsid w:val="0000002D"/>
    <w:multiLevelType w:val="multilevel"/>
    <w:tmpl w:val="0000002D"/>
    <w:lvl w:ilvl="0">
      <w:start w:val="1"/>
      <w:numFmt w:val="decimal"/>
      <w:lvlText w:val=" %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45">
    <w:nsid w:val="0000002E"/>
    <w:multiLevelType w:val="multilevel"/>
    <w:tmpl w:val="0000002E"/>
    <w:lvl w:ilvl="0">
      <w:start w:val="2"/>
      <w:numFmt w:val="decimal"/>
      <w:lvlText w:val=" %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46">
    <w:nsid w:val="0000002F"/>
    <w:multiLevelType w:val="multilevel"/>
    <w:tmpl w:val="0000002F"/>
    <w:lvl w:ilvl="0">
      <w:start w:val="3"/>
      <w:numFmt w:val="decimal"/>
      <w:lvlText w:val=" %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47">
    <w:nsid w:val="00000030"/>
    <w:multiLevelType w:val="multilevel"/>
    <w:tmpl w:val="00000030"/>
    <w:lvl w:ilvl="0">
      <w:start w:val="4"/>
      <w:numFmt w:val="decimal"/>
      <w:lvlText w:val=" %1."/>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48">
    <w:nsid w:val="00000031"/>
    <w:multiLevelType w:val="multilevel"/>
    <w:tmpl w:val="00000031"/>
    <w:lvl w:ilvl="0">
      <w:start w:val="1"/>
      <w:numFmt w:val="lowerLetter"/>
      <w:lvlText w:val=" %1)"/>
      <w:lvlJc w:val="left"/>
      <w:pPr>
        <w:tabs>
          <w:tab w:val="num" w:pos="1840"/>
        </w:tabs>
        <w:ind w:left="184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49">
    <w:nsid w:val="00000032"/>
    <w:multiLevelType w:val="multilevel"/>
    <w:tmpl w:val="00000032"/>
    <w:lvl w:ilvl="0">
      <w:start w:val="1"/>
      <w:numFmt w:val="decimal"/>
      <w:lvlText w:val="b)"/>
      <w:lvlJc w:val="left"/>
      <w:pPr>
        <w:tabs>
          <w:tab w:val="num" w:pos="1840"/>
        </w:tabs>
        <w:ind w:left="184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50">
    <w:nsid w:val="00000033"/>
    <w:multiLevelType w:val="multilevel"/>
    <w:tmpl w:val="00000033"/>
    <w:lvl w:ilvl="0">
      <w:start w:val="1"/>
      <w:numFmt w:val="decimal"/>
      <w:lvlText w:val="c)"/>
      <w:lvlJc w:val="left"/>
      <w:pPr>
        <w:tabs>
          <w:tab w:val="num" w:pos="1840"/>
        </w:tabs>
        <w:ind w:left="184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51">
    <w:nsid w:val="00000034"/>
    <w:multiLevelType w:val="multilevel"/>
    <w:tmpl w:val="00000034"/>
    <w:lvl w:ilvl="0">
      <w:start w:val="1"/>
      <w:numFmt w:val="lowerLetter"/>
      <w:lvlText w:val=" %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52">
    <w:nsid w:val="00000035"/>
    <w:multiLevelType w:val="multilevel"/>
    <w:tmpl w:val="00000035"/>
    <w:lvl w:ilvl="0">
      <w:start w:val="2"/>
      <w:numFmt w:val="lowerLetter"/>
      <w:lvlText w:val=" %1)"/>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53">
    <w:nsid w:val="00000036"/>
    <w:multiLevelType w:val="multilevel"/>
    <w:tmpl w:val="00000036"/>
    <w:lvl w:ilvl="0">
      <w:start w:val="1"/>
      <w:numFmt w:val="lowerLetter"/>
      <w:lvlText w:val=" %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54">
    <w:nsid w:val="00000037"/>
    <w:multiLevelType w:val="multilevel"/>
    <w:tmpl w:val="00000037"/>
    <w:lvl w:ilvl="0">
      <w:start w:val="2"/>
      <w:numFmt w:val="lowerLetter"/>
      <w:lvlText w:val=" %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55">
    <w:nsid w:val="00000038"/>
    <w:multiLevelType w:val="multilevel"/>
    <w:tmpl w:val="00000038"/>
    <w:lvl w:ilvl="0">
      <w:start w:val="3"/>
      <w:numFmt w:val="lowerLetter"/>
      <w:lvlText w:val=" %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56">
    <w:nsid w:val="00000039"/>
    <w:multiLevelType w:val="multilevel"/>
    <w:tmpl w:val="00000039"/>
    <w:lvl w:ilvl="0">
      <w:start w:val="1"/>
      <w:numFmt w:val="lowerLetter"/>
      <w:lvlText w:val=" %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57">
    <w:nsid w:val="0000003A"/>
    <w:multiLevelType w:val="multilevel"/>
    <w:tmpl w:val="0000003A"/>
    <w:lvl w:ilvl="0">
      <w:start w:val="2"/>
      <w:numFmt w:val="lowerLetter"/>
      <w:lvlText w:val=" %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58">
    <w:nsid w:val="0000003B"/>
    <w:multiLevelType w:val="multilevel"/>
    <w:tmpl w:val="0000003B"/>
    <w:lvl w:ilvl="0">
      <w:start w:val="3"/>
      <w:numFmt w:val="lowerLetter"/>
      <w:lvlText w:val=" %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59">
    <w:nsid w:val="0000003C"/>
    <w:multiLevelType w:val="multilevel"/>
    <w:tmpl w:val="0000003C"/>
    <w:lvl w:ilvl="0">
      <w:start w:val="1"/>
      <w:numFmt w:val="lowerLetter"/>
      <w:lvlText w:val=" %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60">
    <w:nsid w:val="0000003D"/>
    <w:multiLevelType w:val="multilevel"/>
    <w:tmpl w:val="0000003D"/>
    <w:lvl w:ilvl="0">
      <w:start w:val="2"/>
      <w:numFmt w:val="lowerLetter"/>
      <w:lvlText w:val=" %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61">
    <w:nsid w:val="0000003E"/>
    <w:multiLevelType w:val="multilevel"/>
    <w:tmpl w:val="0000003E"/>
    <w:lvl w:ilvl="0">
      <w:start w:val="3"/>
      <w:numFmt w:val="lowerLetter"/>
      <w:lvlText w:val=" %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62">
    <w:nsid w:val="0000003F"/>
    <w:multiLevelType w:val="multilevel"/>
    <w:tmpl w:val="0000003F"/>
    <w:lvl w:ilvl="0">
      <w:start w:val="4"/>
      <w:numFmt w:val="lowerLetter"/>
      <w:lvlText w:val=" %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63">
    <w:nsid w:val="00000040"/>
    <w:multiLevelType w:val="multilevel"/>
    <w:tmpl w:val="00000040"/>
    <w:lvl w:ilvl="0">
      <w:start w:val="5"/>
      <w:numFmt w:val="lowerLetter"/>
      <w:lvlText w:val=" %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64">
    <w:nsid w:val="00000041"/>
    <w:multiLevelType w:val="multilevel"/>
    <w:tmpl w:val="00000041"/>
    <w:lvl w:ilvl="0">
      <w:start w:val="1"/>
      <w:numFmt w:val="lowerLetter"/>
      <w:lvlText w:val="(%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65">
    <w:nsid w:val="00000042"/>
    <w:multiLevelType w:val="multilevel"/>
    <w:tmpl w:val="00000042"/>
    <w:lvl w:ilvl="0">
      <w:start w:val="2"/>
      <w:numFmt w:val="lowerLetter"/>
      <w:lvlText w:val="(%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66">
    <w:nsid w:val="00000043"/>
    <w:multiLevelType w:val="multilevel"/>
    <w:tmpl w:val="00000043"/>
    <w:lvl w:ilvl="0">
      <w:start w:val="3"/>
      <w:numFmt w:val="lowerLetter"/>
      <w:lvlText w:val="(%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67">
    <w:nsid w:val="00000044"/>
    <w:multiLevelType w:val="multilevel"/>
    <w:tmpl w:val="00000044"/>
    <w:lvl w:ilvl="0">
      <w:start w:val="1"/>
      <w:numFmt w:val="lowerLetter"/>
      <w:lvlText w:val="(%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68">
    <w:nsid w:val="00000045"/>
    <w:multiLevelType w:val="multilevel"/>
    <w:tmpl w:val="00000045"/>
    <w:lvl w:ilvl="0">
      <w:start w:val="2"/>
      <w:numFmt w:val="lowerLetter"/>
      <w:lvlText w:val="(%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69">
    <w:nsid w:val="00000046"/>
    <w:multiLevelType w:val="multilevel"/>
    <w:tmpl w:val="00000046"/>
    <w:lvl w:ilvl="0">
      <w:start w:val="3"/>
      <w:numFmt w:val="lowerLetter"/>
      <w:lvlText w:val="(%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70">
    <w:nsid w:val="00000047"/>
    <w:multiLevelType w:val="multilevel"/>
    <w:tmpl w:val="00000047"/>
    <w:lvl w:ilvl="0">
      <w:start w:val="1"/>
      <w:numFmt w:val="lowerLetter"/>
      <w:lvlText w:val="(%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71">
    <w:nsid w:val="00000048"/>
    <w:multiLevelType w:val="multilevel"/>
    <w:tmpl w:val="00000048"/>
    <w:lvl w:ilvl="0">
      <w:start w:val="2"/>
      <w:numFmt w:val="lowerLetter"/>
      <w:lvlText w:val="(%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72">
    <w:nsid w:val="00000049"/>
    <w:multiLevelType w:val="multilevel"/>
    <w:tmpl w:val="00000049"/>
    <w:lvl w:ilvl="0">
      <w:start w:val="3"/>
      <w:numFmt w:val="lowerLetter"/>
      <w:lvlText w:val="(%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73">
    <w:nsid w:val="0000004A"/>
    <w:multiLevelType w:val="multilevel"/>
    <w:tmpl w:val="0000004A"/>
    <w:lvl w:ilvl="0">
      <w:start w:val="4"/>
      <w:numFmt w:val="lowerLetter"/>
      <w:lvlText w:val="(%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74">
    <w:nsid w:val="0000004B"/>
    <w:multiLevelType w:val="multilevel"/>
    <w:tmpl w:val="0000004B"/>
    <w:lvl w:ilvl="0">
      <w:start w:val="1"/>
      <w:numFmt w:val="lowerLetter"/>
      <w:lvlText w:val="(%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75">
    <w:nsid w:val="0000004C"/>
    <w:multiLevelType w:val="multilevel"/>
    <w:tmpl w:val="0000004C"/>
    <w:lvl w:ilvl="0">
      <w:start w:val="2"/>
      <w:numFmt w:val="lowerLetter"/>
      <w:lvlText w:val="(%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76">
    <w:nsid w:val="0000004D"/>
    <w:multiLevelType w:val="multilevel"/>
    <w:tmpl w:val="0000004D"/>
    <w:lvl w:ilvl="0">
      <w:start w:val="3"/>
      <w:numFmt w:val="lowerLetter"/>
      <w:lvlText w:val="(%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77">
    <w:nsid w:val="0000004E"/>
    <w:multiLevelType w:val="multilevel"/>
    <w:tmpl w:val="0000004E"/>
    <w:lvl w:ilvl="0">
      <w:start w:val="4"/>
      <w:numFmt w:val="lowerLetter"/>
      <w:lvlText w:val="(%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78">
    <w:nsid w:val="0000004F"/>
    <w:multiLevelType w:val="multilevel"/>
    <w:tmpl w:val="0000004F"/>
    <w:lvl w:ilvl="0">
      <w:start w:val="1"/>
      <w:numFmt w:val="decimal"/>
      <w:lvlText w:val="b)"/>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79">
    <w:nsid w:val="00000050"/>
    <w:multiLevelType w:val="multilevel"/>
    <w:tmpl w:val="00000050"/>
    <w:lvl w:ilvl="0">
      <w:start w:val="1"/>
      <w:numFmt w:val="decimal"/>
      <w:lvlText w:val="c)"/>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80">
    <w:nsid w:val="00000051"/>
    <w:multiLevelType w:val="multilevel"/>
    <w:tmpl w:val="00000051"/>
    <w:lvl w:ilvl="0">
      <w:start w:val="1"/>
      <w:numFmt w:val="decimal"/>
      <w:lvlText w:val="d)"/>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81">
    <w:nsid w:val="00000052"/>
    <w:multiLevelType w:val="multilevel"/>
    <w:tmpl w:val="00000052"/>
    <w:lvl w:ilvl="0">
      <w:start w:val="1"/>
      <w:numFmt w:val="lowerLetter"/>
      <w:lvlText w:val=" %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82">
    <w:nsid w:val="00000053"/>
    <w:multiLevelType w:val="multilevel"/>
    <w:tmpl w:val="00000053"/>
    <w:lvl w:ilvl="0">
      <w:start w:val="1"/>
      <w:numFmt w:val="decimal"/>
      <w:lvlText w:val="b)"/>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83">
    <w:nsid w:val="00000054"/>
    <w:multiLevelType w:val="multilevel"/>
    <w:tmpl w:val="00000054"/>
    <w:lvl w:ilvl="0">
      <w:start w:val="1"/>
      <w:numFmt w:val="lowerLetter"/>
      <w:lvlText w:val=" %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84">
    <w:nsid w:val="00000055"/>
    <w:multiLevelType w:val="multilevel"/>
    <w:tmpl w:val="00000055"/>
    <w:lvl w:ilvl="0">
      <w:start w:val="1"/>
      <w:numFmt w:val="decimal"/>
      <w:lvlText w:val="b)"/>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85">
    <w:nsid w:val="00000056"/>
    <w:multiLevelType w:val="multilevel"/>
    <w:tmpl w:val="00000056"/>
    <w:lvl w:ilvl="0">
      <w:start w:val="1"/>
      <w:numFmt w:val="decimal"/>
      <w:lvlText w:val="c)"/>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86">
    <w:nsid w:val="00000057"/>
    <w:multiLevelType w:val="multilevel"/>
    <w:tmpl w:val="00000057"/>
    <w:lvl w:ilvl="0">
      <w:start w:val="1"/>
      <w:numFmt w:val="lowerLetter"/>
      <w:lvlText w:val=" %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87">
    <w:nsid w:val="00000058"/>
    <w:multiLevelType w:val="multilevel"/>
    <w:tmpl w:val="00000058"/>
    <w:lvl w:ilvl="0">
      <w:start w:val="1"/>
      <w:numFmt w:val="decimal"/>
      <w:lvlText w:val="b)"/>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88">
    <w:nsid w:val="00000059"/>
    <w:multiLevelType w:val="multilevel"/>
    <w:tmpl w:val="00000059"/>
    <w:lvl w:ilvl="0">
      <w:start w:val="1"/>
      <w:numFmt w:val="decimal"/>
      <w:lvlText w:val=" %1."/>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89">
    <w:nsid w:val="0000005A"/>
    <w:multiLevelType w:val="multilevel"/>
    <w:tmpl w:val="0000005A"/>
    <w:lvl w:ilvl="0">
      <w:start w:val="1"/>
      <w:numFmt w:val="lowerLetter"/>
      <w:lvlText w:val=" %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90">
    <w:nsid w:val="0000005B"/>
    <w:multiLevelType w:val="multilevel"/>
    <w:tmpl w:val="0000005B"/>
    <w:lvl w:ilvl="0">
      <w:start w:val="1"/>
      <w:numFmt w:val="decimal"/>
      <w:lvlText w:val="b)"/>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91">
    <w:nsid w:val="0000005C"/>
    <w:multiLevelType w:val="multilevel"/>
    <w:tmpl w:val="0000005C"/>
    <w:lvl w:ilvl="0">
      <w:start w:val="1"/>
      <w:numFmt w:val="decimal"/>
      <w:lvlText w:val="c)"/>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92">
    <w:nsid w:val="0000005D"/>
    <w:multiLevelType w:val="multilevel"/>
    <w:tmpl w:val="0000005D"/>
    <w:lvl w:ilvl="0">
      <w:start w:val="1"/>
      <w:numFmt w:val="lowerLetter"/>
      <w:lvlText w:val=" %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93">
    <w:nsid w:val="0000005E"/>
    <w:multiLevelType w:val="multilevel"/>
    <w:tmpl w:val="0000005E"/>
    <w:lvl w:ilvl="0">
      <w:start w:val="1"/>
      <w:numFmt w:val="decimal"/>
      <w:lvlText w:val="b)"/>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94">
    <w:nsid w:val="0000005F"/>
    <w:multiLevelType w:val="multilevel"/>
    <w:tmpl w:val="0000005F"/>
    <w:lvl w:ilvl="0">
      <w:start w:val="1"/>
      <w:numFmt w:val="lowerLetter"/>
      <w:lvlText w:val=" %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95">
    <w:nsid w:val="00000060"/>
    <w:multiLevelType w:val="multilevel"/>
    <w:tmpl w:val="00000060"/>
    <w:lvl w:ilvl="0">
      <w:start w:val="1"/>
      <w:numFmt w:val="decimal"/>
      <w:lvlText w:val="b)"/>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96">
    <w:nsid w:val="00000061"/>
    <w:multiLevelType w:val="multilevel"/>
    <w:tmpl w:val="00000061"/>
    <w:lvl w:ilvl="0">
      <w:start w:val="1"/>
      <w:numFmt w:val="lowerLetter"/>
      <w:lvlText w:val="(%1)"/>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97">
    <w:nsid w:val="00000062"/>
    <w:multiLevelType w:val="multilevel"/>
    <w:tmpl w:val="00000062"/>
    <w:lvl w:ilvl="0">
      <w:start w:val="1"/>
      <w:numFmt w:val="lowerLetter"/>
      <w:lvlText w:val=" %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98">
    <w:nsid w:val="00000063"/>
    <w:multiLevelType w:val="multilevel"/>
    <w:tmpl w:val="00000063"/>
    <w:lvl w:ilvl="0">
      <w:start w:val="1"/>
      <w:numFmt w:val="decimal"/>
      <w:lvlText w:val="b)"/>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99">
    <w:nsid w:val="00000064"/>
    <w:multiLevelType w:val="multilevel"/>
    <w:tmpl w:val="00000064"/>
    <w:lvl w:ilvl="0">
      <w:start w:val="1"/>
      <w:numFmt w:val="lowerLetter"/>
      <w:lvlText w:val=" %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00">
    <w:nsid w:val="00000065"/>
    <w:multiLevelType w:val="multilevel"/>
    <w:tmpl w:val="00000065"/>
    <w:lvl w:ilvl="0">
      <w:start w:val="1"/>
      <w:numFmt w:val="decimal"/>
      <w:lvlText w:val="b)"/>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01">
    <w:nsid w:val="00000066"/>
    <w:multiLevelType w:val="multilevel"/>
    <w:tmpl w:val="00000066"/>
    <w:lvl w:ilvl="0">
      <w:start w:val="1"/>
      <w:numFmt w:val="decimal"/>
      <w:lvlText w:val="c)"/>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02">
    <w:nsid w:val="00000067"/>
    <w:multiLevelType w:val="multilevel"/>
    <w:tmpl w:val="00000067"/>
    <w:lvl w:ilvl="0">
      <w:start w:val="1"/>
      <w:numFmt w:val="lowerLetter"/>
      <w:lvlText w:val=" %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03">
    <w:nsid w:val="00000068"/>
    <w:multiLevelType w:val="multilevel"/>
    <w:tmpl w:val="00000068"/>
    <w:lvl w:ilvl="0">
      <w:start w:val="1"/>
      <w:numFmt w:val="decimal"/>
      <w:lvlText w:val="b)"/>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04">
    <w:nsid w:val="00000069"/>
    <w:multiLevelType w:val="multilevel"/>
    <w:tmpl w:val="00000069"/>
    <w:lvl w:ilvl="0">
      <w:start w:val="1"/>
      <w:numFmt w:val="decimal"/>
      <w:lvlText w:val="c)"/>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05">
    <w:nsid w:val="0000006A"/>
    <w:multiLevelType w:val="multilevel"/>
    <w:tmpl w:val="0000006A"/>
    <w:lvl w:ilvl="0">
      <w:start w:val="1"/>
      <w:numFmt w:val="decimal"/>
      <w:lvlText w:val="d)"/>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06">
    <w:nsid w:val="0000006B"/>
    <w:multiLevelType w:val="multilevel"/>
    <w:tmpl w:val="0000006B"/>
    <w:lvl w:ilvl="0">
      <w:start w:val="1"/>
      <w:numFmt w:val="decimal"/>
      <w:lvlText w:val="(v)"/>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07">
    <w:nsid w:val="0000006C"/>
    <w:multiLevelType w:val="multilevel"/>
    <w:tmpl w:val="0000006C"/>
    <w:lvl w:ilvl="0">
      <w:start w:val="1"/>
      <w:numFmt w:val="upperLetter"/>
      <w:lvlText w:val="(%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08">
    <w:nsid w:val="0000006D"/>
    <w:multiLevelType w:val="multilevel"/>
    <w:tmpl w:val="0000006D"/>
    <w:lvl w:ilvl="0">
      <w:start w:val="1"/>
      <w:numFmt w:val="decimal"/>
      <w:lvlText w:val="(B)"/>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09">
    <w:nsid w:val="0000006E"/>
    <w:multiLevelType w:val="multilevel"/>
    <w:tmpl w:val="0000006E"/>
    <w:lvl w:ilvl="0">
      <w:start w:val="1"/>
      <w:numFmt w:val="decimal"/>
      <w:lvlText w:val="(C)"/>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10">
    <w:nsid w:val="0000006F"/>
    <w:multiLevelType w:val="multilevel"/>
    <w:tmpl w:val="0000006F"/>
    <w:lvl w:ilvl="0">
      <w:start w:val="1"/>
      <w:numFmt w:val="decimal"/>
      <w:lvlText w:val="(D)"/>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11">
    <w:nsid w:val="00000070"/>
    <w:multiLevelType w:val="multilevel"/>
    <w:tmpl w:val="00000070"/>
    <w:lvl w:ilvl="0">
      <w:start w:val="1"/>
      <w:numFmt w:val="decimal"/>
      <w:lvlText w:val="(E)"/>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12">
    <w:nsid w:val="00000071"/>
    <w:multiLevelType w:val="multilevel"/>
    <w:tmpl w:val="00000071"/>
    <w:lvl w:ilvl="0">
      <w:start w:val="1"/>
      <w:numFmt w:val="decimal"/>
      <w:lvlText w:val="(F)"/>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13">
    <w:nsid w:val="00000072"/>
    <w:multiLevelType w:val="multilevel"/>
    <w:tmpl w:val="00000072"/>
    <w:lvl w:ilvl="0">
      <w:start w:val="1"/>
      <w:numFmt w:val="decimal"/>
      <w:lvlText w:val="(G)"/>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14">
    <w:nsid w:val="00000073"/>
    <w:multiLevelType w:val="multilevel"/>
    <w:tmpl w:val="00000073"/>
    <w:lvl w:ilvl="0">
      <w:start w:val="1"/>
      <w:numFmt w:val="decimal"/>
      <w:lvlText w:val="(H)"/>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15">
    <w:nsid w:val="00000074"/>
    <w:multiLevelType w:val="multilevel"/>
    <w:tmpl w:val="00000074"/>
    <w:lvl w:ilvl="0">
      <w:start w:val="1"/>
      <w:numFmt w:val="lowerLetter"/>
      <w:lvlText w:val="(%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16">
    <w:nsid w:val="00000075"/>
    <w:multiLevelType w:val="multilevel"/>
    <w:tmpl w:val="00000075"/>
    <w:lvl w:ilvl="0">
      <w:start w:val="2"/>
      <w:numFmt w:val="decimal"/>
      <w:lvlText w:val="(%1)"/>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17">
    <w:nsid w:val="00000076"/>
    <w:multiLevelType w:val="multilevel"/>
    <w:tmpl w:val="00000076"/>
    <w:lvl w:ilvl="0">
      <w:start w:val="1"/>
      <w:numFmt w:val="lowerLetter"/>
      <w:lvlText w:val="(%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18">
    <w:nsid w:val="00000077"/>
    <w:multiLevelType w:val="multilevel"/>
    <w:tmpl w:val="00000077"/>
    <w:lvl w:ilvl="0">
      <w:start w:val="4"/>
      <w:numFmt w:val="decimal"/>
      <w:lvlText w:val="(%1)"/>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19">
    <w:nsid w:val="00000078"/>
    <w:multiLevelType w:val="multilevel"/>
    <w:tmpl w:val="00000078"/>
    <w:lvl w:ilvl="0">
      <w:start w:val="1"/>
      <w:numFmt w:val="lowerLetter"/>
      <w:lvlText w:val="(%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20">
    <w:nsid w:val="00000079"/>
    <w:multiLevelType w:val="multilevel"/>
    <w:tmpl w:val="00000079"/>
    <w:lvl w:ilvl="0">
      <w:start w:val="7"/>
      <w:numFmt w:val="decimal"/>
      <w:lvlText w:val="(%1)"/>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21">
    <w:nsid w:val="034BE125"/>
    <w:multiLevelType w:val="multilevel"/>
    <w:tmpl w:val="00000001"/>
    <w:lvl w:ilvl="0">
      <w:start w:val="1"/>
      <w:numFmt w:val="decimal"/>
      <w:lvlText w:val="(ii)"/>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22">
    <w:nsid w:val="0D975663"/>
    <w:multiLevelType w:val="multilevel"/>
    <w:tmpl w:val="00000001"/>
    <w:lvl w:ilvl="0">
      <w:start w:val="1"/>
      <w:numFmt w:val="decimal"/>
      <w:lvlText w:val="*"/>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23">
    <w:nsid w:val="0DA6F65A"/>
    <w:multiLevelType w:val="multilevel"/>
    <w:tmpl w:val="00000001"/>
    <w:lvl w:ilvl="0">
      <w:start w:val="1"/>
      <w:numFmt w:val="decimal"/>
      <w:lvlText w:val="(%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24">
    <w:nsid w:val="1367EE18"/>
    <w:multiLevelType w:val="multilevel"/>
    <w:tmpl w:val="00000001"/>
    <w:lvl w:ilvl="0">
      <w:start w:val="1"/>
      <w:numFmt w:val="lowerLetter"/>
      <w:lvlText w:val="(%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25">
    <w:nsid w:val="1DF2C99E"/>
    <w:multiLevelType w:val="multilevel"/>
    <w:tmpl w:val="00000001"/>
    <w:lvl w:ilvl="0">
      <w:start w:val="1"/>
      <w:numFmt w:val="lowerLetter"/>
      <w:lvlText w:val="(%1)"/>
      <w:lvlJc w:val="left"/>
      <w:pPr>
        <w:tabs>
          <w:tab w:val="num" w:pos="1840"/>
        </w:tabs>
        <w:ind w:left="184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26">
    <w:nsid w:val="1EFEC36F"/>
    <w:multiLevelType w:val="multilevel"/>
    <w:tmpl w:val="00000001"/>
    <w:lvl w:ilvl="0">
      <w:start w:val="1"/>
      <w:numFmt w:val="decimal"/>
      <w:lvlText w:val=" %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27">
    <w:nsid w:val="2445BF3E"/>
    <w:multiLevelType w:val="multilevel"/>
    <w:tmpl w:val="00000001"/>
    <w:lvl w:ilvl="0">
      <w:start w:val="1"/>
      <w:numFmt w:val="lowerLetter"/>
      <w:lvlText w:val="(%1)"/>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28">
    <w:nsid w:val="2DFDE533"/>
    <w:multiLevelType w:val="multilevel"/>
    <w:tmpl w:val="00000001"/>
    <w:lvl w:ilvl="0">
      <w:start w:val="1"/>
      <w:numFmt w:val="lowerLetter"/>
      <w:lvlText w:val="(%1)"/>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29">
    <w:nsid w:val="3097050D"/>
    <w:multiLevelType w:val="multilevel"/>
    <w:tmpl w:val="00000001"/>
    <w:lvl w:ilvl="0">
      <w:start w:val="2"/>
      <w:numFmt w:val="decimal"/>
      <w:lvlText w:val=" %1."/>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30">
    <w:nsid w:val="32E1BF19"/>
    <w:multiLevelType w:val="multilevel"/>
    <w:tmpl w:val="00000001"/>
    <w:lvl w:ilvl="0">
      <w:start w:val="1"/>
      <w:numFmt w:val="decimal"/>
      <w:lvlText w:val=" %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31">
    <w:nsid w:val="33CE3200"/>
    <w:multiLevelType w:val="multilevel"/>
    <w:tmpl w:val="00000001"/>
    <w:lvl w:ilvl="0">
      <w:start w:val="1"/>
      <w:numFmt w:val="upperRoman"/>
      <w:lvlText w:val=" %1."/>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32">
    <w:nsid w:val="3537F8A6"/>
    <w:multiLevelType w:val="multilevel"/>
    <w:tmpl w:val="00000001"/>
    <w:lvl w:ilvl="0">
      <w:start w:val="1"/>
      <w:numFmt w:val="decimal"/>
      <w:lvlText w:val=" %1."/>
      <w:lvlJc w:val="left"/>
      <w:pPr>
        <w:tabs>
          <w:tab w:val="num" w:pos="1840"/>
        </w:tabs>
        <w:ind w:left="184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33">
    <w:nsid w:val="3688E556"/>
    <w:multiLevelType w:val="multilevel"/>
    <w:tmpl w:val="00000001"/>
    <w:lvl w:ilvl="0">
      <w:start w:val="3"/>
      <w:numFmt w:val="decimal"/>
      <w:lvlText w:val="(%1)"/>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34">
    <w:nsid w:val="3BBCA7EA"/>
    <w:multiLevelType w:val="multilevel"/>
    <w:tmpl w:val="00000001"/>
    <w:lvl w:ilvl="0">
      <w:start w:val="4"/>
      <w:numFmt w:val="decimal"/>
      <w:lvlText w:val="(%1)"/>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35">
    <w:nsid w:val="3C0BE2ED"/>
    <w:multiLevelType w:val="multilevel"/>
    <w:tmpl w:val="00000001"/>
    <w:lvl w:ilvl="0">
      <w:start w:val="1"/>
      <w:numFmt w:val="decimal"/>
      <w:lvlText w:val=" %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36">
    <w:nsid w:val="3C35D561"/>
    <w:multiLevelType w:val="multilevel"/>
    <w:tmpl w:val="00000001"/>
    <w:lvl w:ilvl="0">
      <w:start w:val="1"/>
      <w:numFmt w:val="lowerLetter"/>
      <w:lvlText w:val="(%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37">
    <w:nsid w:val="3C42DD1E"/>
    <w:multiLevelType w:val="multilevel"/>
    <w:tmpl w:val="00000001"/>
    <w:lvl w:ilvl="0">
      <w:start w:val="1"/>
      <w:numFmt w:val="decimal"/>
      <w:lvlText w:val="*"/>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38">
    <w:nsid w:val="3E5A958E"/>
    <w:multiLevelType w:val="multilevel"/>
    <w:tmpl w:val="00000001"/>
    <w:lvl w:ilvl="0">
      <w:start w:val="1"/>
      <w:numFmt w:val="lowerLetter"/>
      <w:lvlText w:val="(%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39">
    <w:nsid w:val="3F756C08"/>
    <w:multiLevelType w:val="multilevel"/>
    <w:tmpl w:val="00000001"/>
    <w:lvl w:ilvl="0">
      <w:start w:val="1"/>
      <w:numFmt w:val="decimal"/>
      <w:lvlText w:val="(%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40">
    <w:nsid w:val="4269B2A8"/>
    <w:multiLevelType w:val="multilevel"/>
    <w:tmpl w:val="00000001"/>
    <w:lvl w:ilvl="0">
      <w:start w:val="1"/>
      <w:numFmt w:val="decimal"/>
      <w:lvlText w:val="(%1)"/>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41">
    <w:nsid w:val="447AB474"/>
    <w:multiLevelType w:val="multilevel"/>
    <w:tmpl w:val="00000001"/>
    <w:lvl w:ilvl="0">
      <w:start w:val="1"/>
      <w:numFmt w:val="lowerLetter"/>
      <w:lvlText w:val="(%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42">
    <w:nsid w:val="44924BBF"/>
    <w:multiLevelType w:val="multilevel"/>
    <w:tmpl w:val="00000001"/>
    <w:lvl w:ilvl="0">
      <w:start w:val="1"/>
      <w:numFmt w:val="decimal"/>
      <w:lvlText w:val="(%1)"/>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43">
    <w:nsid w:val="4683C11C"/>
    <w:multiLevelType w:val="multilevel"/>
    <w:tmpl w:val="00000001"/>
    <w:lvl w:ilvl="0">
      <w:start w:val="1"/>
      <w:numFmt w:val="lowerLetter"/>
      <w:lvlText w:val=" %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44">
    <w:nsid w:val="4D080C78"/>
    <w:multiLevelType w:val="multilevel"/>
    <w:tmpl w:val="00000001"/>
    <w:lvl w:ilvl="0">
      <w:start w:val="1"/>
      <w:numFmt w:val="decimal"/>
      <w:lvlText w:val="(%1)"/>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45">
    <w:nsid w:val="50DAEBA4"/>
    <w:multiLevelType w:val="multilevel"/>
    <w:tmpl w:val="00000001"/>
    <w:lvl w:ilvl="0">
      <w:start w:val="1"/>
      <w:numFmt w:val="lowerLetter"/>
      <w:lvlText w:val="(%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46">
    <w:nsid w:val="534B3EEC"/>
    <w:multiLevelType w:val="multilevel"/>
    <w:tmpl w:val="00000001"/>
    <w:lvl w:ilvl="0">
      <w:start w:val="7"/>
      <w:numFmt w:val="decimal"/>
      <w:lvlText w:val=" %1."/>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47">
    <w:nsid w:val="564B9B92"/>
    <w:multiLevelType w:val="multilevel"/>
    <w:tmpl w:val="00000001"/>
    <w:lvl w:ilvl="0">
      <w:start w:val="1"/>
      <w:numFmt w:val="lowerRoman"/>
      <w:lvlText w:val="(%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48">
    <w:nsid w:val="577BE5FA"/>
    <w:multiLevelType w:val="multilevel"/>
    <w:tmpl w:val="00000001"/>
    <w:lvl w:ilvl="0">
      <w:start w:val="1"/>
      <w:numFmt w:val="decimal"/>
      <w:lvlText w:val="(%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49">
    <w:nsid w:val="58F1CC23"/>
    <w:multiLevelType w:val="multilevel"/>
    <w:tmpl w:val="00000001"/>
    <w:lvl w:ilvl="0">
      <w:start w:val="1"/>
      <w:numFmt w:val="decimal"/>
      <w:lvlText w:val="20 (1)"/>
      <w:lvlJc w:val="left"/>
      <w:pPr>
        <w:tabs>
          <w:tab w:val="num" w:pos="1840"/>
        </w:tabs>
        <w:ind w:left="184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50">
    <w:nsid w:val="5ABC2A69"/>
    <w:multiLevelType w:val="multilevel"/>
    <w:tmpl w:val="00000001"/>
    <w:lvl w:ilvl="0">
      <w:start w:val="1"/>
      <w:numFmt w:val="lowerLetter"/>
      <w:lvlText w:val="(%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51">
    <w:nsid w:val="5EA97A04"/>
    <w:multiLevelType w:val="multilevel"/>
    <w:tmpl w:val="00000001"/>
    <w:lvl w:ilvl="0">
      <w:start w:val="1"/>
      <w:numFmt w:val="lowerLetter"/>
      <w:lvlText w:val=" %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52">
    <w:nsid w:val="5F7943ED"/>
    <w:multiLevelType w:val="multilevel"/>
    <w:tmpl w:val="00000001"/>
    <w:lvl w:ilvl="0">
      <w:start w:val="3"/>
      <w:numFmt w:val="decimal"/>
      <w:lvlText w:val=" %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53">
    <w:nsid w:val="60D6FFDA"/>
    <w:multiLevelType w:val="multilevel"/>
    <w:tmpl w:val="00000001"/>
    <w:lvl w:ilvl="0">
      <w:start w:val="1"/>
      <w:numFmt w:val="lowerLetter"/>
      <w:lvlText w:val="(%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54">
    <w:nsid w:val="64BA05C6"/>
    <w:multiLevelType w:val="multilevel"/>
    <w:tmpl w:val="00000001"/>
    <w:lvl w:ilvl="0">
      <w:start w:val="1"/>
      <w:numFmt w:val="decimal"/>
      <w:lvlText w:val=" %1."/>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55">
    <w:nsid w:val="6E0BEBDF"/>
    <w:multiLevelType w:val="multilevel"/>
    <w:tmpl w:val="00000001"/>
    <w:lvl w:ilvl="0">
      <w:start w:val="1"/>
      <w:numFmt w:val="decimal"/>
      <w:lvlText w:val=" %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56">
    <w:nsid w:val="7479CA7E"/>
    <w:multiLevelType w:val="multilevel"/>
    <w:tmpl w:val="00000001"/>
    <w:lvl w:ilvl="0">
      <w:start w:val="1"/>
      <w:numFmt w:val="decimal"/>
      <w:lvlText w:val=" %1)"/>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57">
    <w:nsid w:val="775CA155"/>
    <w:multiLevelType w:val="multilevel"/>
    <w:tmpl w:val="00000001"/>
    <w:lvl w:ilvl="0">
      <w:start w:val="1"/>
      <w:numFmt w:val="lowerLetter"/>
      <w:lvlText w:val="(%1)"/>
      <w:lvlJc w:val="left"/>
      <w:pPr>
        <w:tabs>
          <w:tab w:val="num" w:pos="2200"/>
        </w:tabs>
        <w:ind w:left="220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58">
    <w:nsid w:val="77D73FAB"/>
    <w:multiLevelType w:val="multilevel"/>
    <w:tmpl w:val="00000001"/>
    <w:lvl w:ilvl="0">
      <w:start w:val="1"/>
      <w:numFmt w:val="lowerRoman"/>
      <w:lvlText w:val="(%1)"/>
      <w:lvlJc w:val="left"/>
      <w:pPr>
        <w:tabs>
          <w:tab w:val="num" w:pos="1840"/>
        </w:tabs>
        <w:ind w:left="184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59">
    <w:nsid w:val="77F0B15A"/>
    <w:multiLevelType w:val="multilevel"/>
    <w:tmpl w:val="00000001"/>
    <w:lvl w:ilvl="0">
      <w:start w:val="1"/>
      <w:numFmt w:val="lowerLetter"/>
      <w:lvlText w:val="(%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60">
    <w:nsid w:val="78103147"/>
    <w:multiLevelType w:val="multilevel"/>
    <w:tmpl w:val="00000001"/>
    <w:lvl w:ilvl="0">
      <w:start w:val="1"/>
      <w:numFmt w:val="lowerLetter"/>
      <w:lvlText w:val=" %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num w:numId="1">
    <w:abstractNumId w:val="0"/>
  </w:num>
  <w:num w:numId="2">
    <w:abstractNumId w:val="1"/>
  </w:num>
  <w:num w:numId="3">
    <w:abstractNumId w:val="2"/>
  </w:num>
  <w:num w:numId="4">
    <w:abstractNumId w:val="3"/>
  </w:num>
  <w:num w:numId="5">
    <w:abstractNumId w:val="4"/>
  </w:num>
  <w:num w:numId="6">
    <w:abstractNumId w:val="5"/>
  </w:num>
  <w:num w:numId="7">
    <w:abstractNumId w:val="6"/>
  </w:num>
  <w:num w:numId="8">
    <w:abstractNumId w:val="7"/>
  </w:num>
  <w:num w:numId="9">
    <w:abstractNumId w:val="8"/>
  </w:num>
  <w:num w:numId="10">
    <w:abstractNumId w:val="9"/>
  </w:num>
  <w:num w:numId="11">
    <w:abstractNumId w:val="10"/>
  </w:num>
  <w:num w:numId="12">
    <w:abstractNumId w:val="11"/>
  </w:num>
  <w:num w:numId="13">
    <w:abstractNumId w:val="12"/>
  </w:num>
  <w:num w:numId="14">
    <w:abstractNumId w:val="13"/>
  </w:num>
  <w:num w:numId="15">
    <w:abstractNumId w:val="14"/>
  </w:num>
  <w:num w:numId="16">
    <w:abstractNumId w:val="15"/>
  </w:num>
  <w:num w:numId="17">
    <w:abstractNumId w:val="16"/>
  </w:num>
  <w:num w:numId="18">
    <w:abstractNumId w:val="17"/>
  </w:num>
  <w:num w:numId="19">
    <w:abstractNumId w:val="18"/>
  </w:num>
  <w:num w:numId="20">
    <w:abstractNumId w:val="19"/>
  </w:num>
  <w:num w:numId="21">
    <w:abstractNumId w:val="20"/>
  </w:num>
  <w:num w:numId="22">
    <w:abstractNumId w:val="21"/>
  </w:num>
  <w:num w:numId="23">
    <w:abstractNumId w:val="22"/>
  </w:num>
  <w:num w:numId="24">
    <w:abstractNumId w:val="23"/>
  </w:num>
  <w:num w:numId="25">
    <w:abstractNumId w:val="24"/>
  </w:num>
  <w:num w:numId="26">
    <w:abstractNumId w:val="25"/>
  </w:num>
  <w:num w:numId="27">
    <w:abstractNumId w:val="26"/>
  </w:num>
  <w:num w:numId="28">
    <w:abstractNumId w:val="27"/>
  </w:num>
  <w:num w:numId="29">
    <w:abstractNumId w:val="159"/>
  </w:num>
  <w:num w:numId="30">
    <w:abstractNumId w:val="134"/>
  </w:num>
  <w:num w:numId="31">
    <w:abstractNumId w:val="136"/>
  </w:num>
  <w:num w:numId="32">
    <w:abstractNumId w:val="28"/>
  </w:num>
  <w:num w:numId="33">
    <w:abstractNumId w:val="29"/>
  </w:num>
  <w:num w:numId="34">
    <w:abstractNumId w:val="30"/>
  </w:num>
  <w:num w:numId="35">
    <w:abstractNumId w:val="31"/>
  </w:num>
  <w:num w:numId="36">
    <w:abstractNumId w:val="32"/>
  </w:num>
  <w:num w:numId="37">
    <w:abstractNumId w:val="33"/>
  </w:num>
  <w:num w:numId="38">
    <w:abstractNumId w:val="34"/>
  </w:num>
  <w:num w:numId="39">
    <w:abstractNumId w:val="35"/>
  </w:num>
  <w:num w:numId="40">
    <w:abstractNumId w:val="36"/>
  </w:num>
  <w:num w:numId="41">
    <w:abstractNumId w:val="37"/>
  </w:num>
  <w:num w:numId="42">
    <w:abstractNumId w:val="38"/>
  </w:num>
  <w:num w:numId="43">
    <w:abstractNumId w:val="39"/>
  </w:num>
  <w:num w:numId="44">
    <w:abstractNumId w:val="40"/>
  </w:num>
  <w:num w:numId="45">
    <w:abstractNumId w:val="41"/>
  </w:num>
  <w:num w:numId="46">
    <w:abstractNumId w:val="42"/>
  </w:num>
  <w:num w:numId="47">
    <w:abstractNumId w:val="43"/>
  </w:num>
  <w:num w:numId="48">
    <w:abstractNumId w:val="44"/>
  </w:num>
  <w:num w:numId="49">
    <w:abstractNumId w:val="45"/>
  </w:num>
  <w:num w:numId="50">
    <w:abstractNumId w:val="46"/>
  </w:num>
  <w:num w:numId="51">
    <w:abstractNumId w:val="47"/>
  </w:num>
  <w:num w:numId="52">
    <w:abstractNumId w:val="48"/>
  </w:num>
  <w:num w:numId="53">
    <w:abstractNumId w:val="49"/>
  </w:num>
  <w:num w:numId="54">
    <w:abstractNumId w:val="50"/>
  </w:num>
  <w:num w:numId="55">
    <w:abstractNumId w:val="51"/>
  </w:num>
  <w:num w:numId="56">
    <w:abstractNumId w:val="52"/>
  </w:num>
  <w:num w:numId="57">
    <w:abstractNumId w:val="53"/>
  </w:num>
  <w:num w:numId="58">
    <w:abstractNumId w:val="54"/>
  </w:num>
  <w:num w:numId="59">
    <w:abstractNumId w:val="55"/>
  </w:num>
  <w:num w:numId="60">
    <w:abstractNumId w:val="56"/>
  </w:num>
  <w:num w:numId="61">
    <w:abstractNumId w:val="57"/>
  </w:num>
  <w:num w:numId="62">
    <w:abstractNumId w:val="58"/>
  </w:num>
  <w:num w:numId="63">
    <w:abstractNumId w:val="59"/>
  </w:num>
  <w:num w:numId="64">
    <w:abstractNumId w:val="60"/>
  </w:num>
  <w:num w:numId="65">
    <w:abstractNumId w:val="61"/>
  </w:num>
  <w:num w:numId="66">
    <w:abstractNumId w:val="62"/>
  </w:num>
  <w:num w:numId="67">
    <w:abstractNumId w:val="63"/>
  </w:num>
  <w:num w:numId="68">
    <w:abstractNumId w:val="64"/>
  </w:num>
  <w:num w:numId="69">
    <w:abstractNumId w:val="65"/>
  </w:num>
  <w:num w:numId="70">
    <w:abstractNumId w:val="66"/>
  </w:num>
  <w:num w:numId="71">
    <w:abstractNumId w:val="67"/>
  </w:num>
  <w:num w:numId="72">
    <w:abstractNumId w:val="68"/>
  </w:num>
  <w:num w:numId="73">
    <w:abstractNumId w:val="69"/>
  </w:num>
  <w:num w:numId="74">
    <w:abstractNumId w:val="70"/>
  </w:num>
  <w:num w:numId="75">
    <w:abstractNumId w:val="71"/>
  </w:num>
  <w:num w:numId="76">
    <w:abstractNumId w:val="72"/>
  </w:num>
  <w:num w:numId="77">
    <w:abstractNumId w:val="73"/>
  </w:num>
  <w:num w:numId="78">
    <w:abstractNumId w:val="74"/>
  </w:num>
  <w:num w:numId="79">
    <w:abstractNumId w:val="75"/>
  </w:num>
  <w:num w:numId="80">
    <w:abstractNumId w:val="76"/>
  </w:num>
  <w:num w:numId="81">
    <w:abstractNumId w:val="77"/>
  </w:num>
  <w:num w:numId="82">
    <w:abstractNumId w:val="139"/>
  </w:num>
  <w:num w:numId="83">
    <w:abstractNumId w:val="142"/>
  </w:num>
  <w:num w:numId="84">
    <w:abstractNumId w:val="123"/>
  </w:num>
  <w:num w:numId="85">
    <w:abstractNumId w:val="149"/>
  </w:num>
  <w:num w:numId="86">
    <w:abstractNumId w:val="129"/>
  </w:num>
  <w:num w:numId="87">
    <w:abstractNumId w:val="158"/>
  </w:num>
  <w:num w:numId="88">
    <w:abstractNumId w:val="150"/>
  </w:num>
  <w:num w:numId="89">
    <w:abstractNumId w:val="148"/>
  </w:num>
  <w:num w:numId="90">
    <w:abstractNumId w:val="144"/>
  </w:num>
  <w:num w:numId="91">
    <w:abstractNumId w:val="135"/>
  </w:num>
  <w:num w:numId="92">
    <w:abstractNumId w:val="152"/>
  </w:num>
  <w:num w:numId="93">
    <w:abstractNumId w:val="147"/>
  </w:num>
  <w:num w:numId="94">
    <w:abstractNumId w:val="122"/>
  </w:num>
  <w:num w:numId="95">
    <w:abstractNumId w:val="128"/>
  </w:num>
  <w:num w:numId="96">
    <w:abstractNumId w:val="133"/>
  </w:num>
  <w:num w:numId="97">
    <w:abstractNumId w:val="146"/>
  </w:num>
  <w:num w:numId="98">
    <w:abstractNumId w:val="125"/>
  </w:num>
  <w:num w:numId="99">
    <w:abstractNumId w:val="140"/>
  </w:num>
  <w:num w:numId="100">
    <w:abstractNumId w:val="127"/>
  </w:num>
  <w:num w:numId="101">
    <w:abstractNumId w:val="141"/>
  </w:num>
  <w:num w:numId="102">
    <w:abstractNumId w:val="132"/>
  </w:num>
  <w:num w:numId="103">
    <w:abstractNumId w:val="121"/>
  </w:num>
  <w:num w:numId="104">
    <w:abstractNumId w:val="153"/>
  </w:num>
  <w:num w:numId="105">
    <w:abstractNumId w:val="138"/>
  </w:num>
  <w:num w:numId="106">
    <w:abstractNumId w:val="143"/>
  </w:num>
  <w:num w:numId="107">
    <w:abstractNumId w:val="130"/>
  </w:num>
  <w:num w:numId="108">
    <w:abstractNumId w:val="126"/>
  </w:num>
  <w:num w:numId="109">
    <w:abstractNumId w:val="124"/>
  </w:num>
  <w:num w:numId="110">
    <w:abstractNumId w:val="131"/>
  </w:num>
  <w:num w:numId="111">
    <w:abstractNumId w:val="157"/>
  </w:num>
  <w:num w:numId="112">
    <w:abstractNumId w:val="137"/>
  </w:num>
  <w:num w:numId="113">
    <w:abstractNumId w:val="151"/>
  </w:num>
  <w:num w:numId="114">
    <w:abstractNumId w:val="78"/>
  </w:num>
  <w:num w:numId="115">
    <w:abstractNumId w:val="79"/>
  </w:num>
  <w:num w:numId="116">
    <w:abstractNumId w:val="80"/>
  </w:num>
  <w:num w:numId="117">
    <w:abstractNumId w:val="81"/>
  </w:num>
  <w:num w:numId="118">
    <w:abstractNumId w:val="82"/>
  </w:num>
  <w:num w:numId="119">
    <w:abstractNumId w:val="83"/>
  </w:num>
  <w:num w:numId="120">
    <w:abstractNumId w:val="84"/>
  </w:num>
  <w:num w:numId="121">
    <w:abstractNumId w:val="85"/>
  </w:num>
  <w:num w:numId="122">
    <w:abstractNumId w:val="86"/>
  </w:num>
  <w:num w:numId="123">
    <w:abstractNumId w:val="87"/>
  </w:num>
  <w:num w:numId="124">
    <w:abstractNumId w:val="88"/>
  </w:num>
  <w:num w:numId="125">
    <w:abstractNumId w:val="89"/>
  </w:num>
  <w:num w:numId="126">
    <w:abstractNumId w:val="90"/>
  </w:num>
  <w:num w:numId="127">
    <w:abstractNumId w:val="91"/>
  </w:num>
  <w:num w:numId="128">
    <w:abstractNumId w:val="92"/>
  </w:num>
  <w:num w:numId="129">
    <w:abstractNumId w:val="93"/>
  </w:num>
  <w:num w:numId="130">
    <w:abstractNumId w:val="94"/>
  </w:num>
  <w:num w:numId="131">
    <w:abstractNumId w:val="95"/>
  </w:num>
  <w:num w:numId="132">
    <w:abstractNumId w:val="96"/>
  </w:num>
  <w:num w:numId="133">
    <w:abstractNumId w:val="97"/>
  </w:num>
  <w:num w:numId="134">
    <w:abstractNumId w:val="98"/>
  </w:num>
  <w:num w:numId="135">
    <w:abstractNumId w:val="99"/>
  </w:num>
  <w:num w:numId="136">
    <w:abstractNumId w:val="100"/>
  </w:num>
  <w:num w:numId="137">
    <w:abstractNumId w:val="101"/>
  </w:num>
  <w:num w:numId="138">
    <w:abstractNumId w:val="102"/>
  </w:num>
  <w:num w:numId="139">
    <w:abstractNumId w:val="103"/>
  </w:num>
  <w:num w:numId="140">
    <w:abstractNumId w:val="104"/>
  </w:num>
  <w:num w:numId="141">
    <w:abstractNumId w:val="105"/>
  </w:num>
  <w:num w:numId="142">
    <w:abstractNumId w:val="106"/>
  </w:num>
  <w:num w:numId="143">
    <w:abstractNumId w:val="107"/>
  </w:num>
  <w:num w:numId="144">
    <w:abstractNumId w:val="108"/>
  </w:num>
  <w:num w:numId="145">
    <w:abstractNumId w:val="109"/>
  </w:num>
  <w:num w:numId="146">
    <w:abstractNumId w:val="110"/>
  </w:num>
  <w:num w:numId="147">
    <w:abstractNumId w:val="111"/>
  </w:num>
  <w:num w:numId="148">
    <w:abstractNumId w:val="112"/>
  </w:num>
  <w:num w:numId="149">
    <w:abstractNumId w:val="113"/>
  </w:num>
  <w:num w:numId="150">
    <w:abstractNumId w:val="114"/>
  </w:num>
  <w:num w:numId="151">
    <w:abstractNumId w:val="115"/>
  </w:num>
  <w:num w:numId="152">
    <w:abstractNumId w:val="116"/>
  </w:num>
  <w:num w:numId="153">
    <w:abstractNumId w:val="117"/>
  </w:num>
  <w:num w:numId="154">
    <w:abstractNumId w:val="118"/>
  </w:num>
  <w:num w:numId="155">
    <w:abstractNumId w:val="119"/>
  </w:num>
  <w:num w:numId="156">
    <w:abstractNumId w:val="120"/>
  </w:num>
  <w:num w:numId="157">
    <w:abstractNumId w:val="160"/>
  </w:num>
  <w:num w:numId="158">
    <w:abstractNumId w:val="154"/>
  </w:num>
  <w:num w:numId="159">
    <w:abstractNumId w:val="145"/>
  </w:num>
  <w:num w:numId="160">
    <w:abstractNumId w:val="156"/>
  </w:num>
  <w:num w:numId="161">
    <w:abstractNumId w:val="155"/>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eastAsia="arial" w:hAnsi="Arial" w:cs="Arial"/>
      <w:b/>
      <w:bCs/>
      <w:kern w:val="32"/>
      <w:sz w:val="32"/>
      <w:szCs w:val="32"/>
      <w:lang w:val="en-US" w:eastAsia="en-US" w:bidi="ar-SA"/>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advance.lexis.com/api/document?collection=cases-ca&amp;id=urn:contentItem:5F7T-S7P1-JP4G-6210-00000-00&amp;context=" TargetMode="External" /><Relationship Id="rId100" Type="http://schemas.openxmlformats.org/officeDocument/2006/relationships/hyperlink" Target="https://advance.lexis.com/api/document?collection=cases-ca&amp;id=urn:contentItem:5F7T-S771-F81W-22J8-00000-00&amp;context=" TargetMode="External" /><Relationship Id="rId1000" Type="http://schemas.openxmlformats.org/officeDocument/2006/relationships/hyperlink" Target="https://advance.lexis.com/api/document?collection=cases-ca&amp;id=urn:contentItem:5F7T-S7D1-JN6B-S16W-00000-00&amp;context=" TargetMode="External" /><Relationship Id="rId1001" Type="http://schemas.openxmlformats.org/officeDocument/2006/relationships/hyperlink" Target="https://advance.lexis.com/api/document?collection=cases-ca&amp;id=urn:contentItem:5F7T-S7F1-JX3N-B1MN-00000-00&amp;context=" TargetMode="External" /><Relationship Id="rId1002" Type="http://schemas.openxmlformats.org/officeDocument/2006/relationships/hyperlink" Target="https://advance.lexis.com/api/document?collection=cases-ca&amp;id=urn:contentItem:5F7T-S771-JWBS-61SS-00000-00&amp;context=" TargetMode="External" /><Relationship Id="rId1003" Type="http://schemas.openxmlformats.org/officeDocument/2006/relationships/hyperlink" Target="https://advance.lexis.com/api/document?collection=cases-ca&amp;id=urn:contentItem:5F7T-S7C1-F4NT-X356-00000-00&amp;context=" TargetMode="External" /><Relationship Id="rId1004" Type="http://schemas.openxmlformats.org/officeDocument/2006/relationships/hyperlink" Target="https://advance.lexis.com/api/document?collection=cases-ca&amp;id=urn:contentItem:5F7T-S7C1-JS0R-2275-00000-00&amp;context=" TargetMode="External" /><Relationship Id="rId1005" Type="http://schemas.openxmlformats.org/officeDocument/2006/relationships/hyperlink" Target="https://advance.lexis.com/api/document?collection=cases-ca&amp;id=urn:contentItem:5F7T-S7D1-FBFS-S1TF-00000-00&amp;context=" TargetMode="External" /><Relationship Id="rId1006" Type="http://schemas.openxmlformats.org/officeDocument/2006/relationships/hyperlink" Target="https://advance.lexis.com/api/document?collection=cases-ca&amp;id=urn:contentItem:5F7T-S731-FFFC-B0S8-00000-00&amp;context=" TargetMode="External" /><Relationship Id="rId1007" Type="http://schemas.openxmlformats.org/officeDocument/2006/relationships/hyperlink" Target="https://advance.lexis.com/api/document?collection=cases-ca&amp;id=urn:contentItem:5F8T-N3T1-JJSF-23CX-00000-00&amp;context=" TargetMode="External" /><Relationship Id="rId1008" Type="http://schemas.openxmlformats.org/officeDocument/2006/relationships/hyperlink" Target="https://advance.lexis.com/api/document?collection=cases-ca&amp;id=urn:contentItem:5F7T-S7H1-FCSB-S3MY-00000-00&amp;context=" TargetMode="External" /><Relationship Id="rId1009" Type="http://schemas.openxmlformats.org/officeDocument/2006/relationships/hyperlink" Target="https://advance.lexis.com/api/document?collection=cases-ca&amp;id=urn:contentItem:5F7T-S7C1-JSRM-60TP-00000-00&amp;context=" TargetMode="External" /><Relationship Id="rId101" Type="http://schemas.openxmlformats.org/officeDocument/2006/relationships/hyperlink" Target="https://advance.lexis.com/api/document?collection=cases-ca&amp;id=urn:contentItem:5F7T-S6X1-JTNR-M40G-00000-00&amp;context=" TargetMode="External" /><Relationship Id="rId1010" Type="http://schemas.openxmlformats.org/officeDocument/2006/relationships/hyperlink" Target="https://advance.lexis.com/api/document?collection=cases-ca&amp;id=urn:contentItem:5F7T-S781-F7G6-63KX-00000-00&amp;context=" TargetMode="External" /><Relationship Id="rId1011" Type="http://schemas.openxmlformats.org/officeDocument/2006/relationships/hyperlink" Target="https://advance.lexis.com/api/document?collection=cases-ca&amp;id=urn:contentItem:5F7T-S6W1-JB7K-21F4-00000-00&amp;context=" TargetMode="External" /><Relationship Id="rId1012" Type="http://schemas.openxmlformats.org/officeDocument/2006/relationships/hyperlink" Target="https://advance.lexis.com/api/document?collection=cases-ca&amp;id=urn:contentItem:5F7T-S6X1-JTNR-M3X3-00000-00&amp;context=" TargetMode="External" /><Relationship Id="rId1013" Type="http://schemas.openxmlformats.org/officeDocument/2006/relationships/hyperlink" Target="https://advance.lexis.com/api/document?collection=cases-ca&amp;id=urn:contentItem:5F7T-S7D1-DY89-M463-00000-00&amp;context=" TargetMode="External" /><Relationship Id="rId1014" Type="http://schemas.openxmlformats.org/officeDocument/2006/relationships/header" Target="header142.xml" /><Relationship Id="rId1015" Type="http://schemas.openxmlformats.org/officeDocument/2006/relationships/header" Target="header143.xml" /><Relationship Id="rId1016" Type="http://schemas.openxmlformats.org/officeDocument/2006/relationships/footer" Target="footer142.xml" /><Relationship Id="rId1017" Type="http://schemas.openxmlformats.org/officeDocument/2006/relationships/footer" Target="footer143.xml" /><Relationship Id="rId1018" Type="http://schemas.openxmlformats.org/officeDocument/2006/relationships/header" Target="header144.xml" /><Relationship Id="rId1019" Type="http://schemas.openxmlformats.org/officeDocument/2006/relationships/footer" Target="footer144.xml" /><Relationship Id="rId102" Type="http://schemas.openxmlformats.org/officeDocument/2006/relationships/hyperlink" Target="https://advance.lexis.com/api/document?collection=cases-ca&amp;id=urn:contentItem:5F7T-S781-F06F-2420-00000-00&amp;context=" TargetMode="External" /><Relationship Id="rId1020" Type="http://schemas.openxmlformats.org/officeDocument/2006/relationships/hyperlink" Target="https://advance.lexis.com/api/document?collection=cases-ca&amp;id=urn:contentItem:5K2W-7K31-F06F-212R-00000-00&amp;context=" TargetMode="External" /><Relationship Id="rId1021" Type="http://schemas.openxmlformats.org/officeDocument/2006/relationships/hyperlink" Target="https://advance.lexis.com/api/document?collection=cases-ca&amp;id=urn:contentItem:5M4R-NNR1-JFDC-X0NW-00000-00&amp;context=" TargetMode="External" /><Relationship Id="rId1022" Type="http://schemas.openxmlformats.org/officeDocument/2006/relationships/hyperlink" Target="https://advance.lexis.com/api/document?collection=legislation-ca&amp;id=urn:contentItem:5HFN-GCX1-F528-G06F-00000-00&amp;context=" TargetMode="External" /><Relationship Id="rId1023" Type="http://schemas.openxmlformats.org/officeDocument/2006/relationships/hyperlink" Target="https://iclr.co.uk/pubrefLookup/redirectTo?ref=1924+P.+140" TargetMode="External" /><Relationship Id="rId1024" Type="http://schemas.openxmlformats.org/officeDocument/2006/relationships/hyperlink" Target="https://advance.lexis.com/api/document?collection=cases-ca&amp;id=urn:contentItem:5F8T-N3V1-JF75-M3K6-00000-00&amp;context=" TargetMode="External" /><Relationship Id="rId1025" Type="http://schemas.openxmlformats.org/officeDocument/2006/relationships/hyperlink" Target="https://advance.lexis.com/api/document?collection=cases-ca&amp;id=urn:contentItem:5F7H-KW61-JWBS-602T-00000-00&amp;context=" TargetMode="External" /><Relationship Id="rId1026" Type="http://schemas.openxmlformats.org/officeDocument/2006/relationships/hyperlink" Target="https://advance.lexis.com/api/document?collection=cases-ca&amp;id=urn:contentItem:5F7H-KW61-K054-G068-00000-00&amp;context=" TargetMode="External" /><Relationship Id="rId1027" Type="http://schemas.openxmlformats.org/officeDocument/2006/relationships/hyperlink" Target="https://advance.lexis.com/api/document?collection=cases-ca&amp;id=urn:contentItem:5F7T-S711-F4GK-M2M0-00000-00&amp;context=" TargetMode="External" /><Relationship Id="rId1028" Type="http://schemas.openxmlformats.org/officeDocument/2006/relationships/hyperlink" Target="https://advance.lexis.com/api/document?collection=cases-ca&amp;id=urn:contentItem:5F7T-S7G1-F5KY-B1FV-00000-00&amp;context=" TargetMode="External" /><Relationship Id="rId1029" Type="http://schemas.openxmlformats.org/officeDocument/2006/relationships/hyperlink" Target="https://advance.lexis.com/api/document?collection=cases-ca&amp;id=urn:contentItem:5F8T-N3V1-FC1F-M4BS-00000-00&amp;context=" TargetMode="External" /><Relationship Id="rId103" Type="http://schemas.openxmlformats.org/officeDocument/2006/relationships/hyperlink" Target="https://advance.lexis.com/api/document?collection=cases-ca&amp;id=urn:contentItem:5F8T-N3V1-JF75-M3W7-00000-00&amp;context=" TargetMode="External" /><Relationship Id="rId1030" Type="http://schemas.openxmlformats.org/officeDocument/2006/relationships/hyperlink" Target="https://advance.lexis.com/api/document?collection=cases-ca&amp;id=urn:contentItem:5F7T-S701-F8KH-X1C7-00000-00&amp;context=" TargetMode="External" /><Relationship Id="rId1031" Type="http://schemas.openxmlformats.org/officeDocument/2006/relationships/hyperlink" Target="https://advance.lexis.com/api/document?collection=cases-ca&amp;id=urn:contentItem:5F7T-S7J1-JYYX-622D-00000-00&amp;context=" TargetMode="External" /><Relationship Id="rId1032" Type="http://schemas.openxmlformats.org/officeDocument/2006/relationships/hyperlink" Target="https://advance.lexis.com/api/document?collection=cases-ca&amp;id=urn:contentItem:5F8T-N3V1-FC1F-M3WX-00000-00&amp;context=" TargetMode="External" /><Relationship Id="rId1033" Type="http://schemas.openxmlformats.org/officeDocument/2006/relationships/header" Target="header145.xml" /><Relationship Id="rId1034" Type="http://schemas.openxmlformats.org/officeDocument/2006/relationships/header" Target="header146.xml" /><Relationship Id="rId1035" Type="http://schemas.openxmlformats.org/officeDocument/2006/relationships/footer" Target="footer145.xml" /><Relationship Id="rId1036" Type="http://schemas.openxmlformats.org/officeDocument/2006/relationships/footer" Target="footer146.xml" /><Relationship Id="rId1037" Type="http://schemas.openxmlformats.org/officeDocument/2006/relationships/header" Target="header147.xml" /><Relationship Id="rId1038" Type="http://schemas.openxmlformats.org/officeDocument/2006/relationships/footer" Target="footer147.xml" /><Relationship Id="rId1039" Type="http://schemas.openxmlformats.org/officeDocument/2006/relationships/hyperlink" Target="https://advance.lexis.com/api/document?collection=cases-ca&amp;id=urn:contentItem:5F7T-S7K1-JKHB-6322-00000-00&amp;context=" TargetMode="External" /><Relationship Id="rId104" Type="http://schemas.openxmlformats.org/officeDocument/2006/relationships/hyperlink" Target="https://advance.lexis.com/api/document?collection=cases-ca&amp;id=urn:contentItem:5F8T-N3T1-JGHR-M1WB-00000-00&amp;context=" TargetMode="External" /><Relationship Id="rId1040" Type="http://schemas.openxmlformats.org/officeDocument/2006/relationships/hyperlink" Target="https://advance.lexis.com/api/document?collection=legislation-ca&amp;id=urn:contentItem:5F41-1FJ1-F5KY-B22P-00000-00&amp;context=" TargetMode="External" /><Relationship Id="rId1041" Type="http://schemas.openxmlformats.org/officeDocument/2006/relationships/hyperlink" Target="https://advance.lexis.com/api/document?collection=legislation-ca&amp;id=urn:contentItem:5TBM-3RM1-F7VM-S13S-00000-00&amp;context=" TargetMode="External" /><Relationship Id="rId1042" Type="http://schemas.openxmlformats.org/officeDocument/2006/relationships/hyperlink" Target="https://advance.lexis.com/api/document?collection=legislation-ca&amp;id=urn:contentItem:5F41-1FJ1-JG59-2140-00000-00&amp;context=" TargetMode="External" /><Relationship Id="rId1043" Type="http://schemas.openxmlformats.org/officeDocument/2006/relationships/hyperlink" Target="https://advance.lexis.com/api/document?collection=cases-ca&amp;id=urn:contentItem:5F8P-SF71-FGCG-S3FR-00000-00&amp;context=" TargetMode="External" /><Relationship Id="rId1044" Type="http://schemas.openxmlformats.org/officeDocument/2006/relationships/hyperlink" Target="https://advance.lexis.com/api/document?collection=cases-ca&amp;id=urn:contentItem:5F7T-S7K1-JKHB-62PT-00000-00&amp;context=" TargetMode="External" /><Relationship Id="rId1045" Type="http://schemas.openxmlformats.org/officeDocument/2006/relationships/hyperlink" Target="https://advance.lexis.com/api/document?collection=cases-ca&amp;id=urn:contentItem:5F7T-S7J1-JGBH-B2B7-00000-00&amp;context=" TargetMode="External" /><Relationship Id="rId1046" Type="http://schemas.openxmlformats.org/officeDocument/2006/relationships/hyperlink" Target="https://advance.lexis.com/api/document?collection=cases-ca&amp;id=urn:contentItem:5F7T-S781-DYMS-619P-00000-00&amp;context=" TargetMode="External" /><Relationship Id="rId1047" Type="http://schemas.openxmlformats.org/officeDocument/2006/relationships/hyperlink" Target="https://advance.lexis.com/api/document?collection=cases-ca&amp;id=urn:contentItem:5F7T-S7C1-F7ND-G044-00000-00&amp;context=" TargetMode="External" /><Relationship Id="rId1048" Type="http://schemas.openxmlformats.org/officeDocument/2006/relationships/hyperlink" Target="https://advance.lexis.com/api/document?collection=cases-ca&amp;id=urn:contentItem:5F7T-S7F1-FFFC-B25N-00000-00&amp;context=" TargetMode="External" /><Relationship Id="rId1049" Type="http://schemas.openxmlformats.org/officeDocument/2006/relationships/hyperlink" Target="https://advance.lexis.com/api/document?collection=cases-ca&amp;id=urn:contentItem:5F7T-S7C1-FGRY-B0NK-00000-00&amp;context=" TargetMode="External" /><Relationship Id="rId105" Type="http://schemas.openxmlformats.org/officeDocument/2006/relationships/hyperlink" Target="https://advance.lexis.com/api/document?collection=cases-ca&amp;id=urn:contentItem:5F7V-3DJ1-JJSF-22W3-00000-00&amp;context=" TargetMode="External" /><Relationship Id="rId1050" Type="http://schemas.openxmlformats.org/officeDocument/2006/relationships/hyperlink" Target="https://advance.lexis.com/api/document?collection=cases-ca&amp;id=urn:contentItem:5F7T-S7K1-JSJC-X129-00000-00&amp;context=" TargetMode="External" /><Relationship Id="rId1051" Type="http://schemas.openxmlformats.org/officeDocument/2006/relationships/hyperlink" Target="https://advance.lexis.com/api/document?collection=cases-ca&amp;id=urn:contentItem:5F8P-SF61-JPP5-21XG-00000-00&amp;context=" TargetMode="External" /><Relationship Id="rId1052" Type="http://schemas.openxmlformats.org/officeDocument/2006/relationships/hyperlink" Target="https://advance.lexis.com/api/document?collection=cases-ca&amp;id=urn:contentItem:5F8P-SF61-JBT7-X25W-00000-00&amp;context=" TargetMode="External" /><Relationship Id="rId1053" Type="http://schemas.openxmlformats.org/officeDocument/2006/relationships/hyperlink" Target="https://advance.lexis.com/api/document?collection=cases-ca&amp;id=urn:contentItem:5F7T-S7H1-JG02-S3DJ-00000-00&amp;context=" TargetMode="External" /><Relationship Id="rId1054" Type="http://schemas.openxmlformats.org/officeDocument/2006/relationships/hyperlink" Target="https://advance.lexis.com/api/document?collection=legislation-ca&amp;id=urn:contentItem:5VYK-WB61-JXG3-X3FD-00000-00&amp;context=" TargetMode="External" /><Relationship Id="rId1055" Type="http://schemas.openxmlformats.org/officeDocument/2006/relationships/hyperlink" Target="https://advance.lexis.com/api/document?collection=cases-ca&amp;id=urn:contentItem:5F7T-S7K1-JSJC-X0T0-00000-00&amp;context=" TargetMode="External" /><Relationship Id="rId1056" Type="http://schemas.openxmlformats.org/officeDocument/2006/relationships/hyperlink" Target="https://advance.lexis.com/api/document?collection=cases-ca&amp;id=urn:contentItem:5F81-VJX1-FCK4-G1XM-00000-00&amp;context=" TargetMode="External" /><Relationship Id="rId1057" Type="http://schemas.openxmlformats.org/officeDocument/2006/relationships/hyperlink" Target="https://advance.lexis.com/api/document?collection=cases-ca&amp;id=urn:contentItem:5F7T-S7H1-JCRC-B0NX-00000-00&amp;context=" TargetMode="External" /><Relationship Id="rId1058" Type="http://schemas.openxmlformats.org/officeDocument/2006/relationships/hyperlink" Target="https://advance.lexis.com/api/document?collection=cases-ca&amp;id=urn:contentItem:5F7T-S751-FJDY-X419-00000-00&amp;context=" TargetMode="External" /><Relationship Id="rId1059" Type="http://schemas.openxmlformats.org/officeDocument/2006/relationships/hyperlink" Target="https://advance.lexis.com/api/document?collection=cases-ca&amp;id=urn:contentItem:5F7T-S771-JTGH-B1KF-00000-00&amp;context=" TargetMode="External" /><Relationship Id="rId106" Type="http://schemas.openxmlformats.org/officeDocument/2006/relationships/hyperlink" Target="https://advance.lexis.com/api/document?collection=cases-ca&amp;id=urn:contentItem:5F16-9351-JN6B-S191-00000-00&amp;context=" TargetMode="External" /><Relationship Id="rId1060" Type="http://schemas.openxmlformats.org/officeDocument/2006/relationships/hyperlink" Target="https://advance.lexis.com/api/document?collection=cases-ca&amp;id=urn:contentItem:5F8P-SDY1-JKHB-62N6-00000-00&amp;context=" TargetMode="External" /><Relationship Id="rId1061" Type="http://schemas.openxmlformats.org/officeDocument/2006/relationships/hyperlink" Target="https://advance.lexis.com/api/document?collection=cases-ca&amp;id=urn:contentItem:5F81-VJX1-FD4T-B2WK-00000-00&amp;context=" TargetMode="External" /><Relationship Id="rId1062" Type="http://schemas.openxmlformats.org/officeDocument/2006/relationships/hyperlink" Target="https://advance.lexis.com/api/document?collection=cases-ca&amp;id=urn:contentItem:5F82-1SF1-F1P7-B3WX-00000-00&amp;context=" TargetMode="External" /><Relationship Id="rId1063" Type="http://schemas.openxmlformats.org/officeDocument/2006/relationships/hyperlink" Target="https://advance.lexis.com/api/document?collection=cases-ca&amp;id=urn:contentItem:5F7T-S7F1-FJTD-G3P6-00000-00&amp;context=" TargetMode="External" /><Relationship Id="rId1064" Type="http://schemas.openxmlformats.org/officeDocument/2006/relationships/hyperlink" Target="https://advance.lexis.com/api/document?collection=cases-ca&amp;id=urn:contentItem:5F8P-SF71-JWR6-S456-00000-00&amp;context=" TargetMode="External" /><Relationship Id="rId1065" Type="http://schemas.openxmlformats.org/officeDocument/2006/relationships/hyperlink" Target="https://advance.lexis.com/api/document?collection=cases-ca&amp;id=urn:contentItem:5F8P-SDW1-F57G-S132-00000-00&amp;context=" TargetMode="External" /><Relationship Id="rId1066" Type="http://schemas.openxmlformats.org/officeDocument/2006/relationships/hyperlink" Target="https://advance.lexis.com/api/document?collection=cases-ca&amp;id=urn:contentItem:5F8P-SF41-F016-S061-00000-00&amp;context=" TargetMode="External" /><Relationship Id="rId1067" Type="http://schemas.openxmlformats.org/officeDocument/2006/relationships/hyperlink" Target="https://advance.lexis.com/api/document?collection=cases-ca&amp;id=urn:contentItem:5F7T-S7C1-JCJ5-20GK-00000-00&amp;context=" TargetMode="External" /><Relationship Id="rId1068" Type="http://schemas.openxmlformats.org/officeDocument/2006/relationships/hyperlink" Target="https://advance.lexis.com/api/document?collection=cases-ca&amp;id=urn:contentItem:5F7T-S7J1-JNS1-M2FN-00000-00&amp;context=" TargetMode="External" /><Relationship Id="rId1069" Type="http://schemas.openxmlformats.org/officeDocument/2006/relationships/hyperlink" Target="https://advance.lexis.com/api/document?collection=cases-ca&amp;id=urn:contentItem:5F7T-S7C1-JCJ5-20KN-00000-00&amp;context=" TargetMode="External" /><Relationship Id="rId107" Type="http://schemas.openxmlformats.org/officeDocument/2006/relationships/hyperlink" Target="https://advance.lexis.com/api/document?collection=cases-ca&amp;id=urn:contentItem:5F16-9351-F2MB-S0JJ-00000-00&amp;context=" TargetMode="External" /><Relationship Id="rId1070" Type="http://schemas.openxmlformats.org/officeDocument/2006/relationships/hyperlink" Target="https://advance.lexis.com/api/document?collection=cases-ca&amp;id=urn:contentItem:5F7T-S7C1-FGRY-B0G8-00000-00&amp;context=" TargetMode="External" /><Relationship Id="rId1071" Type="http://schemas.openxmlformats.org/officeDocument/2006/relationships/hyperlink" Target="https://advance.lexis.com/api/document?collection=cases-ca&amp;id=urn:contentItem:5F7T-S7C1-FCSB-S29G-00000-00&amp;context=" TargetMode="External" /><Relationship Id="rId1072" Type="http://schemas.openxmlformats.org/officeDocument/2006/relationships/hyperlink" Target="https://advance.lexis.com/api/document?collection=cases-ca&amp;id=urn:contentItem:5F7T-S7H1-F016-S3MK-00000-00&amp;context=" TargetMode="External" /><Relationship Id="rId1073" Type="http://schemas.openxmlformats.org/officeDocument/2006/relationships/hyperlink" Target="https://advance.lexis.com/api/document?collection=cases-ca&amp;id=urn:contentItem:5F8T-N3V1-JTGH-B175-00000-00&amp;context=" TargetMode="External" /><Relationship Id="rId1074" Type="http://schemas.openxmlformats.org/officeDocument/2006/relationships/hyperlink" Target="https://advance.lexis.com/api/document?collection=cases-ca&amp;id=urn:contentItem:5F7T-S781-DYMS-61N0-00000-00&amp;context=" TargetMode="External" /><Relationship Id="rId1075" Type="http://schemas.openxmlformats.org/officeDocument/2006/relationships/hyperlink" Target="https://advance.lexis.com/api/document?collection=cases-ca&amp;id=urn:contentItem:5F8P-SF81-F22N-X1NV-00000-00&amp;context=" TargetMode="External" /><Relationship Id="rId1076" Type="http://schemas.openxmlformats.org/officeDocument/2006/relationships/hyperlink" Target="https://advance.lexis.com/api/document?collection=cases-ca&amp;id=urn:contentItem:5F7T-S6Y1-JP9P-G1WH-00000-00&amp;context=" TargetMode="External" /><Relationship Id="rId1077" Type="http://schemas.openxmlformats.org/officeDocument/2006/relationships/hyperlink" Target="https://advance.lexis.com/api/document?collection=cases-ca&amp;id=urn:contentItem:5F81-VJW1-JGPY-X4BG-00000-00&amp;context=" TargetMode="External" /><Relationship Id="rId1078" Type="http://schemas.openxmlformats.org/officeDocument/2006/relationships/hyperlink" Target="https://advance.lexis.com/api/document?collection=cases-ca&amp;id=urn:contentItem:5F7T-S7D1-F7ND-G070-00000-00&amp;context=" TargetMode="External" /><Relationship Id="rId1079" Type="http://schemas.openxmlformats.org/officeDocument/2006/relationships/hyperlink" Target="https://advance.lexis.com/api/document?collection=cases-ca&amp;id=urn:contentItem:5F8P-SF81-F22N-X1RR-00000-00&amp;context=" TargetMode="External" /><Relationship Id="rId108" Type="http://schemas.openxmlformats.org/officeDocument/2006/relationships/hyperlink" Target="https://advance.lexis.com/api/document?collection=cases-ca&amp;id=urn:contentItem:5F7V-3DF1-JP4G-640D-00000-00&amp;context=" TargetMode="External" /><Relationship Id="rId1080" Type="http://schemas.openxmlformats.org/officeDocument/2006/relationships/hyperlink" Target="https://advance.lexis.com/api/document?collection=cases-ca&amp;id=urn:contentItem:5F8P-SD51-F1H1-24BV-00000-00&amp;context=" TargetMode="External" /><Relationship Id="rId1081" Type="http://schemas.openxmlformats.org/officeDocument/2006/relationships/header" Target="header148.xml" /><Relationship Id="rId1082" Type="http://schemas.openxmlformats.org/officeDocument/2006/relationships/header" Target="header149.xml" /><Relationship Id="rId1083" Type="http://schemas.openxmlformats.org/officeDocument/2006/relationships/footer" Target="footer148.xml" /><Relationship Id="rId1084" Type="http://schemas.openxmlformats.org/officeDocument/2006/relationships/footer" Target="footer149.xml" /><Relationship Id="rId1085" Type="http://schemas.openxmlformats.org/officeDocument/2006/relationships/header" Target="header150.xml" /><Relationship Id="rId1086" Type="http://schemas.openxmlformats.org/officeDocument/2006/relationships/footer" Target="footer150.xml" /><Relationship Id="rId1087" Type="http://schemas.openxmlformats.org/officeDocument/2006/relationships/hyperlink" Target="https://advance.lexis.com/api/document?collection=cases-ca&amp;id=urn:contentItem:5F7T-S771-JSJC-X088-00000-00&amp;context=" TargetMode="External" /><Relationship Id="rId1088" Type="http://schemas.openxmlformats.org/officeDocument/2006/relationships/hyperlink" Target="https://advance.lexis.com/api/document?collection=legislation-ca&amp;id=urn:contentItem:5SJV-0541-JN6B-S071-00000-00&amp;context=" TargetMode="External" /><Relationship Id="rId1089" Type="http://schemas.openxmlformats.org/officeDocument/2006/relationships/hyperlink" Target="https://advance.lexis.com/api/document?collection=cases-ca&amp;id=urn:contentItem:5F7T-S751-JX3N-B16N-00000-00&amp;context=" TargetMode="External" /><Relationship Id="rId109" Type="http://schemas.openxmlformats.org/officeDocument/2006/relationships/hyperlink" Target="https://advance.lexis.com/api/document?collection=cases-ca&amp;id=urn:contentItem:5F8T-N3V1-JFKM-60C2-00000-00&amp;context=" TargetMode="External" /><Relationship Id="rId1090" Type="http://schemas.openxmlformats.org/officeDocument/2006/relationships/hyperlink" Target="https://advance.lexis.com/api/document?collection=cases-ca&amp;id=urn:contentItem:5F7T-S6S1-FFTT-X0JB-00000-00&amp;context=" TargetMode="External" /><Relationship Id="rId1091" Type="http://schemas.openxmlformats.org/officeDocument/2006/relationships/hyperlink" Target="https://advance.lexis.com/api/document?collection=cases-ca&amp;id=urn:contentItem:5F8T-N3P1-K0BB-S0B2-00000-00&amp;context=" TargetMode="External" /><Relationship Id="rId1092" Type="http://schemas.openxmlformats.org/officeDocument/2006/relationships/hyperlink" Target="https://advance.lexis.com/api/document?collection=cases-ca&amp;id=urn:contentItem:5F81-VJV1-F8D9-M14K-00000-00&amp;context=" TargetMode="External" /><Relationship Id="rId1093" Type="http://schemas.openxmlformats.org/officeDocument/2006/relationships/hyperlink" Target="https://advance.lexis.com/api/document?collection=cases-ca&amp;id=urn:contentItem:5F8T-N3R1-FJDY-X389-00000-00&amp;context=" TargetMode="External" /><Relationship Id="rId1094" Type="http://schemas.openxmlformats.org/officeDocument/2006/relationships/hyperlink" Target="https://advance.lexis.com/api/document?collection=cases-ca&amp;id=urn:contentItem:5F8T-N3R1-JBDT-B539-00000-00&amp;context=" TargetMode="External" /><Relationship Id="rId1095" Type="http://schemas.openxmlformats.org/officeDocument/2006/relationships/hyperlink" Target="https://advance.lexis.com/api/document?collection=cases-ca&amp;id=urn:contentItem:5F7T-S761-JS5Y-B1P3-00000-00&amp;context=" TargetMode="External" /><Relationship Id="rId1096" Type="http://schemas.openxmlformats.org/officeDocument/2006/relationships/hyperlink" Target="https://advance.lexis.com/api/document?collection=cases-ca&amp;id=urn:contentItem:5F7T-S741-F8D9-M1NW-00000-00&amp;context=" TargetMode="External" /><Relationship Id="rId1097" Type="http://schemas.openxmlformats.org/officeDocument/2006/relationships/hyperlink" Target="https://advance.lexis.com/api/document?collection=cases-ca&amp;id=urn:contentItem:5F7T-S711-F4W2-61WF-00000-00&amp;context=" TargetMode="External" /><Relationship Id="rId1098" Type="http://schemas.openxmlformats.org/officeDocument/2006/relationships/hyperlink" Target="https://advance.lexis.com/api/document?collection=cases-ca&amp;id=urn:contentItem:5F7T-S6T1-FD4T-B0BD-00000-00&amp;context=" TargetMode="External" /><Relationship Id="rId1099" Type="http://schemas.openxmlformats.org/officeDocument/2006/relationships/hyperlink" Target="https://advance.lexis.com/api/document?collection=cases-ca&amp;id=urn:contentItem:5F8T-N3P1-F81W-2298-00000-00&amp;context=" TargetMode="External" /><Relationship Id="rId11" Type="http://schemas.openxmlformats.org/officeDocument/2006/relationships/hyperlink" Target="https://advance.lexis.com/api/document?collection=legislation-ca&amp;id=urn:contentItem:5F3B-B791-JW09-M116-00000-00&amp;context=" TargetMode="External" /><Relationship Id="rId110" Type="http://schemas.openxmlformats.org/officeDocument/2006/relationships/header" Target="header13.xml" /><Relationship Id="rId1100" Type="http://schemas.openxmlformats.org/officeDocument/2006/relationships/hyperlink" Target="https://advance.lexis.com/api/document?collection=cases-ca&amp;id=urn:contentItem:5F8W-M451-DYFH-X3JR-00000-00&amp;context=" TargetMode="External" /><Relationship Id="rId1101" Type="http://schemas.openxmlformats.org/officeDocument/2006/relationships/hyperlink" Target="https://advance.lexis.com/api/document?collection=cases-ca&amp;id=urn:contentItem:5F7F-5RH1-FJM6-60D7-00000-00&amp;context=" TargetMode="External" /><Relationship Id="rId1102" Type="http://schemas.openxmlformats.org/officeDocument/2006/relationships/hyperlink" Target="https://advance.lexis.com/api/document?collection=cases-ca&amp;id=urn:contentItem:5F82-1SD1-JFKM-60KR-00000-00&amp;context=" TargetMode="External" /><Relationship Id="rId1103" Type="http://schemas.openxmlformats.org/officeDocument/2006/relationships/hyperlink" Target="https://advance.lexis.com/api/document?collection=cases-ca&amp;id=urn:contentItem:5F7T-S771-FG68-G163-00000-00&amp;context=" TargetMode="External" /><Relationship Id="rId1104" Type="http://schemas.openxmlformats.org/officeDocument/2006/relationships/hyperlink" Target="https://advance.lexis.com/api/document?collection=cases-ca&amp;id=urn:contentItem:5F7T-S741-FJM6-61DD-00000-00&amp;context=" TargetMode="External" /><Relationship Id="rId1105" Type="http://schemas.openxmlformats.org/officeDocument/2006/relationships/hyperlink" Target="https://advance.lexis.com/api/document?collection=cases-ca&amp;id=urn:contentItem:5F7T-S771-F361-M1TJ-00000-00&amp;context=" TargetMode="External" /><Relationship Id="rId1106" Type="http://schemas.openxmlformats.org/officeDocument/2006/relationships/hyperlink" Target="https://advance.lexis.com/api/document?collection=cases-ca&amp;id=urn:contentItem:5F8W-M441-JP4G-64HC-00000-00&amp;context=" TargetMode="External" /><Relationship Id="rId1107" Type="http://schemas.openxmlformats.org/officeDocument/2006/relationships/hyperlink" Target="https://advance.lexis.com/api/document?collection=cases-ca&amp;id=urn:contentItem:5F7T-S741-DXPM-S0YC-00000-00&amp;context=" TargetMode="External" /><Relationship Id="rId1108" Type="http://schemas.openxmlformats.org/officeDocument/2006/relationships/hyperlink" Target="https://advance.lexis.com/api/document?collection=cases-ca&amp;id=urn:contentItem:5F7T-S741-F1H1-21BV-00000-00&amp;context=" TargetMode="External" /><Relationship Id="rId1109" Type="http://schemas.openxmlformats.org/officeDocument/2006/relationships/hyperlink" Target="https://advance.lexis.com/api/document?collection=cases-ca&amp;id=urn:contentItem:5F7T-S701-FJDY-X28D-00000-00&amp;context=" TargetMode="External" /><Relationship Id="rId111" Type="http://schemas.openxmlformats.org/officeDocument/2006/relationships/header" Target="header14.xml" /><Relationship Id="rId1110" Type="http://schemas.openxmlformats.org/officeDocument/2006/relationships/hyperlink" Target="https://advance.lexis.com/api/document?collection=cases-ca&amp;id=urn:contentItem:5F8T-N3R1-JNS1-M18G-00000-00&amp;context=" TargetMode="External" /><Relationship Id="rId1111" Type="http://schemas.openxmlformats.org/officeDocument/2006/relationships/hyperlink" Target="https://advance.lexis.com/api/document?collection=cases-ca&amp;id=urn:contentItem:5F8T-N3T1-JFKM-651D-00000-00&amp;context=" TargetMode="External" /><Relationship Id="rId1112" Type="http://schemas.openxmlformats.org/officeDocument/2006/relationships/hyperlink" Target="https://advance.lexis.com/api/document?collection=cases-ca&amp;id=urn:contentItem:5F8P-SCH1-JSJC-X3RR-00000-00&amp;context=" TargetMode="External" /><Relationship Id="rId1113" Type="http://schemas.openxmlformats.org/officeDocument/2006/relationships/hyperlink" Target="https://advance.lexis.com/api/document?collection=cases-ca&amp;id=urn:contentItem:5F8W-M411-JS5Y-B3KW-00000-00&amp;context=" TargetMode="External" /><Relationship Id="rId1114" Type="http://schemas.openxmlformats.org/officeDocument/2006/relationships/numbering" Target="numbering.xml" /><Relationship Id="rId1115" Type="http://schemas.openxmlformats.org/officeDocument/2006/relationships/styles" Target="styles.xml" /><Relationship Id="rId112" Type="http://schemas.openxmlformats.org/officeDocument/2006/relationships/footer" Target="footer13.xml" /><Relationship Id="rId113" Type="http://schemas.openxmlformats.org/officeDocument/2006/relationships/footer" Target="footer14.xml" /><Relationship Id="rId114" Type="http://schemas.openxmlformats.org/officeDocument/2006/relationships/header" Target="header15.xml" /><Relationship Id="rId115" Type="http://schemas.openxmlformats.org/officeDocument/2006/relationships/footer" Target="footer15.xml" /><Relationship Id="rId116" Type="http://schemas.openxmlformats.org/officeDocument/2006/relationships/hyperlink" Target="https://advance.lexis.com/api/document?collection=cases-ca&amp;id=urn:contentItem:5F7T-S781-F7G6-63HH-00000-00&amp;context=" TargetMode="External" /><Relationship Id="rId117" Type="http://schemas.openxmlformats.org/officeDocument/2006/relationships/hyperlink" Target="https://advance.lexis.com/api/document?collection=cases-ca&amp;id=urn:contentItem:5F7T-S731-JNJT-B1W0-00000-00&amp;context=" TargetMode="External" /><Relationship Id="rId118" Type="http://schemas.openxmlformats.org/officeDocument/2006/relationships/hyperlink" Target="https://advance.lexis.com/api/document?collection=cases-ca&amp;id=urn:contentItem:5F7T-S761-F81W-227S-00000-00&amp;context=" TargetMode="External" /><Relationship Id="rId119" Type="http://schemas.openxmlformats.org/officeDocument/2006/relationships/hyperlink" Target="https://advance.lexis.com/api/document?collection=cases-ca&amp;id=urn:contentItem:5F7T-S741-F7VM-S2N5-00000-00&amp;context=" TargetMode="External" /><Relationship Id="rId12" Type="http://schemas.openxmlformats.org/officeDocument/2006/relationships/hyperlink" Target="https://advance.lexis.com/api/document?collection=legislation-ca&amp;id=urn:contentItem:5VYK-W9X1-FFTT-X0TW-00000-00&amp;context=" TargetMode="External" /><Relationship Id="rId120" Type="http://schemas.openxmlformats.org/officeDocument/2006/relationships/hyperlink" Target="https://advance.lexis.com/api/document?collection=cases-ca&amp;id=urn:contentItem:5F7T-S761-FGJR-22G6-00000-00&amp;context=" TargetMode="External" /><Relationship Id="rId121" Type="http://schemas.openxmlformats.org/officeDocument/2006/relationships/hyperlink" Target="https://advance.lexis.com/api/document?collection=cases-ca&amp;id=urn:contentItem:5F7T-S761-JCBX-S0R1-00000-00&amp;context=" TargetMode="External" /><Relationship Id="rId122" Type="http://schemas.openxmlformats.org/officeDocument/2006/relationships/hyperlink" Target="https://advance.lexis.com/api/document?collection=cases-ca&amp;id=urn:contentItem:5F7T-S771-F361-M1VD-00000-00&amp;context=" TargetMode="External" /><Relationship Id="rId123" Type="http://schemas.openxmlformats.org/officeDocument/2006/relationships/hyperlink" Target="https://advance.lexis.com/api/document?collection=cases-ca&amp;id=urn:contentItem:5F7T-S6W1-F4GK-M1J6-00000-00&amp;context=" TargetMode="External" /><Relationship Id="rId124" Type="http://schemas.openxmlformats.org/officeDocument/2006/relationships/hyperlink" Target="https://advance.lexis.com/api/document?collection=cases-ca&amp;id=urn:contentItem:5F7T-S6Y1-JNY7-X2F4-00000-00&amp;context=" TargetMode="External" /><Relationship Id="rId125" Type="http://schemas.openxmlformats.org/officeDocument/2006/relationships/hyperlink" Target="https://advance.lexis.com/api/document?collection=cases-ca&amp;id=urn:contentItem:5F7T-S701-F8KH-X1FY-00000-00&amp;context=" TargetMode="External" /><Relationship Id="rId126" Type="http://schemas.openxmlformats.org/officeDocument/2006/relationships/hyperlink" Target="https://advance.lexis.com/api/document?collection=cases-ca&amp;id=urn:contentItem:5F7T-S711-JG02-S1XB-00000-00&amp;context=" TargetMode="External" /><Relationship Id="rId127" Type="http://schemas.openxmlformats.org/officeDocument/2006/relationships/hyperlink" Target="https://advance.lexis.com/api/document?collection=cases-ca&amp;id=urn:contentItem:5F7T-S741-F2F4-G2KG-00000-00&amp;context=" TargetMode="External" /><Relationship Id="rId128" Type="http://schemas.openxmlformats.org/officeDocument/2006/relationships/hyperlink" Target="https://advance.lexis.com/api/document?collection=cases-ca&amp;id=urn:contentItem:5F7T-S751-JNS1-M1YN-00000-00&amp;context=" TargetMode="External" /><Relationship Id="rId129" Type="http://schemas.openxmlformats.org/officeDocument/2006/relationships/hyperlink" Target="https://advance.lexis.com/api/document?collection=cases-ca&amp;id=urn:contentItem:5F7T-S721-JSC5-M387-00000-00&amp;context=" TargetMode="External" /><Relationship Id="rId13" Type="http://schemas.openxmlformats.org/officeDocument/2006/relationships/hyperlink" Target="https://advance.lexis.com/api/document?collection=legislation-ca&amp;id=urn:contentItem:5FBX-WG31-JS5Y-B4MX-00000-00&amp;context=" TargetMode="External" /><Relationship Id="rId130" Type="http://schemas.openxmlformats.org/officeDocument/2006/relationships/hyperlink" Target="https://advance.lexis.com/api/document?collection=cases-ca&amp;id=urn:contentItem:5F7T-S711-JNY7-X33J-00000-00&amp;context=" TargetMode="External" /><Relationship Id="rId131" Type="http://schemas.openxmlformats.org/officeDocument/2006/relationships/hyperlink" Target="https://advance.lexis.com/api/document?collection=cases-ca&amp;id=urn:contentItem:5F7T-S7G1-JX3N-B2JF-00000-00&amp;context=" TargetMode="External" /><Relationship Id="rId132" Type="http://schemas.openxmlformats.org/officeDocument/2006/relationships/hyperlink" Target="https://advance.lexis.com/api/document?collection=cases-ca&amp;id=urn:contentItem:5F8T-N3S1-JBDT-B0DW-00000-00&amp;context=" TargetMode="External" /><Relationship Id="rId133" Type="http://schemas.openxmlformats.org/officeDocument/2006/relationships/hyperlink" Target="https://advance.lexis.com/api/document?collection=cases-ca&amp;id=urn:contentItem:5F7T-S6Y1-JF75-M3TB-00000-00&amp;context=" TargetMode="External" /><Relationship Id="rId134" Type="http://schemas.openxmlformats.org/officeDocument/2006/relationships/hyperlink" Target="https://advance.lexis.com/api/document?collection=cases-ca&amp;id=urn:contentItem:5F7T-S6Y1-JF75-M3S4-00000-00&amp;context=" TargetMode="External" /><Relationship Id="rId135" Type="http://schemas.openxmlformats.org/officeDocument/2006/relationships/hyperlink" Target="https://advance.lexis.com/api/document?collection=cases-ca&amp;id=urn:contentItem:5F7T-S6Y1-F7G6-635Y-00000-00&amp;context=" TargetMode="External" /><Relationship Id="rId136" Type="http://schemas.openxmlformats.org/officeDocument/2006/relationships/hyperlink" Target="https://advance.lexis.com/api/document?collection=cases-ca&amp;id=urn:contentItem:5F7T-S761-F7ND-G4CR-00000-00&amp;context=" TargetMode="External" /><Relationship Id="rId137" Type="http://schemas.openxmlformats.org/officeDocument/2006/relationships/hyperlink" Target="https://advance.lexis.com/api/document?collection=cases-ca&amp;id=urn:contentItem:5F7T-S771-F2TK-22PN-00000-00&amp;context=" TargetMode="External" /><Relationship Id="rId138" Type="http://schemas.openxmlformats.org/officeDocument/2006/relationships/header" Target="header16.xml" /><Relationship Id="rId139" Type="http://schemas.openxmlformats.org/officeDocument/2006/relationships/header" Target="header17.xml" /><Relationship Id="rId14" Type="http://schemas.openxmlformats.org/officeDocument/2006/relationships/hyperlink" Target="https://advance.lexis.com/api/document?collection=legislation-ca&amp;id=urn:contentItem:5VYK-WB01-FGJR-23GX-00000-00&amp;context=" TargetMode="External" /><Relationship Id="rId140" Type="http://schemas.openxmlformats.org/officeDocument/2006/relationships/footer" Target="footer16.xml" /><Relationship Id="rId141" Type="http://schemas.openxmlformats.org/officeDocument/2006/relationships/footer" Target="footer17.xml" /><Relationship Id="rId142" Type="http://schemas.openxmlformats.org/officeDocument/2006/relationships/header" Target="header18.xml" /><Relationship Id="rId143" Type="http://schemas.openxmlformats.org/officeDocument/2006/relationships/footer" Target="footer18.xml" /><Relationship Id="rId144" Type="http://schemas.openxmlformats.org/officeDocument/2006/relationships/hyperlink" Target="https://advance.lexis.com/api/document?collection=cases-ca&amp;id=urn:contentItem:5F7T-S7P1-JNJT-B2HP-00000-00&amp;context=" TargetMode="External" /><Relationship Id="rId145" Type="http://schemas.openxmlformats.org/officeDocument/2006/relationships/hyperlink" Target="https://advance.lexis.com/api/document?collection=legislation-ca&amp;id=urn:contentItem:5VD6-X741-JKPJ-G000-00000-00&amp;context=" TargetMode="External" /><Relationship Id="rId146" Type="http://schemas.openxmlformats.org/officeDocument/2006/relationships/hyperlink" Target="https://advance.lexis.com/api/document?collection=legislation-ca&amp;id=urn:contentItem:5F41-1FN1-JJK6-S07V-00000-00&amp;context=" TargetMode="External" /><Relationship Id="rId147" Type="http://schemas.openxmlformats.org/officeDocument/2006/relationships/image" Target="media/image1.png" /><Relationship Id="rId148" Type="http://schemas.openxmlformats.org/officeDocument/2006/relationships/image" Target="media/image2.png" /><Relationship Id="rId149" Type="http://schemas.openxmlformats.org/officeDocument/2006/relationships/hyperlink" Target="https://advance.lexis.com/api/document?collection=cases-ca&amp;id=urn:contentItem:5F8N-K751-F016-S4TC-00000-00&amp;context=" TargetMode="External" /><Relationship Id="rId15" Type="http://schemas.openxmlformats.org/officeDocument/2006/relationships/hyperlink" Target="https://advance.lexis.com/api/document?collection=legislation-ca&amp;id=urn:contentItem:5VYK-WB71-FGJR-23H5-00000-00&amp;context=" TargetMode="External" /><Relationship Id="rId150" Type="http://schemas.openxmlformats.org/officeDocument/2006/relationships/hyperlink" Target="https://advance.lexis.com/api/document?collection=cases-ca&amp;id=urn:contentItem:5F8P-SG21-DXPM-S3R8-00000-00&amp;context=" TargetMode="External" /><Relationship Id="rId151" Type="http://schemas.openxmlformats.org/officeDocument/2006/relationships/hyperlink" Target="https://advance.lexis.com/api/document?collection=cases-ca&amp;id=urn:contentItem:5F7T-S711-F4GK-M2MK-00000-00&amp;context=" TargetMode="External" /><Relationship Id="rId152" Type="http://schemas.openxmlformats.org/officeDocument/2006/relationships/hyperlink" Target="https://advance.lexis.com/api/document?collection=cases-ca&amp;id=urn:contentItem:5F81-VJY1-FBN1-2315-00000-00&amp;context=" TargetMode="External" /><Relationship Id="rId153" Type="http://schemas.openxmlformats.org/officeDocument/2006/relationships/hyperlink" Target="https://advance.lexis.com/api/document?collection=cases-ca&amp;id=urn:contentItem:5F8P-SFK1-JYYX-64FP-00000-00&amp;context=" TargetMode="External" /><Relationship Id="rId154" Type="http://schemas.openxmlformats.org/officeDocument/2006/relationships/hyperlink" Target="https://advance.lexis.com/api/document?collection=cases-ca&amp;id=urn:contentItem:5F7T-S6X1-F7ND-G44R-00000-00&amp;context=" TargetMode="External" /><Relationship Id="rId155" Type="http://schemas.openxmlformats.org/officeDocument/2006/relationships/hyperlink" Target="https://advance.lexis.com/api/document?collection=cases-ca&amp;id=urn:contentItem:5F8T-N3S1-JBDT-B087-00000-00&amp;context=" TargetMode="External" /><Relationship Id="rId156" Type="http://schemas.openxmlformats.org/officeDocument/2006/relationships/hyperlink" Target="https://advance.lexis.com/api/document?collection=cases-ca&amp;id=urn:contentItem:5F8T-N3T1-JJSF-23BY-00000-00&amp;context=" TargetMode="External" /><Relationship Id="rId157" Type="http://schemas.openxmlformats.org/officeDocument/2006/relationships/hyperlink" Target="https://advance.lexis.com/api/document?collection=cases-ca&amp;id=urn:contentItem:5F8T-N3T1-JJSF-23F8-00000-00&amp;context=" TargetMode="External" /><Relationship Id="rId158" Type="http://schemas.openxmlformats.org/officeDocument/2006/relationships/hyperlink" Target="https://advance.lexis.com/api/document?collection=cases-ca&amp;id=urn:contentItem:5F8T-N3T1-JFKM-6519-00000-00&amp;context=" TargetMode="External" /><Relationship Id="rId159" Type="http://schemas.openxmlformats.org/officeDocument/2006/relationships/hyperlink" Target="https://advance.lexis.com/api/document?collection=cases-ca&amp;id=urn:contentItem:5F8T-N3V1-JF75-M3FN-00000-00&amp;context=" TargetMode="External" /><Relationship Id="rId16" Type="http://schemas.openxmlformats.org/officeDocument/2006/relationships/hyperlink" Target="https://advance.lexis.com/api/document?collection=legislation-ca&amp;id=urn:contentItem:5VYK-W9X1-JN6B-S1KB-00000-00&amp;context=" TargetMode="External" /><Relationship Id="rId160" Type="http://schemas.openxmlformats.org/officeDocument/2006/relationships/hyperlink" Target="https://advance.lexis.com/api/document?collection=cases-ca&amp;id=urn:contentItem:5F8T-N3V1-JTGH-B111-00000-00&amp;context=" TargetMode="External" /><Relationship Id="rId161" Type="http://schemas.openxmlformats.org/officeDocument/2006/relationships/hyperlink" Target="https://advance.lexis.com/api/document?collection=cases-ca&amp;id=urn:contentItem:5F7T-S7F1-JK4W-M197-00000-00&amp;context=" TargetMode="External" /><Relationship Id="rId162" Type="http://schemas.openxmlformats.org/officeDocument/2006/relationships/hyperlink" Target="https://advance.lexis.com/api/document?collection=cases-ca&amp;id=urn:contentItem:5F81-VJX1-JP9P-G4V0-00000-00&amp;context=" TargetMode="External" /><Relationship Id="rId163" Type="http://schemas.openxmlformats.org/officeDocument/2006/relationships/hyperlink" Target="https://advance.lexis.com/api/document?collection=cases-ca&amp;id=urn:contentItem:5F8T-N3V1-JTGH-B16R-00000-00&amp;context=" TargetMode="External" /><Relationship Id="rId164" Type="http://schemas.openxmlformats.org/officeDocument/2006/relationships/hyperlink" Target="https://advance.lexis.com/api/document?collection=cases-ca&amp;id=urn:contentItem:5F8T-N3V1-FC1F-M469-00000-00&amp;context=" TargetMode="External" /><Relationship Id="rId165" Type="http://schemas.openxmlformats.org/officeDocument/2006/relationships/hyperlink" Target="https://advance.lexis.com/api/document?collection=cases-ca&amp;id=urn:contentItem:5F8T-N3V1-JTGH-B1C2-00000-00&amp;context=" TargetMode="External" /><Relationship Id="rId166" Type="http://schemas.openxmlformats.org/officeDocument/2006/relationships/hyperlink" Target="https://advance.lexis.com/api/document?collection=cases-ca&amp;id=urn:contentItem:5F8T-N3V1-JTGH-B1GF-00000-00&amp;context=" TargetMode="External" /><Relationship Id="rId167" Type="http://schemas.openxmlformats.org/officeDocument/2006/relationships/hyperlink" Target="https://advance.lexis.com/api/document?collection=cases-ca&amp;id=urn:contentItem:5F7T-S6W1-F7ND-G2M6-00000-00&amp;context=" TargetMode="External" /><Relationship Id="rId168" Type="http://schemas.openxmlformats.org/officeDocument/2006/relationships/hyperlink" Target="https://advance.lexis.com/api/document?collection=cases-ca&amp;id=urn:contentItem:5F7T-XR01-JX3N-B088-00000-00&amp;context=" TargetMode="External" /><Relationship Id="rId169" Type="http://schemas.openxmlformats.org/officeDocument/2006/relationships/hyperlink" Target="https://advance.lexis.com/api/document?collection=cases-ca&amp;id=urn:contentItem:5F8N-K6Y1-F2MB-S095-00000-00&amp;context=" TargetMode="External" /><Relationship Id="rId17" Type="http://schemas.openxmlformats.org/officeDocument/2006/relationships/hyperlink" Target="https://advance.lexis.com/api/document?collection=legislation-ca&amp;id=urn:contentItem:5F3B-BC71-FCYK-20GC-00000-00&amp;context=" TargetMode="External" /><Relationship Id="rId170" Type="http://schemas.openxmlformats.org/officeDocument/2006/relationships/hyperlink" Target="https://advance.lexis.com/api/document?collection=cases-ca&amp;id=urn:contentItem:5F7V-3DF1-F65M-62X2-00000-00&amp;context=" TargetMode="External" /><Relationship Id="rId171" Type="http://schemas.openxmlformats.org/officeDocument/2006/relationships/hyperlink" Target="https://advance.lexis.com/api/document?collection=cases-ca&amp;id=urn:contentItem:5F7T-S7M1-F4W2-6297-00000-00&amp;context=" TargetMode="External" /><Relationship Id="rId172" Type="http://schemas.openxmlformats.org/officeDocument/2006/relationships/hyperlink" Target="https://advance.lexis.com/api/document?collection=cases-ca&amp;id=urn:contentItem:5F7V-3DH1-JCJ5-239G-00000-00&amp;context=" TargetMode="External" /><Relationship Id="rId173" Type="http://schemas.openxmlformats.org/officeDocument/2006/relationships/hyperlink" Target="https://advance.lexis.com/api/document?collection=cases-ca&amp;id=urn:contentItem:5F7V-3DH1-JCJ5-239W-00000-00&amp;context=" TargetMode="External" /><Relationship Id="rId174" Type="http://schemas.openxmlformats.org/officeDocument/2006/relationships/hyperlink" Target="https://advance.lexis.com/api/document?collection=cases-ca&amp;id=urn:contentItem:5F7T-S6Y1-JTNR-M4B7-00000-00&amp;context=" TargetMode="External" /><Relationship Id="rId175" Type="http://schemas.openxmlformats.org/officeDocument/2006/relationships/hyperlink" Target="https://advance.lexis.com/api/document?collection=cases-ca&amp;id=urn:contentItem:5F8T-N3V1-JTGH-B1H3-00000-00&amp;context=" TargetMode="External" /><Relationship Id="rId176" Type="http://schemas.openxmlformats.org/officeDocument/2006/relationships/image" Target="media/image3.jpeg" /><Relationship Id="rId177" Type="http://schemas.openxmlformats.org/officeDocument/2006/relationships/image" Target="media/image4.jpeg" /><Relationship Id="rId178" Type="http://schemas.openxmlformats.org/officeDocument/2006/relationships/header" Target="header19.xml" /><Relationship Id="rId179" Type="http://schemas.openxmlformats.org/officeDocument/2006/relationships/header" Target="header20.xml" /><Relationship Id="rId18" Type="http://schemas.openxmlformats.org/officeDocument/2006/relationships/hyperlink" Target="https://advance.lexis.com/api/document?collection=legislation-ca&amp;id=urn:contentItem:5VYK-WB21-FBN1-24MH-00000-00&amp;context=" TargetMode="External" /><Relationship Id="rId180" Type="http://schemas.openxmlformats.org/officeDocument/2006/relationships/footer" Target="footer19.xml" /><Relationship Id="rId181" Type="http://schemas.openxmlformats.org/officeDocument/2006/relationships/footer" Target="footer20.xml" /><Relationship Id="rId182" Type="http://schemas.openxmlformats.org/officeDocument/2006/relationships/header" Target="header21.xml" /><Relationship Id="rId183" Type="http://schemas.openxmlformats.org/officeDocument/2006/relationships/footer" Target="footer21.xml" /><Relationship Id="rId184" Type="http://schemas.openxmlformats.org/officeDocument/2006/relationships/hyperlink" Target="https://advance.lexis.com/api/document?collection=cases-ca&amp;id=urn:contentItem:5F7T-S7C1-JSRM-60T7-00000-00&amp;context=" TargetMode="External" /><Relationship Id="rId185" Type="http://schemas.openxmlformats.org/officeDocument/2006/relationships/hyperlink" Target="https://advance.lexis.com/api/document?collection=cases-ca&amp;id=urn:contentItem:5F8T-N3N1-FCYK-238R-00000-00&amp;context=" TargetMode="External" /><Relationship Id="rId186" Type="http://schemas.openxmlformats.org/officeDocument/2006/relationships/hyperlink" Target="https://advance.lexis.com/api/document?collection=cases-ca&amp;id=urn:contentItem:5F8W-M441-JTNR-M0NK-00000-00&amp;context=" TargetMode="External" /><Relationship Id="rId187" Type="http://schemas.openxmlformats.org/officeDocument/2006/relationships/hyperlink" Target="https://iclr.co.uk/pubrefLookup/redirectTo?ref=1911+P.+208" TargetMode="External" /><Relationship Id="rId188" Type="http://schemas.openxmlformats.org/officeDocument/2006/relationships/image" Target="media/image5.png" /><Relationship Id="rId189" Type="http://schemas.openxmlformats.org/officeDocument/2006/relationships/hyperlink" Target="https://advance.lexis.com/api/document?collection=cases-ca&amp;id=urn:contentItem:5F81-VJX1-JX3N-B15Y-00000-00&amp;context=" TargetMode="External" /><Relationship Id="rId19" Type="http://schemas.openxmlformats.org/officeDocument/2006/relationships/hyperlink" Target="https://advance.lexis.com/api/document?collection=legislation-ca&amp;id=urn:contentItem:5VYK-WB31-JWXF-20XR-00000-00&amp;context=" TargetMode="External" /><Relationship Id="rId190" Type="http://schemas.openxmlformats.org/officeDocument/2006/relationships/hyperlink" Target="https://advance.lexis.com/api/document?collection=cases-ca&amp;id=urn:contentItem:5F82-1SD1-FC6N-X3TY-00000-00&amp;context=" TargetMode="External" /><Relationship Id="rId191" Type="http://schemas.openxmlformats.org/officeDocument/2006/relationships/hyperlink" Target="https://advance.lexis.com/api/document?collection=cases-ca&amp;id=urn:contentItem:5F7T-S771-F81W-22PT-00000-00&amp;context=" TargetMode="External" /><Relationship Id="rId192" Type="http://schemas.openxmlformats.org/officeDocument/2006/relationships/hyperlink" Target="https://advance.lexis.com/api/document?collection=cases-ca&amp;id=urn:contentItem:5F7T-S701-JGPY-X1BN-00000-00&amp;context=" TargetMode="External" /><Relationship Id="rId193" Type="http://schemas.openxmlformats.org/officeDocument/2006/relationships/hyperlink" Target="https://advance.lexis.com/api/document?collection=cases-ca&amp;id=urn:contentItem:5F7T-S7B1-F7ND-G4XF-00000-00&amp;context=" TargetMode="External" /><Relationship Id="rId194" Type="http://schemas.openxmlformats.org/officeDocument/2006/relationships/hyperlink" Target="https://advance.lexis.com/api/document?collection=cases-ca&amp;id=urn:contentItem:5F81-YH41-JX8W-M06K-00000-00&amp;context=" TargetMode="External" /><Relationship Id="rId195" Type="http://schemas.openxmlformats.org/officeDocument/2006/relationships/hyperlink" Target="https://advance.lexis.com/api/document?collection=cases-ca&amp;id=urn:contentItem:5F7T-S781-F900-G0N2-00000-00&amp;context=" TargetMode="External" /><Relationship Id="rId196" Type="http://schemas.openxmlformats.org/officeDocument/2006/relationships/header" Target="header22.xml" /><Relationship Id="rId197" Type="http://schemas.openxmlformats.org/officeDocument/2006/relationships/header" Target="header23.xml" /><Relationship Id="rId198" Type="http://schemas.openxmlformats.org/officeDocument/2006/relationships/footer" Target="footer22.xml" /><Relationship Id="rId199" Type="http://schemas.openxmlformats.org/officeDocument/2006/relationships/footer" Target="footer23.xml" /><Relationship Id="rId2" Type="http://schemas.openxmlformats.org/officeDocument/2006/relationships/webSettings" Target="webSettings.xml" /><Relationship Id="rId20" Type="http://schemas.openxmlformats.org/officeDocument/2006/relationships/hyperlink" Target="https://advance.lexis.com/api/document?collection=cases-ca&amp;id=urn:contentItem:5F7T-S7N1-JGHR-M35K-00000-00&amp;context=" TargetMode="External" /><Relationship Id="rId200" Type="http://schemas.openxmlformats.org/officeDocument/2006/relationships/header" Target="header24.xml" /><Relationship Id="rId201" Type="http://schemas.openxmlformats.org/officeDocument/2006/relationships/footer" Target="footer24.xml" /><Relationship Id="rId202" Type="http://schemas.openxmlformats.org/officeDocument/2006/relationships/hyperlink" Target="https://advance.lexis.com/api/document?collection=cases-ca&amp;id=urn:contentItem:5X40-PHD1-JNJT-B0FY-00000-00&amp;context=" TargetMode="External" /><Relationship Id="rId203" Type="http://schemas.openxmlformats.org/officeDocument/2006/relationships/hyperlink" Target="https://advance.lexis.com/api/document?collection=cases-ca&amp;id=urn:contentItem:5VH6-SN61-JFDC-X2R1-00000-00&amp;context=" TargetMode="External" /><Relationship Id="rId204" Type="http://schemas.openxmlformats.org/officeDocument/2006/relationships/hyperlink" Target="https://advance.lexis.com/api/document?collection=legislation-ca&amp;id=urn:contentItem:5F41-1FG1-JJYN-B07V-00000-00&amp;context=" TargetMode="External" /><Relationship Id="rId205" Type="http://schemas.openxmlformats.org/officeDocument/2006/relationships/hyperlink" Target="https://advance.lexis.com/api/document?collection=cases-ca&amp;id=urn:contentItem:5F7T-S7G1-JBT7-X40C-00000-00&amp;context=" TargetMode="External" /><Relationship Id="rId206" Type="http://schemas.openxmlformats.org/officeDocument/2006/relationships/hyperlink" Target="https://advance.lexis.com/api/document?collection=cases-ca&amp;id=urn:contentItem:5F7T-S7K1-JX3N-B2V4-00000-00&amp;context=" TargetMode="External" /><Relationship Id="rId207" Type="http://schemas.openxmlformats.org/officeDocument/2006/relationships/hyperlink" Target="https://advance.lexis.com/api/document?collection=cases-ca&amp;id=urn:contentItem:5F7T-S7N1-F06F-24KX-00000-00&amp;context=" TargetMode="External" /><Relationship Id="rId208" Type="http://schemas.openxmlformats.org/officeDocument/2006/relationships/hyperlink" Target="https://advance.lexis.com/api/document?collection=cases-ca&amp;id=urn:contentItem:5F7T-S7D1-FCSB-S2T6-00000-00&amp;context=" TargetMode="External" /><Relationship Id="rId209" Type="http://schemas.openxmlformats.org/officeDocument/2006/relationships/hyperlink" Target="https://advance.lexis.com/api/document?collection=cases-ca&amp;id=urn:contentItem:5F8T-N3R1-JJSF-22PS-00000-00&amp;context=" TargetMode="External" /><Relationship Id="rId21" Type="http://schemas.openxmlformats.org/officeDocument/2006/relationships/hyperlink" Target="https://advance.lexis.com/api/document?collection=cases-ca&amp;id=urn:contentItem:5F8T-N3T1-JJSF-2339-00000-00&amp;context=" TargetMode="External" /><Relationship Id="rId210" Type="http://schemas.openxmlformats.org/officeDocument/2006/relationships/hyperlink" Target="https://advance.lexis.com/api/document?collection=cases-ca&amp;id=urn:contentItem:5F7T-S721-JSC5-M3H7-00000-00&amp;context=" TargetMode="External" /><Relationship Id="rId211" Type="http://schemas.openxmlformats.org/officeDocument/2006/relationships/hyperlink" Target="https://advance.lexis.com/api/document?collection=legislation-ca&amp;id=urn:contentItem:5F41-1FG1-JJYN-B07C-00000-00&amp;context=" TargetMode="External" /><Relationship Id="rId212" Type="http://schemas.openxmlformats.org/officeDocument/2006/relationships/hyperlink" Target="https://advance.lexis.com/api/document?collection=legislation-ca&amp;id=urn:contentItem:5VYK-WB61-JF1Y-B3JY-00000-00&amp;context=" TargetMode="External" /><Relationship Id="rId213" Type="http://schemas.openxmlformats.org/officeDocument/2006/relationships/hyperlink" Target="https://advance.lexis.com/api/document?collection=cases-ca&amp;id=urn:contentItem:5F7T-S781-F7G6-63RN-00000-00&amp;context=" TargetMode="External" /><Relationship Id="rId214" Type="http://schemas.openxmlformats.org/officeDocument/2006/relationships/hyperlink" Target="https://advance.lexis.com/api/document?collection=cases-ca&amp;id=urn:contentItem:5F8T-N3P1-F7ND-G1BV-00000-00&amp;context=" TargetMode="External" /><Relationship Id="rId215" Type="http://schemas.openxmlformats.org/officeDocument/2006/relationships/hyperlink" Target="https://advance.lexis.com/api/document?collection=cases-ca&amp;id=urn:contentItem:5F7T-S6X1-K0BB-S0MC-00000-00&amp;context=" TargetMode="External" /><Relationship Id="rId216" Type="http://schemas.openxmlformats.org/officeDocument/2006/relationships/hyperlink" Target="https://advance.lexis.com/api/document?collection=cases-ca&amp;id=urn:contentItem:5GPJ-8SK1-F30T-B06K-00000-00&amp;context=" TargetMode="External" /><Relationship Id="rId217" Type="http://schemas.openxmlformats.org/officeDocument/2006/relationships/hyperlink" Target="https://advance.lexis.com/api/document?collection=cases-ca&amp;id=urn:contentItem:5F7T-S6W1-F7ND-G2JP-00000-00&amp;context=" TargetMode="External" /><Relationship Id="rId218" Type="http://schemas.openxmlformats.org/officeDocument/2006/relationships/hyperlink" Target="https://advance.lexis.com/api/document?collection=cases-ca&amp;id=urn:contentItem:5F7T-S6W1-JB7K-215D-00000-00&amp;context=" TargetMode="External" /><Relationship Id="rId219" Type="http://schemas.openxmlformats.org/officeDocument/2006/relationships/hyperlink" Target="https://advance.lexis.com/api/document?collection=cases-ca&amp;id=urn:contentItem:5F7T-S7K1-JX3N-B32N-00000-00&amp;context=" TargetMode="External" /><Relationship Id="rId22" Type="http://schemas.openxmlformats.org/officeDocument/2006/relationships/hyperlink" Target="https://advance.lexis.com/api/document?collection=cases-ca&amp;id=urn:contentItem:5F8T-N3V1-FC1F-M49J-00000-00&amp;context=" TargetMode="External" /><Relationship Id="rId220" Type="http://schemas.openxmlformats.org/officeDocument/2006/relationships/hyperlink" Target="https://advance.lexis.com/api/document?collection=cases-ca&amp;id=urn:contentItem:5F8T-N3P1-FC6N-X1B0-00000-00&amp;context=" TargetMode="External" /><Relationship Id="rId221" Type="http://schemas.openxmlformats.org/officeDocument/2006/relationships/hyperlink" Target="https://advance.lexis.com/api/document?collection=cases-ca&amp;id=urn:contentItem:5F8T-N3V1-JTGH-B136-00000-00&amp;context=" TargetMode="External" /><Relationship Id="rId222" Type="http://schemas.openxmlformats.org/officeDocument/2006/relationships/hyperlink" Target="https://advance.lexis.com/api/document?collection=cases-ca&amp;id=urn:contentItem:5F7H-KWB1-DYMS-60RG-00000-00&amp;context=" TargetMode="External" /><Relationship Id="rId223" Type="http://schemas.openxmlformats.org/officeDocument/2006/relationships/hyperlink" Target="https://advance.lexis.com/api/document?collection=cases-ca&amp;id=urn:contentItem:5F8P-SG21-JK4W-M03T-00000-00&amp;context=" TargetMode="External" /><Relationship Id="rId224" Type="http://schemas.openxmlformats.org/officeDocument/2006/relationships/hyperlink" Target="https://advance.lexis.com/api/document?collection=analytical-materials-ca&amp;id=urn:contentItem:5HSF-36V1-FJTD-G1W6-00000-00&amp;context=" TargetMode="External" /><Relationship Id="rId225" Type="http://schemas.openxmlformats.org/officeDocument/2006/relationships/hyperlink" Target="https://advance.lexis.com/api/document?collection=cases-ca&amp;id=urn:contentItem:5F7H-KWB1-F7VM-S1T4-00000-00&amp;context=" TargetMode="External" /><Relationship Id="rId226" Type="http://schemas.openxmlformats.org/officeDocument/2006/relationships/hyperlink" Target="https://advance.lexis.com/api/document?collection=cases-ca&amp;id=urn:contentItem:5F8P-SDB1-JC5P-G2HW-00000-00&amp;context=" TargetMode="External" /><Relationship Id="rId227" Type="http://schemas.openxmlformats.org/officeDocument/2006/relationships/hyperlink" Target="https://advance.lexis.com/api/document?collection=cases-ca&amp;id=urn:contentItem:5F7T-S7K1-F1H1-220C-00000-00&amp;context=" TargetMode="External" /><Relationship Id="rId228" Type="http://schemas.openxmlformats.org/officeDocument/2006/relationships/hyperlink" Target="https://advance.lexis.com/api/document?collection=cases-ca&amp;id=urn:contentItem:5F7T-S7M1-JJK6-S1Y5-00000-00&amp;context=" TargetMode="External" /><Relationship Id="rId229" Type="http://schemas.openxmlformats.org/officeDocument/2006/relationships/hyperlink" Target="https://advance.lexis.com/api/document?collection=cases-ca&amp;id=urn:contentItem:5F81-VJV1-F8D9-M0NM-00000-00&amp;context=" TargetMode="External" /><Relationship Id="rId23" Type="http://schemas.openxmlformats.org/officeDocument/2006/relationships/hyperlink" Target="https://advance.lexis.com/api/document?collection=cases-ca&amp;id=urn:contentItem:5F7T-S7M1-JJK6-S26J-00000-00&amp;context=" TargetMode="External" /><Relationship Id="rId230" Type="http://schemas.openxmlformats.org/officeDocument/2006/relationships/hyperlink" Target="https://advance.lexis.com/api/document?collection=cases-ca&amp;id=urn:contentItem:5F8T-N3V1-JFKM-6011-00000-00&amp;context=" TargetMode="External" /><Relationship Id="rId231" Type="http://schemas.openxmlformats.org/officeDocument/2006/relationships/hyperlink" Target="https://advance.lexis.com/api/document?collection=cases-ca&amp;id=urn:contentItem:5F8P-SCH1-JSJC-X3X2-00000-00&amp;context=" TargetMode="External" /><Relationship Id="rId232" Type="http://schemas.openxmlformats.org/officeDocument/2006/relationships/hyperlink" Target="https://advance.lexis.com/api/document?collection=cases-ca&amp;id=urn:contentItem:5F8P-SCJ1-JJ6S-62RM-00000-00&amp;context=" TargetMode="External" /><Relationship Id="rId233" Type="http://schemas.openxmlformats.org/officeDocument/2006/relationships/hyperlink" Target="https://advance.lexis.com/api/document?collection=cases-ca&amp;id=urn:contentItem:5MD0-3211-FCSB-S1J9-00000-00&amp;context=" TargetMode="External" /><Relationship Id="rId234" Type="http://schemas.openxmlformats.org/officeDocument/2006/relationships/hyperlink" Target="https://advance.lexis.com/api/document?collection=cases-ca&amp;id=urn:contentItem:5GF3-BGM1-JT99-20YV-00000-00&amp;context=" TargetMode="External" /><Relationship Id="rId235" Type="http://schemas.openxmlformats.org/officeDocument/2006/relationships/hyperlink" Target="https://advance.lexis.com/api/document?collection=cases-ca&amp;id=urn:contentItem:5NTV-GXS1-FGY5-M1B4-00000-00&amp;context=" TargetMode="External" /><Relationship Id="rId236" Type="http://schemas.openxmlformats.org/officeDocument/2006/relationships/hyperlink" Target="https://advance.lexis.com/api/document?collection=cases-ca&amp;id=urn:contentItem:5F7T-S7G1-FCYK-20C2-00000-00&amp;context=" TargetMode="External" /><Relationship Id="rId237" Type="http://schemas.openxmlformats.org/officeDocument/2006/relationships/hyperlink" Target="https://advance.lexis.com/api/document?collection=cases-ca&amp;id=urn:contentItem:5F8T-N3T1-JJSF-23BN-00000-00&amp;context=" TargetMode="External" /><Relationship Id="rId238" Type="http://schemas.openxmlformats.org/officeDocument/2006/relationships/hyperlink" Target="https://advance.lexis.com/api/document?collection=cases-ca&amp;id=urn:contentItem:5F7T-S7C1-JSRM-6111-00000-00&amp;context=" TargetMode="External" /><Relationship Id="rId239" Type="http://schemas.openxmlformats.org/officeDocument/2006/relationships/header" Target="header25.xml" /><Relationship Id="rId24" Type="http://schemas.openxmlformats.org/officeDocument/2006/relationships/hyperlink" Target="https://advance.lexis.com/api/document?collection=cases-ca&amp;id=urn:contentItem:5F7T-S7K1-JNY7-X4NP-00000-00&amp;context=" TargetMode="External" /><Relationship Id="rId240" Type="http://schemas.openxmlformats.org/officeDocument/2006/relationships/header" Target="header26.xml" /><Relationship Id="rId241" Type="http://schemas.openxmlformats.org/officeDocument/2006/relationships/footer" Target="footer25.xml" /><Relationship Id="rId242" Type="http://schemas.openxmlformats.org/officeDocument/2006/relationships/footer" Target="footer26.xml" /><Relationship Id="rId243" Type="http://schemas.openxmlformats.org/officeDocument/2006/relationships/header" Target="header27.xml" /><Relationship Id="rId244" Type="http://schemas.openxmlformats.org/officeDocument/2006/relationships/footer" Target="footer27.xml" /><Relationship Id="rId245" Type="http://schemas.openxmlformats.org/officeDocument/2006/relationships/hyperlink" Target="https://advance.lexis.com/api/document?collection=cases-ca&amp;id=urn:contentItem:5K6Y-81M1-JN6B-S1DW-00000-00&amp;context=" TargetMode="External" /><Relationship Id="rId246" Type="http://schemas.openxmlformats.org/officeDocument/2006/relationships/hyperlink" Target="https://advance.lexis.com/api/document?collection=cases-ca&amp;id=urn:contentItem:5F7T-S7C1-F30T-B21G-00000-00&amp;context=" TargetMode="External" /><Relationship Id="rId247" Type="http://schemas.openxmlformats.org/officeDocument/2006/relationships/hyperlink" Target="https://advance.lexis.com/api/document?collection=cases-ca&amp;id=urn:contentItem:5F16-93D1-F81W-219M-00000-00&amp;context=" TargetMode="External" /><Relationship Id="rId248" Type="http://schemas.openxmlformats.org/officeDocument/2006/relationships/hyperlink" Target="https://advance.lexis.com/api/document?collection=cases-ca&amp;id=urn:contentItem:5F8T-N3R1-JJSF-22MN-00000-00&amp;context=" TargetMode="External" /><Relationship Id="rId249" Type="http://schemas.openxmlformats.org/officeDocument/2006/relationships/hyperlink" Target="https://advance.lexis.com/api/document?collection=cases-ca&amp;id=urn:contentItem:5F81-VJV1-JBM1-M46C-00000-00&amp;context=" TargetMode="External" /><Relationship Id="rId25" Type="http://schemas.openxmlformats.org/officeDocument/2006/relationships/hyperlink" Target="https://advance.lexis.com/api/document?collection=cases-ca&amp;id=urn:contentItem:5F8T-N3V1-FH4C-X1XK-00000-00&amp;context=" TargetMode="External" /><Relationship Id="rId250" Type="http://schemas.openxmlformats.org/officeDocument/2006/relationships/hyperlink" Target="https://advance.lexis.com/api/document?collection=cases-ca&amp;id=urn:contentItem:5F7T-S701-JK4W-M0N4-00000-00&amp;context=" TargetMode="External" /><Relationship Id="rId251" Type="http://schemas.openxmlformats.org/officeDocument/2006/relationships/hyperlink" Target="https://advance.lexis.com/api/document?collection=cases-ca&amp;id=urn:contentItem:5F7T-S711-JC0G-62YB-00000-00&amp;context=" TargetMode="External" /><Relationship Id="rId252" Type="http://schemas.openxmlformats.org/officeDocument/2006/relationships/header" Target="header28.xml" /><Relationship Id="rId253" Type="http://schemas.openxmlformats.org/officeDocument/2006/relationships/header" Target="header29.xml" /><Relationship Id="rId254" Type="http://schemas.openxmlformats.org/officeDocument/2006/relationships/footer" Target="footer28.xml" /><Relationship Id="rId255" Type="http://schemas.openxmlformats.org/officeDocument/2006/relationships/footer" Target="footer29.xml" /><Relationship Id="rId256" Type="http://schemas.openxmlformats.org/officeDocument/2006/relationships/header" Target="header30.xml" /><Relationship Id="rId257" Type="http://schemas.openxmlformats.org/officeDocument/2006/relationships/footer" Target="footer30.xml" /><Relationship Id="rId258" Type="http://schemas.openxmlformats.org/officeDocument/2006/relationships/hyperlink" Target="https://advance.lexis.com/api/document?collection=cases-ca&amp;id=urn:contentItem:5F7T-S7K1-JKHB-62R5-00000-00&amp;context=" TargetMode="External" /><Relationship Id="rId259" Type="http://schemas.openxmlformats.org/officeDocument/2006/relationships/hyperlink" Target="https://advance.lexis.com/api/document?collection=cases-ca&amp;id=urn:contentItem:5F7T-S7G1-JBT7-X3JH-00000-00&amp;context=" TargetMode="External" /><Relationship Id="rId26" Type="http://schemas.openxmlformats.org/officeDocument/2006/relationships/hyperlink" Target="https://advance.lexis.com/api/document?collection=cases-ca&amp;id=urn:contentItem:5F81-VJY1-JPGX-S4WK-00000-00&amp;context=" TargetMode="External" /><Relationship Id="rId260" Type="http://schemas.openxmlformats.org/officeDocument/2006/relationships/hyperlink" Target="https://advance.lexis.com/api/document?collection=cases-ca&amp;id=urn:contentItem:5F8T-N3V1-JF75-M3D0-00000-00&amp;context=" TargetMode="External" /><Relationship Id="rId261" Type="http://schemas.openxmlformats.org/officeDocument/2006/relationships/hyperlink" Target="https://advance.lexis.com/api/document?collection=cases-ca&amp;id=urn:contentItem:5F8T-N3V1-FC1F-M461-00000-00&amp;context=" TargetMode="External" /><Relationship Id="rId262" Type="http://schemas.openxmlformats.org/officeDocument/2006/relationships/hyperlink" Target="https://advance.lexis.com/api/document?collection=cases-ca&amp;id=urn:contentItem:5F7T-S7K1-JSJC-X0P7-00000-00&amp;context=" TargetMode="External" /><Relationship Id="rId263" Type="http://schemas.openxmlformats.org/officeDocument/2006/relationships/hyperlink" Target="https://advance.lexis.com/api/document?collection=cases-ca&amp;id=urn:contentItem:5F81-VJX1-FFTT-X1KD-00000-00&amp;context=" TargetMode="External" /><Relationship Id="rId264" Type="http://schemas.openxmlformats.org/officeDocument/2006/relationships/hyperlink" Target="https://advance.lexis.com/api/document?collection=cases-ca&amp;id=urn:contentItem:5F81-VJX1-JJYN-B4WD-00000-00&amp;context=" TargetMode="External" /><Relationship Id="rId265" Type="http://schemas.openxmlformats.org/officeDocument/2006/relationships/hyperlink" Target="https://advance.lexis.com/api/document?collection=cases-ca&amp;id=urn:contentItem:5F8P-SDD1-FFTT-X1Y9-00000-00&amp;context=" TargetMode="External" /><Relationship Id="rId266" Type="http://schemas.openxmlformats.org/officeDocument/2006/relationships/hyperlink" Target="https://advance.lexis.com/api/document?collection=cases-ca&amp;id=urn:contentItem:5F7T-S7C1-F4NT-X2WD-00000-00&amp;context=" TargetMode="External" /><Relationship Id="rId267" Type="http://schemas.openxmlformats.org/officeDocument/2006/relationships/hyperlink" Target="https://advance.lexis.com/api/document?collection=cases-ca&amp;id=urn:contentItem:5F7V-3DJ1-JF1Y-B28W-00000-00&amp;context=" TargetMode="External" /><Relationship Id="rId268" Type="http://schemas.openxmlformats.org/officeDocument/2006/relationships/hyperlink" Target="https://advance.lexis.com/api/document?collection=cases-ca&amp;id=urn:contentItem:5F81-VJX1-FCK4-G1JR-00000-00&amp;context=" TargetMode="External" /><Relationship Id="rId269" Type="http://schemas.openxmlformats.org/officeDocument/2006/relationships/hyperlink" Target="https://advance.lexis.com/api/document?collection=cases-ca&amp;id=urn:contentItem:5F8T-N3V1-JFKM-602C-00000-00&amp;context=" TargetMode="External" /><Relationship Id="rId27" Type="http://schemas.openxmlformats.org/officeDocument/2006/relationships/hyperlink" Target="https://advance.lexis.com/api/document?collection=cases-ca&amp;id=urn:contentItem:5F8T-N3V1-JTGH-B19N-00000-00&amp;context=" TargetMode="External" /><Relationship Id="rId270" Type="http://schemas.openxmlformats.org/officeDocument/2006/relationships/hyperlink" Target="https://advance.lexis.com/api/document?collection=cases-ca&amp;id=urn:contentItem:5F7T-S7H1-K054-G23D-00000-00&amp;context=" TargetMode="External" /><Relationship Id="rId271" Type="http://schemas.openxmlformats.org/officeDocument/2006/relationships/hyperlink" Target="https://advance.lexis.com/api/document?collection=cases-ca&amp;id=urn:contentItem:5F7T-S7G1-JWR6-S1X8-00000-00&amp;context=" TargetMode="External" /><Relationship Id="rId272" Type="http://schemas.openxmlformats.org/officeDocument/2006/relationships/hyperlink" Target="https://advance.lexis.com/api/document?collection=cases-ca&amp;id=urn:contentItem:5F7T-S6T1-JP9P-G0X8-00000-00&amp;context=" TargetMode="External" /><Relationship Id="rId273" Type="http://schemas.openxmlformats.org/officeDocument/2006/relationships/hyperlink" Target="https://advance.lexis.com/api/document?collection=cases-ca&amp;id=urn:contentItem:5F7T-S6W1-JB7K-21KW-00000-00&amp;context=" TargetMode="External" /><Relationship Id="rId274" Type="http://schemas.openxmlformats.org/officeDocument/2006/relationships/hyperlink" Target="https://advance.lexis.com/api/document?collection=cases-ca&amp;id=urn:contentItem:5F7T-S751-JX3N-B16X-00000-00&amp;context=" TargetMode="External" /><Relationship Id="rId275" Type="http://schemas.openxmlformats.org/officeDocument/2006/relationships/header" Target="header31.xml" /><Relationship Id="rId276" Type="http://schemas.openxmlformats.org/officeDocument/2006/relationships/header" Target="header32.xml" /><Relationship Id="rId277" Type="http://schemas.openxmlformats.org/officeDocument/2006/relationships/footer" Target="footer31.xml" /><Relationship Id="rId278" Type="http://schemas.openxmlformats.org/officeDocument/2006/relationships/footer" Target="footer32.xml" /><Relationship Id="rId279" Type="http://schemas.openxmlformats.org/officeDocument/2006/relationships/header" Target="header33.xml" /><Relationship Id="rId28" Type="http://schemas.openxmlformats.org/officeDocument/2006/relationships/hyperlink" Target="https://advance.lexis.com/api/document?collection=cases-ca&amp;id=urn:contentItem:5F81-YGM1-F5KY-B4Y5-00000-00&amp;context=" TargetMode="External" /><Relationship Id="rId280" Type="http://schemas.openxmlformats.org/officeDocument/2006/relationships/footer" Target="footer33.xml" /><Relationship Id="rId281" Type="http://schemas.openxmlformats.org/officeDocument/2006/relationships/hyperlink" Target="https://advance.lexis.com/api/document?collection=cases-ca&amp;id=urn:contentItem:5F7T-S771-JWBS-61W1-00000-00&amp;context=" TargetMode="External" /><Relationship Id="rId282" Type="http://schemas.openxmlformats.org/officeDocument/2006/relationships/hyperlink" Target="https://advance.lexis.com/api/document?collection=cases-ca&amp;id=urn:contentItem:5F7H-KWB1-JCJ5-21FT-00000-00&amp;context=" TargetMode="External" /><Relationship Id="rId283" Type="http://schemas.openxmlformats.org/officeDocument/2006/relationships/hyperlink" Target="https://advance.lexis.com/api/document?collection=cases-ca&amp;id=urn:contentItem:5F7T-S751-JX3N-B0W3-00000-00&amp;context=" TargetMode="External" /><Relationship Id="rId284" Type="http://schemas.openxmlformats.org/officeDocument/2006/relationships/hyperlink" Target="https://advance.lexis.com/api/document?collection=cases-ca&amp;id=urn:contentItem:5F7T-S761-FGJR-22KR-00000-00&amp;context=" TargetMode="External" /><Relationship Id="rId285" Type="http://schemas.openxmlformats.org/officeDocument/2006/relationships/hyperlink" Target="https://advance.lexis.com/api/document?collection=cases-ca&amp;id=urn:contentItem:5F7T-S6X1-FBN1-217C-00000-00&amp;context=" TargetMode="External" /><Relationship Id="rId286" Type="http://schemas.openxmlformats.org/officeDocument/2006/relationships/hyperlink" Target="https://advance.lexis.com/api/document?collection=cases-ca&amp;id=urn:contentItem:5F7T-S751-F361-M0NJ-00000-00&amp;context=" TargetMode="External" /><Relationship Id="rId287" Type="http://schemas.openxmlformats.org/officeDocument/2006/relationships/hyperlink" Target="https://advance.lexis.com/api/document?collection=cases-ca&amp;id=urn:contentItem:5F7T-S721-F956-S19R-00000-00&amp;context=" TargetMode="External" /><Relationship Id="rId288" Type="http://schemas.openxmlformats.org/officeDocument/2006/relationships/hyperlink" Target="https://advance.lexis.com/api/document?collection=cases-ca&amp;id=urn:contentItem:5F7T-S701-JGPY-X1CM-00000-00&amp;context=" TargetMode="External" /><Relationship Id="rId289" Type="http://schemas.openxmlformats.org/officeDocument/2006/relationships/hyperlink" Target="https://advance.lexis.com/api/document?collection=cases-ca&amp;id=urn:contentItem:5F7T-S6X1-F7ND-G33S-00000-00&amp;context=" TargetMode="External" /><Relationship Id="rId29" Type="http://schemas.openxmlformats.org/officeDocument/2006/relationships/hyperlink" Target="https://advance.lexis.com/api/document?collection=cases-ca&amp;id=urn:contentItem:5F81-VJY1-JWBS-64NS-00000-00&amp;context=" TargetMode="External" /><Relationship Id="rId290" Type="http://schemas.openxmlformats.org/officeDocument/2006/relationships/hyperlink" Target="https://advance.lexis.com/api/document?collection=cases-ca&amp;id=urn:contentItem:5F7T-S6P1-JGBH-B1YC-00000-00&amp;context=" TargetMode="External" /><Relationship Id="rId291" Type="http://schemas.openxmlformats.org/officeDocument/2006/relationships/hyperlink" Target="https://advance.lexis.com/api/document?collection=cases-ca&amp;id=urn:contentItem:5F7T-S741-F57G-S1MG-00000-00&amp;context=" TargetMode="External" /><Relationship Id="rId292" Type="http://schemas.openxmlformats.org/officeDocument/2006/relationships/header" Target="header34.xml" /><Relationship Id="rId293" Type="http://schemas.openxmlformats.org/officeDocument/2006/relationships/header" Target="header35.xml" /><Relationship Id="rId294" Type="http://schemas.openxmlformats.org/officeDocument/2006/relationships/footer" Target="footer34.xml" /><Relationship Id="rId295" Type="http://schemas.openxmlformats.org/officeDocument/2006/relationships/footer" Target="footer35.xml" /><Relationship Id="rId296" Type="http://schemas.openxmlformats.org/officeDocument/2006/relationships/header" Target="header36.xml" /><Relationship Id="rId297" Type="http://schemas.openxmlformats.org/officeDocument/2006/relationships/footer" Target="footer36.xml" /><Relationship Id="rId298" Type="http://schemas.openxmlformats.org/officeDocument/2006/relationships/hyperlink" Target="https://advance.lexis.com/api/document?collection=cases-ca&amp;id=urn:contentItem:5F7T-S781-F7G6-63JN-00000-00&amp;context=" TargetMode="External" /><Relationship Id="rId299" Type="http://schemas.openxmlformats.org/officeDocument/2006/relationships/hyperlink" Target="https://advance.lexis.com/api/document?collection=cases-ca&amp;id=urn:contentItem:5F7T-S771-JW5H-X24J-00000-00&amp;context=" TargetMode="External" /><Relationship Id="rId3" Type="http://schemas.openxmlformats.org/officeDocument/2006/relationships/fontTable" Target="fontTable.xml" /><Relationship Id="rId30" Type="http://schemas.openxmlformats.org/officeDocument/2006/relationships/hyperlink" Target="https://advance.lexis.com/api/document?collection=cases-ca&amp;id=urn:contentItem:5F82-1SH1-JF1Y-B2VG-00000-00&amp;context=" TargetMode="External" /><Relationship Id="rId300" Type="http://schemas.openxmlformats.org/officeDocument/2006/relationships/hyperlink" Target="https://advance.lexis.com/api/document?collection=cases-ca&amp;id=urn:contentItem:5F7T-S771-JW5H-X1S9-00000-00&amp;context=" TargetMode="External" /><Relationship Id="rId301" Type="http://schemas.openxmlformats.org/officeDocument/2006/relationships/hyperlink" Target="https://advance.lexis.com/api/document?collection=cases-ca&amp;id=urn:contentItem:5F7T-S741-F1H1-219B-00000-00&amp;context=" TargetMode="External" /><Relationship Id="rId302" Type="http://schemas.openxmlformats.org/officeDocument/2006/relationships/hyperlink" Target="https://advance.lexis.com/api/document?collection=cases-ca&amp;id=urn:contentItem:5F7T-S741-F528-G21K-00000-00&amp;context=" TargetMode="External" /><Relationship Id="rId303" Type="http://schemas.openxmlformats.org/officeDocument/2006/relationships/hyperlink" Target="https://advance.lexis.com/api/document?collection=cases-ca&amp;id=urn:contentItem:5F7T-S741-F7VM-S324-00000-00&amp;context=" TargetMode="External" /><Relationship Id="rId304" Type="http://schemas.openxmlformats.org/officeDocument/2006/relationships/hyperlink" Target="https://advance.lexis.com/api/document?collection=cases-ca&amp;id=urn:contentItem:5F7T-S6W1-JYYX-61WY-00000-00&amp;context=" TargetMode="External" /><Relationship Id="rId305" Type="http://schemas.openxmlformats.org/officeDocument/2006/relationships/hyperlink" Target="https://advance.lexis.com/api/document?collection=cases-ca&amp;id=urn:contentItem:5F7T-S771-JSJC-X0G4-00000-00&amp;context=" TargetMode="External" /><Relationship Id="rId306" Type="http://schemas.openxmlformats.org/officeDocument/2006/relationships/hyperlink" Target="https://advance.lexis.com/api/document?collection=cases-ca&amp;id=urn:contentItem:5F7T-S751-JGHR-M1YT-00000-00&amp;context=" TargetMode="External" /><Relationship Id="rId307" Type="http://schemas.openxmlformats.org/officeDocument/2006/relationships/hyperlink" Target="https://advance.lexis.com/api/document?collection=cases-ca&amp;id=urn:contentItem:5F7T-S751-JBM1-M227-00000-00&amp;context=" TargetMode="External" /><Relationship Id="rId308" Type="http://schemas.openxmlformats.org/officeDocument/2006/relationships/hyperlink" Target="https://advance.lexis.com/api/document?collection=cases-ca&amp;id=urn:contentItem:5F7T-S6X1-F7ND-G3V4-00000-00&amp;context=" TargetMode="External" /><Relationship Id="rId309" Type="http://schemas.openxmlformats.org/officeDocument/2006/relationships/hyperlink" Target="https://advance.lexis.com/api/document?collection=cases-ca&amp;id=urn:contentItem:5F7T-S6Y1-F4GK-M1MX-00000-00&amp;context=" TargetMode="External" /><Relationship Id="rId31" Type="http://schemas.openxmlformats.org/officeDocument/2006/relationships/hyperlink" Target="https://advance.lexis.com/api/document?collection=cases-ca&amp;id=urn:contentItem:5F8T-N3V1-JTGH-B1CS-00000-00&amp;context=" TargetMode="External" /><Relationship Id="rId310" Type="http://schemas.openxmlformats.org/officeDocument/2006/relationships/hyperlink" Target="https://advance.lexis.com/api/document?collection=cases-ca&amp;id=urn:contentItem:5F7T-S771-JW5H-X1P2-00000-00&amp;context=" TargetMode="External" /><Relationship Id="rId311" Type="http://schemas.openxmlformats.org/officeDocument/2006/relationships/header" Target="header37.xml" /><Relationship Id="rId312" Type="http://schemas.openxmlformats.org/officeDocument/2006/relationships/header" Target="header38.xml" /><Relationship Id="rId313" Type="http://schemas.openxmlformats.org/officeDocument/2006/relationships/footer" Target="footer37.xml" /><Relationship Id="rId314" Type="http://schemas.openxmlformats.org/officeDocument/2006/relationships/footer" Target="footer38.xml" /><Relationship Id="rId315" Type="http://schemas.openxmlformats.org/officeDocument/2006/relationships/header" Target="header39.xml" /><Relationship Id="rId316" Type="http://schemas.openxmlformats.org/officeDocument/2006/relationships/footer" Target="footer39.xml" /><Relationship Id="rId317" Type="http://schemas.openxmlformats.org/officeDocument/2006/relationships/hyperlink" Target="https://advance.lexis.com/api/document?collection=cases-ca&amp;id=urn:contentItem:5F7T-S7H1-F4GK-M34X-00000-00&amp;context=" TargetMode="External" /><Relationship Id="rId318" Type="http://schemas.openxmlformats.org/officeDocument/2006/relationships/hyperlink" Target="https://advance.lexis.com/api/document?collection=cases-ca&amp;id=urn:contentItem:5F7T-S7G1-JN6B-S1BD-00000-00&amp;context=" TargetMode="External" /><Relationship Id="rId319" Type="http://schemas.openxmlformats.org/officeDocument/2006/relationships/hyperlink" Target="https://advance.lexis.com/api/document?collection=cases-ca&amp;id=urn:contentItem:5F8T-N3V1-JTGH-B0YP-00000-00&amp;context=" TargetMode="External" /><Relationship Id="rId32" Type="http://schemas.openxmlformats.org/officeDocument/2006/relationships/hyperlink" Target="https://advance.lexis.com/api/document?collection=cases-ca&amp;id=urn:contentItem:5F8N-K711-F1P7-B3DK-00000-00&amp;context=" TargetMode="External" /><Relationship Id="rId320" Type="http://schemas.openxmlformats.org/officeDocument/2006/relationships/hyperlink" Target="https://advance.lexis.com/api/document?collection=cases-ca&amp;id=urn:contentItem:5F7T-S721-F4NT-X2W2-00000-00&amp;context=" TargetMode="External" /><Relationship Id="rId321" Type="http://schemas.openxmlformats.org/officeDocument/2006/relationships/hyperlink" Target="https://advance.lexis.com/api/document?collection=cases-ca&amp;id=urn:contentItem:5F7T-S761-JS5Y-B1KW-00000-00&amp;context=" TargetMode="External" /><Relationship Id="rId322" Type="http://schemas.openxmlformats.org/officeDocument/2006/relationships/hyperlink" Target="https://advance.lexis.com/api/document?collection=cases-ca&amp;id=urn:contentItem:5F7T-S721-F956-S1JB-00000-00&amp;context=" TargetMode="External" /><Relationship Id="rId323" Type="http://schemas.openxmlformats.org/officeDocument/2006/relationships/hyperlink" Target="https://advance.lexis.com/api/document?collection=cases-ca&amp;id=urn:contentItem:5F81-VJX1-FCK4-G1H4-00000-00&amp;context=" TargetMode="External" /><Relationship Id="rId324" Type="http://schemas.openxmlformats.org/officeDocument/2006/relationships/header" Target="header40.xml" /><Relationship Id="rId325" Type="http://schemas.openxmlformats.org/officeDocument/2006/relationships/header" Target="header41.xml" /><Relationship Id="rId326" Type="http://schemas.openxmlformats.org/officeDocument/2006/relationships/footer" Target="footer40.xml" /><Relationship Id="rId327" Type="http://schemas.openxmlformats.org/officeDocument/2006/relationships/footer" Target="footer41.xml" /><Relationship Id="rId328" Type="http://schemas.openxmlformats.org/officeDocument/2006/relationships/header" Target="header42.xml" /><Relationship Id="rId329" Type="http://schemas.openxmlformats.org/officeDocument/2006/relationships/footer" Target="footer42.xml" /><Relationship Id="rId33" Type="http://schemas.openxmlformats.org/officeDocument/2006/relationships/hyperlink" Target="https://advance.lexis.com/api/document?collection=cases-ca&amp;id=urn:contentItem:5F8T-N3T1-JGHR-M278-00000-00&amp;context=" TargetMode="External" /><Relationship Id="rId330" Type="http://schemas.openxmlformats.org/officeDocument/2006/relationships/hyperlink" Target="https://advance.lexis.com/api/document?collection=cases-ca&amp;id=urn:contentItem:5F7T-S7F1-JBT7-X2XX-00000-00&amp;context=" TargetMode="External" /><Relationship Id="rId331" Type="http://schemas.openxmlformats.org/officeDocument/2006/relationships/hyperlink" Target="https://advance.lexis.com/api/document?collection=legislation-ca&amp;id=urn:contentItem:5F3B-B9X1-FFMK-M085-00000-00&amp;context=" TargetMode="External" /><Relationship Id="rId332" Type="http://schemas.openxmlformats.org/officeDocument/2006/relationships/hyperlink" Target="https://advance.lexis.com/api/document?collection=legislation-ca&amp;id=urn:contentItem:5F3B-B9X1-FFMK-M09B-00000-00&amp;context=" TargetMode="External" /><Relationship Id="rId333" Type="http://schemas.openxmlformats.org/officeDocument/2006/relationships/hyperlink" Target="https://advance.lexis.com/api/document?collection=legislation-ca&amp;id=urn:contentItem:5F3B-B9X1-FFMK-M0B4-00000-00&amp;context=" TargetMode="External" /><Relationship Id="rId334" Type="http://schemas.openxmlformats.org/officeDocument/2006/relationships/hyperlink" Target="https://advance.lexis.com/api/document?collection=legislation-ca&amp;id=urn:contentItem:5F3B-B9X1-FFMK-M0D4-00000-00&amp;context=" TargetMode="External" /><Relationship Id="rId335" Type="http://schemas.openxmlformats.org/officeDocument/2006/relationships/hyperlink" Target="https://advance.lexis.com/api/document?collection=legislation-ca&amp;id=urn:contentItem:5F3B-B9X1-FFMK-M0KN-00000-00&amp;context=" TargetMode="External" /><Relationship Id="rId336" Type="http://schemas.openxmlformats.org/officeDocument/2006/relationships/hyperlink" Target="https://advance.lexis.com/api/document?collection=legislation-ca&amp;id=urn:contentItem:5F41-1FH1-JSRM-60GT-00000-00&amp;context=" TargetMode="External" /><Relationship Id="rId337" Type="http://schemas.openxmlformats.org/officeDocument/2006/relationships/hyperlink" Target="https://advance.lexis.com/api/document?collection=legislation-ca&amp;id=urn:contentItem:5VYK-WB51-K054-G4Y8-00000-00&amp;context=" TargetMode="External" /><Relationship Id="rId338" Type="http://schemas.openxmlformats.org/officeDocument/2006/relationships/hyperlink" Target="https://advance.lexis.com/api/document?collection=cases-ca&amp;id=urn:contentItem:5F7T-S7C1-F4NT-X3X0-00000-00&amp;context=" TargetMode="External" /><Relationship Id="rId339" Type="http://schemas.openxmlformats.org/officeDocument/2006/relationships/hyperlink" Target="https://advance.lexis.com/api/document?collection=cases-ca&amp;id=urn:contentItem:5F7T-S7D1-JS5Y-B2G1-00000-00&amp;context=" TargetMode="External" /><Relationship Id="rId34" Type="http://schemas.openxmlformats.org/officeDocument/2006/relationships/hyperlink" Target="https://advance.lexis.com/api/document?collection=cases-ca&amp;id=urn:contentItem:5F8T-N3V1-FH4C-X1VX-00000-00&amp;context=" TargetMode="External" /><Relationship Id="rId340" Type="http://schemas.openxmlformats.org/officeDocument/2006/relationships/hyperlink" Target="https://advance.lexis.com/api/document?collection=cases-ca&amp;id=urn:contentItem:5F7H-KW91-DYFH-X0TN-00000-00&amp;context=" TargetMode="External" /><Relationship Id="rId341" Type="http://schemas.openxmlformats.org/officeDocument/2006/relationships/hyperlink" Target="https://advance.lexis.com/api/document?collection=cases-ca&amp;id=urn:contentItem:5F7T-S721-FG12-61T6-00000-00&amp;context=" TargetMode="External" /><Relationship Id="rId342" Type="http://schemas.openxmlformats.org/officeDocument/2006/relationships/hyperlink" Target="https://advance.lexis.com/api/document?collection=cases-ca&amp;id=urn:contentItem:5F7V-3DJ1-JK4W-M395-00000-00&amp;context=" TargetMode="External" /><Relationship Id="rId343" Type="http://schemas.openxmlformats.org/officeDocument/2006/relationships/hyperlink" Target="https://advance.lexis.com/api/document?collection=cases-ca&amp;id=urn:contentItem:5F8P-SD71-JN6B-S1WV-00000-00&amp;context=" TargetMode="External" /><Relationship Id="rId344" Type="http://schemas.openxmlformats.org/officeDocument/2006/relationships/hyperlink" Target="https://advance.lexis.com/api/document?collection=cases-ca&amp;id=urn:contentItem:5F8T-N3V1-JF75-M3KG-00000-00&amp;context=" TargetMode="External" /><Relationship Id="rId345" Type="http://schemas.openxmlformats.org/officeDocument/2006/relationships/hyperlink" Target="https://advance.lexis.com/api/document?collection=cases-ca&amp;id=urn:contentItem:5F7T-S751-JX3N-B18G-00000-00&amp;context=" TargetMode="External" /><Relationship Id="rId346" Type="http://schemas.openxmlformats.org/officeDocument/2006/relationships/hyperlink" Target="https://advance.lexis.com/api/document?collection=cases-ca&amp;id=urn:contentItem:5F8P-SDG1-FJDY-X1X0-00000-00&amp;context=" TargetMode="External" /><Relationship Id="rId347" Type="http://schemas.openxmlformats.org/officeDocument/2006/relationships/hyperlink" Target="https://advance.lexis.com/api/document?collection=cases-ca&amp;id=urn:contentItem:5F8T-N3S1-JBDT-B078-00000-00&amp;context=" TargetMode="External" /><Relationship Id="rId348" Type="http://schemas.openxmlformats.org/officeDocument/2006/relationships/hyperlink" Target="https://advance.lexis.com/api/document?collection=cases-ca&amp;id=urn:contentItem:5F7T-S6Y1-F7G6-62P1-00000-00&amp;context=" TargetMode="External" /><Relationship Id="rId349" Type="http://schemas.openxmlformats.org/officeDocument/2006/relationships/hyperlink" Target="https://advance.lexis.com/api/document?collection=cases-ca&amp;id=urn:contentItem:5F8P-SCR1-JXG3-X30N-00000-00&amp;context=" TargetMode="External" /><Relationship Id="rId35" Type="http://schemas.openxmlformats.org/officeDocument/2006/relationships/hyperlink" Target="https://advance.lexis.com/api/document?collection=cases-ca&amp;id=urn:contentItem:5F81-VJX1-JKPJ-G1TM-00000-00&amp;context=" TargetMode="External" /><Relationship Id="rId350" Type="http://schemas.openxmlformats.org/officeDocument/2006/relationships/hyperlink" Target="https://advance.lexis.com/api/document?collection=cases-ca&amp;id=urn:contentItem:5F8P-SCB1-JSC5-M4KB-00000-00&amp;context=" TargetMode="External" /><Relationship Id="rId351" Type="http://schemas.openxmlformats.org/officeDocument/2006/relationships/hyperlink" Target="https://advance.lexis.com/api/document?collection=cases-ca&amp;id=urn:contentItem:5F8P-SC71-JJ1H-X4X6-00000-00&amp;context=" TargetMode="External" /><Relationship Id="rId352" Type="http://schemas.openxmlformats.org/officeDocument/2006/relationships/hyperlink" Target="https://advance.lexis.com/api/document?collection=cases-ca&amp;id=urn:contentItem:5F8P-SCJ1-JJYN-B23F-00000-00&amp;context=" TargetMode="External" /><Relationship Id="rId353" Type="http://schemas.openxmlformats.org/officeDocument/2006/relationships/hyperlink" Target="https://advance.lexis.com/api/document?collection=cases-ca&amp;id=urn:contentItem:5F7T-S6X1-F06F-22SW-00000-00&amp;context=" TargetMode="External" /><Relationship Id="rId354" Type="http://schemas.openxmlformats.org/officeDocument/2006/relationships/hyperlink" Target="https://advance.lexis.com/api/document?collection=cases-ca&amp;id=urn:contentItem:5F7T-S6X1-FBN1-216P-00000-00&amp;context=" TargetMode="External" /><Relationship Id="rId355" Type="http://schemas.openxmlformats.org/officeDocument/2006/relationships/hyperlink" Target="https://advance.lexis.com/api/document?collection=cases-ca&amp;id=urn:contentItem:5F8P-SC71-FFTT-X12X-00000-00&amp;context=" TargetMode="External" /><Relationship Id="rId356" Type="http://schemas.openxmlformats.org/officeDocument/2006/relationships/hyperlink" Target="https://advance.lexis.com/api/document?collection=cases-ca&amp;id=urn:contentItem:5F7T-S751-JGHR-M1R2-00000-00&amp;context=" TargetMode="External" /><Relationship Id="rId357" Type="http://schemas.openxmlformats.org/officeDocument/2006/relationships/hyperlink" Target="https://advance.lexis.com/api/document?collection=cases-ca&amp;id=urn:contentItem:5F7T-S751-F361-M123-00000-00&amp;context=" TargetMode="External" /><Relationship Id="rId358" Type="http://schemas.openxmlformats.org/officeDocument/2006/relationships/hyperlink" Target="https://advance.lexis.com/api/document?collection=cases-ca&amp;id=urn:contentItem:5F7T-S711-F4GK-M29Y-00000-00&amp;context=" TargetMode="External" /><Relationship Id="rId359" Type="http://schemas.openxmlformats.org/officeDocument/2006/relationships/hyperlink" Target="https://advance.lexis.com/api/document?collection=cases-ca&amp;id=urn:contentItem:5F7T-S6Y1-DY33-B084-00000-00&amp;context=" TargetMode="External" /><Relationship Id="rId36" Type="http://schemas.openxmlformats.org/officeDocument/2006/relationships/hyperlink" Target="https://advance.lexis.com/api/document?collection=cases-ca&amp;id=urn:contentItem:5F8T-N3V1-FC1F-M41J-00000-00&amp;context=" TargetMode="External" /><Relationship Id="rId360" Type="http://schemas.openxmlformats.org/officeDocument/2006/relationships/hyperlink" Target="https://advance.lexis.com/api/document?collection=cases-ca&amp;id=urn:contentItem:5F8P-T8T1-JT99-23R9-00000-00&amp;context=" TargetMode="External" /><Relationship Id="rId361" Type="http://schemas.openxmlformats.org/officeDocument/2006/relationships/header" Target="header43.xml" /><Relationship Id="rId362" Type="http://schemas.openxmlformats.org/officeDocument/2006/relationships/header" Target="header44.xml" /><Relationship Id="rId363" Type="http://schemas.openxmlformats.org/officeDocument/2006/relationships/footer" Target="footer43.xml" /><Relationship Id="rId364" Type="http://schemas.openxmlformats.org/officeDocument/2006/relationships/footer" Target="footer44.xml" /><Relationship Id="rId365" Type="http://schemas.openxmlformats.org/officeDocument/2006/relationships/header" Target="header45.xml" /><Relationship Id="rId366" Type="http://schemas.openxmlformats.org/officeDocument/2006/relationships/footer" Target="footer45.xml" /><Relationship Id="rId367" Type="http://schemas.openxmlformats.org/officeDocument/2006/relationships/hyperlink" Target="https://advance.lexis.com/api/document?collection=cases-ca&amp;id=urn:contentItem:5F7T-S7M1-DYMS-61YF-00000-00&amp;context=" TargetMode="External" /><Relationship Id="rId368" Type="http://schemas.openxmlformats.org/officeDocument/2006/relationships/hyperlink" Target="https://advance.lexis.com/api/document?collection=legislation-ca&amp;id=urn:contentItem:5J77-2RG1-FBV7-B44F-00000-00&amp;context=" TargetMode="External" /><Relationship Id="rId369" Type="http://schemas.openxmlformats.org/officeDocument/2006/relationships/hyperlink" Target="https://advance.lexis.com/api/document?collection=cases-ca&amp;id=urn:contentItem:5F7T-S7K1-DY33-B1DW-00000-00&amp;context=" TargetMode="External" /><Relationship Id="rId37" Type="http://schemas.openxmlformats.org/officeDocument/2006/relationships/hyperlink" Target="https://advance.lexis.com/api/document?collection=cases-ca&amp;id=urn:contentItem:5F7T-S7K1-JKHB-62R4-00000-00&amp;context=" TargetMode="External" /><Relationship Id="rId370" Type="http://schemas.openxmlformats.org/officeDocument/2006/relationships/hyperlink" Target="https://advance.lexis.com/api/document?collection=cases-ca&amp;id=urn:contentItem:5F7T-S7K1-F528-G2N1-00000-00&amp;context=" TargetMode="External" /><Relationship Id="rId371" Type="http://schemas.openxmlformats.org/officeDocument/2006/relationships/hyperlink" Target="https://advance.lexis.com/api/document?collection=cases-ca&amp;id=urn:contentItem:5F7T-S7J1-JYYX-62CX-00000-00&amp;context=" TargetMode="External" /><Relationship Id="rId372" Type="http://schemas.openxmlformats.org/officeDocument/2006/relationships/hyperlink" Target="https://advance.lexis.com/api/document?collection=cases-ca&amp;id=urn:contentItem:5F7T-S7M1-JJK6-S1W7-00000-00&amp;context=" TargetMode="External" /><Relationship Id="rId373" Type="http://schemas.openxmlformats.org/officeDocument/2006/relationships/hyperlink" Target="https://advance.lexis.com/api/document?collection=cases-ca&amp;id=urn:contentItem:5F7T-S7H1-F016-S3X0-00000-00&amp;context=" TargetMode="External" /><Relationship Id="rId374" Type="http://schemas.openxmlformats.org/officeDocument/2006/relationships/hyperlink" Target="https://advance.lexis.com/api/document?collection=cases-ca&amp;id=urn:contentItem:5F8T-N3V1-JTGH-B1BH-00000-00&amp;context=" TargetMode="External" /><Relationship Id="rId375" Type="http://schemas.openxmlformats.org/officeDocument/2006/relationships/hyperlink" Target="https://advance.lexis.com/api/document?collection=cases-ca&amp;id=urn:contentItem:5F7T-S7D1-JN6B-S188-00000-00&amp;context=" TargetMode="External" /><Relationship Id="rId376" Type="http://schemas.openxmlformats.org/officeDocument/2006/relationships/hyperlink" Target="https://advance.lexis.com/api/document?collection=cases-ca&amp;id=urn:contentItem:5F7T-S7K1-JX3N-B2X6-00000-00&amp;context=" TargetMode="External" /><Relationship Id="rId377" Type="http://schemas.openxmlformats.org/officeDocument/2006/relationships/hyperlink" Target="https://advance.lexis.com/api/document?collection=cases-ca&amp;id=urn:contentItem:5F7T-S7K1-F528-G35J-00000-00&amp;context=" TargetMode="External" /><Relationship Id="rId378" Type="http://schemas.openxmlformats.org/officeDocument/2006/relationships/hyperlink" Target="https://advance.lexis.com/api/document?collection=cases-ca&amp;id=urn:contentItem:5F7T-S7K1-JX3N-B2R5-00000-00&amp;context=" TargetMode="External" /><Relationship Id="rId379" Type="http://schemas.openxmlformats.org/officeDocument/2006/relationships/hyperlink" Target="https://advance.lexis.com/api/document?collection=cases-ca&amp;id=urn:contentItem:5F8T-N3V1-JF75-M3SR-00000-00&amp;context=" TargetMode="External" /><Relationship Id="rId38" Type="http://schemas.openxmlformats.org/officeDocument/2006/relationships/hyperlink" Target="https://advance.lexis.com/api/document?collection=cases-ca&amp;id=urn:contentItem:5F8P-SF51-JK4W-M4CS-00000-00&amp;context=" TargetMode="External" /><Relationship Id="rId380" Type="http://schemas.openxmlformats.org/officeDocument/2006/relationships/hyperlink" Target="https://advance.lexis.com/api/document?collection=cases-ca&amp;id=urn:contentItem:5F7T-S7J1-JNS1-M26K-00000-00&amp;context=" TargetMode="External" /><Relationship Id="rId381" Type="http://schemas.openxmlformats.org/officeDocument/2006/relationships/hyperlink" Target="https://advance.lexis.com/api/document?collection=cases-ca&amp;id=urn:contentItem:5F7T-S7D1-JG02-S2NR-00000-00&amp;context=" TargetMode="External" /><Relationship Id="rId382" Type="http://schemas.openxmlformats.org/officeDocument/2006/relationships/hyperlink" Target="https://advance.lexis.com/api/document?collection=cases-ca&amp;id=urn:contentItem:5F7T-S7G1-JNY7-X3VT-00000-00&amp;context=" TargetMode="External" /><Relationship Id="rId383" Type="http://schemas.openxmlformats.org/officeDocument/2006/relationships/hyperlink" Target="https://advance.lexis.com/api/document?collection=cases-ca&amp;id=urn:contentItem:5F7T-S761-FGJR-22NV-00000-00&amp;context=" TargetMode="External" /><Relationship Id="rId384" Type="http://schemas.openxmlformats.org/officeDocument/2006/relationships/hyperlink" Target="https://advance.lexis.com/api/document?collection=cases-ca&amp;id=urn:contentItem:5F8T-N3V1-FC1F-M442-00000-00&amp;context=" TargetMode="External" /><Relationship Id="rId385" Type="http://schemas.openxmlformats.org/officeDocument/2006/relationships/header" Target="header46.xml" /><Relationship Id="rId386" Type="http://schemas.openxmlformats.org/officeDocument/2006/relationships/header" Target="header47.xml" /><Relationship Id="rId387" Type="http://schemas.openxmlformats.org/officeDocument/2006/relationships/footer" Target="footer46.xml" /><Relationship Id="rId388" Type="http://schemas.openxmlformats.org/officeDocument/2006/relationships/footer" Target="footer47.xml" /><Relationship Id="rId389" Type="http://schemas.openxmlformats.org/officeDocument/2006/relationships/header" Target="header48.xml" /><Relationship Id="rId39" Type="http://schemas.openxmlformats.org/officeDocument/2006/relationships/hyperlink" Target="https://advance.lexis.com/api/document?collection=cases-ca&amp;id=urn:contentItem:5F7T-S7J1-DXWW-24P3-00000-00&amp;context=" TargetMode="External" /><Relationship Id="rId390" Type="http://schemas.openxmlformats.org/officeDocument/2006/relationships/footer" Target="footer48.xml" /><Relationship Id="rId391" Type="http://schemas.openxmlformats.org/officeDocument/2006/relationships/hyperlink" Target="https://advance.lexis.com/api/document?collection=cases-ca&amp;id=urn:contentItem:5F7T-S771-JW5H-X258-00000-00&amp;context=" TargetMode="External" /><Relationship Id="rId392" Type="http://schemas.openxmlformats.org/officeDocument/2006/relationships/hyperlink" Target="https://advance.lexis.com/api/document?collection=legislation-ca&amp;id=urn:contentItem:5F41-1FJ1-JKPJ-G0P7-00000-00&amp;context=" TargetMode="External" /><Relationship Id="rId393" Type="http://schemas.openxmlformats.org/officeDocument/2006/relationships/header" Target="header49.xml" /><Relationship Id="rId394" Type="http://schemas.openxmlformats.org/officeDocument/2006/relationships/header" Target="header50.xml" /><Relationship Id="rId395" Type="http://schemas.openxmlformats.org/officeDocument/2006/relationships/footer" Target="footer49.xml" /><Relationship Id="rId396" Type="http://schemas.openxmlformats.org/officeDocument/2006/relationships/footer" Target="footer50.xml" /><Relationship Id="rId397" Type="http://schemas.openxmlformats.org/officeDocument/2006/relationships/header" Target="header51.xml" /><Relationship Id="rId398" Type="http://schemas.openxmlformats.org/officeDocument/2006/relationships/footer" Target="footer51.xml" /><Relationship Id="rId399" Type="http://schemas.openxmlformats.org/officeDocument/2006/relationships/hyperlink" Target="https://advance.lexis.com/api/document?collection=cases-ca&amp;id=urn:contentItem:5J4V-Y9D1-DXPM-S4MX-00000-00&amp;context=" TargetMode="External" /><Relationship Id="rId4" Type="http://schemas.openxmlformats.org/officeDocument/2006/relationships/header" Target="header1.xml" /><Relationship Id="rId40" Type="http://schemas.openxmlformats.org/officeDocument/2006/relationships/hyperlink" Target="https://advance.lexis.com/api/document?collection=cases-ca&amp;id=urn:contentItem:5F8T-N3V1-JTGH-B1C7-00000-00&amp;context=" TargetMode="External" /><Relationship Id="rId400" Type="http://schemas.openxmlformats.org/officeDocument/2006/relationships/hyperlink" Target="https://advance.lexis.com/api/document?collection=cases-ca&amp;id=urn:contentItem:5H4P-HBF1-JJYN-B284-00000-00&amp;context=" TargetMode="External" /><Relationship Id="rId401" Type="http://schemas.openxmlformats.org/officeDocument/2006/relationships/hyperlink" Target="https://advance.lexis.com/api/document?collection=cases-ca&amp;id=urn:contentItem:5F7T-S7G1-F5KY-B1DJ-00000-00&amp;context=" TargetMode="External" /><Relationship Id="rId402" Type="http://schemas.openxmlformats.org/officeDocument/2006/relationships/hyperlink" Target="https://advance.lexis.com/api/document?collection=cases-ca&amp;id=urn:contentItem:5F7T-S6X1-FJDY-X10J-00000-00&amp;context=" TargetMode="External" /><Relationship Id="rId403" Type="http://schemas.openxmlformats.org/officeDocument/2006/relationships/hyperlink" Target="https://advance.lexis.com/api/document?collection=cases-ca&amp;id=urn:contentItem:5F7T-S7P1-JSJC-X1J5-00000-00&amp;context=" TargetMode="External" /><Relationship Id="rId404" Type="http://schemas.openxmlformats.org/officeDocument/2006/relationships/hyperlink" Target="https://advance.lexis.com/api/document?collection=cases-ca&amp;id=urn:contentItem:5F7T-S7N1-JW09-M104-00000-00&amp;context=" TargetMode="External" /><Relationship Id="rId405" Type="http://schemas.openxmlformats.org/officeDocument/2006/relationships/hyperlink" Target="https://advance.lexis.com/api/document?collection=cases-ca&amp;id=urn:contentItem:5F7T-S7M1-F4W2-62JF-00000-00&amp;context=" TargetMode="External" /><Relationship Id="rId406" Type="http://schemas.openxmlformats.org/officeDocument/2006/relationships/hyperlink" Target="https://advance.lexis.com/api/document?collection=cases-ca&amp;id=urn:contentItem:5F7T-S7C1-FGRY-B08X-00000-00&amp;context=" TargetMode="External" /><Relationship Id="rId407" Type="http://schemas.openxmlformats.org/officeDocument/2006/relationships/hyperlink" Target="https://advance.lexis.com/api/document?collection=cases-ca&amp;id=urn:contentItem:5F7T-S7D1-FCSB-S2T9-00000-00&amp;context=" TargetMode="External" /><Relationship Id="rId408" Type="http://schemas.openxmlformats.org/officeDocument/2006/relationships/hyperlink" Target="https://advance.lexis.com/api/document?collection=cases-ca&amp;id=urn:contentItem:5F7T-S751-JG02-S25H-00000-00&amp;context=" TargetMode="External" /><Relationship Id="rId409" Type="http://schemas.openxmlformats.org/officeDocument/2006/relationships/hyperlink" Target="https://advance.lexis.com/api/document?collection=cases-ca&amp;id=urn:contentItem:5F7T-S7M1-JCRC-B1H1-00000-00&amp;context=" TargetMode="External" /><Relationship Id="rId41" Type="http://schemas.openxmlformats.org/officeDocument/2006/relationships/hyperlink" Target="https://advance.lexis.com/api/document?collection=cases-ca&amp;id=urn:contentItem:5F8T-N3S1-JT99-24KB-00000-00&amp;context=" TargetMode="External" /><Relationship Id="rId410" Type="http://schemas.openxmlformats.org/officeDocument/2006/relationships/hyperlink" Target="https://advance.lexis.com/api/document?collection=cases-ca&amp;id=urn:contentItem:5GCC-XVC1-F900-G4PN-00000-00&amp;context=" TargetMode="External" /><Relationship Id="rId411" Type="http://schemas.openxmlformats.org/officeDocument/2006/relationships/header" Target="header52.xml" /><Relationship Id="rId412" Type="http://schemas.openxmlformats.org/officeDocument/2006/relationships/header" Target="header53.xml" /><Relationship Id="rId413" Type="http://schemas.openxmlformats.org/officeDocument/2006/relationships/footer" Target="footer52.xml" /><Relationship Id="rId414" Type="http://schemas.openxmlformats.org/officeDocument/2006/relationships/footer" Target="footer53.xml" /><Relationship Id="rId415" Type="http://schemas.openxmlformats.org/officeDocument/2006/relationships/header" Target="header54.xml" /><Relationship Id="rId416" Type="http://schemas.openxmlformats.org/officeDocument/2006/relationships/footer" Target="footer54.xml" /><Relationship Id="rId417" Type="http://schemas.openxmlformats.org/officeDocument/2006/relationships/hyperlink" Target="https://advance.lexis.com/api/document?collection=cases-ca&amp;id=urn:contentItem:5F7T-S7F1-JK4W-M1XN-00000-00&amp;context=" TargetMode="External" /><Relationship Id="rId418" Type="http://schemas.openxmlformats.org/officeDocument/2006/relationships/hyperlink" Target="https://advance.lexis.com/api/document?collection=cases-ca&amp;id=urn:contentItem:5F7T-S751-JP4G-61F0-00000-00&amp;context=" TargetMode="External" /><Relationship Id="rId419" Type="http://schemas.openxmlformats.org/officeDocument/2006/relationships/header" Target="header55.xml" /><Relationship Id="rId42" Type="http://schemas.openxmlformats.org/officeDocument/2006/relationships/hyperlink" Target="https://advance.lexis.com/api/document?collection=cases-ca&amp;id=urn:contentItem:5F8T-N3V1-JFKM-6070-00000-00&amp;context=" TargetMode="External" /><Relationship Id="rId420" Type="http://schemas.openxmlformats.org/officeDocument/2006/relationships/header" Target="header56.xml" /><Relationship Id="rId421" Type="http://schemas.openxmlformats.org/officeDocument/2006/relationships/footer" Target="footer55.xml" /><Relationship Id="rId422" Type="http://schemas.openxmlformats.org/officeDocument/2006/relationships/footer" Target="footer56.xml" /><Relationship Id="rId423" Type="http://schemas.openxmlformats.org/officeDocument/2006/relationships/header" Target="header57.xml" /><Relationship Id="rId424" Type="http://schemas.openxmlformats.org/officeDocument/2006/relationships/footer" Target="footer57.xml" /><Relationship Id="rId425" Type="http://schemas.openxmlformats.org/officeDocument/2006/relationships/hyperlink" Target="https://advance.lexis.com/api/document?collection=cases-ca&amp;id=urn:contentItem:5F7T-S7D1-FCSB-S2MD-00000-00&amp;context=" TargetMode="External" /><Relationship Id="rId426" Type="http://schemas.openxmlformats.org/officeDocument/2006/relationships/hyperlink" Target="https://advance.lexis.com/api/document?collection=cases-ca&amp;id=urn:contentItem:5F7T-S7D1-DY89-M42M-00000-00&amp;context=" TargetMode="External" /><Relationship Id="rId427" Type="http://schemas.openxmlformats.org/officeDocument/2006/relationships/hyperlink" Target="https://advance.lexis.com/api/document?collection=cases-ca&amp;id=urn:contentItem:5F7T-S7C1-JS0R-2277-00000-00&amp;context=" TargetMode="External" /><Relationship Id="rId428" Type="http://schemas.openxmlformats.org/officeDocument/2006/relationships/hyperlink" Target="https://advance.lexis.com/api/document?collection=cases-ca&amp;id=urn:contentItem:5F8T-N3V1-JTGH-B0Y8-00000-00&amp;context=" TargetMode="External" /><Relationship Id="rId429" Type="http://schemas.openxmlformats.org/officeDocument/2006/relationships/hyperlink" Target="https://advance.lexis.com/api/document?collection=cases-ca&amp;id=urn:contentItem:5F8T-N3V1-JTGH-B0YB-00000-00&amp;context=" TargetMode="External" /><Relationship Id="rId43" Type="http://schemas.openxmlformats.org/officeDocument/2006/relationships/hyperlink" Target="https://advance.lexis.com/api/document?collection=cases-ca&amp;id=urn:contentItem:5F8T-N3V1-FH4C-X1WY-00000-00&amp;context=" TargetMode="External" /><Relationship Id="rId430" Type="http://schemas.openxmlformats.org/officeDocument/2006/relationships/hyperlink" Target="https://advance.lexis.com/api/document?collection=cases-ca&amp;id=urn:contentItem:5F8T-N3V1-JTGH-B0Y9-00000-00&amp;context=" TargetMode="External" /><Relationship Id="rId431" Type="http://schemas.openxmlformats.org/officeDocument/2006/relationships/hyperlink" Target="https://advance.lexis.com/api/document?collection=cases-ca&amp;id=urn:contentItem:5F7T-S721-FG12-620R-00000-00&amp;context=" TargetMode="External" /><Relationship Id="rId432" Type="http://schemas.openxmlformats.org/officeDocument/2006/relationships/hyperlink" Target="https://advance.lexis.com/api/document?collection=cases-ca&amp;id=urn:contentItem:5F7T-S751-FJDY-X3P6-00000-00&amp;context=" TargetMode="External" /><Relationship Id="rId433" Type="http://schemas.openxmlformats.org/officeDocument/2006/relationships/header" Target="header58.xml" /><Relationship Id="rId434" Type="http://schemas.openxmlformats.org/officeDocument/2006/relationships/header" Target="header59.xml" /><Relationship Id="rId435" Type="http://schemas.openxmlformats.org/officeDocument/2006/relationships/footer" Target="footer58.xml" /><Relationship Id="rId436" Type="http://schemas.openxmlformats.org/officeDocument/2006/relationships/footer" Target="footer59.xml" /><Relationship Id="rId437" Type="http://schemas.openxmlformats.org/officeDocument/2006/relationships/header" Target="header60.xml" /><Relationship Id="rId438" Type="http://schemas.openxmlformats.org/officeDocument/2006/relationships/footer" Target="footer60.xml" /><Relationship Id="rId439" Type="http://schemas.openxmlformats.org/officeDocument/2006/relationships/hyperlink" Target="https://advance.lexis.com/api/document?collection=cases-ca&amp;id=urn:contentItem:5F7T-S7M1-JNCK-22HP-00000-00&amp;context=" TargetMode="External" /><Relationship Id="rId44" Type="http://schemas.openxmlformats.org/officeDocument/2006/relationships/hyperlink" Target="https://advance.lexis.com/api/document?collection=cases-ca&amp;id=urn:contentItem:5F8T-N3V1-JTGH-B19J-00000-00&amp;context=" TargetMode="External" /><Relationship Id="rId440" Type="http://schemas.openxmlformats.org/officeDocument/2006/relationships/hyperlink" Target="https://advance.lexis.com/api/document?collection=legislation-ca&amp;id=urn:contentItem:5F41-1FJ1-JBDT-B069-00000-00&amp;context=" TargetMode="External" /><Relationship Id="rId441" Type="http://schemas.openxmlformats.org/officeDocument/2006/relationships/hyperlink" Target="https://advance.lexis.com/api/document?collection=cases-ca&amp;id=urn:contentItem:5F7T-S6T1-F2F4-G1J5-00000-00&amp;context=" TargetMode="External" /><Relationship Id="rId442" Type="http://schemas.openxmlformats.org/officeDocument/2006/relationships/hyperlink" Target="https://advance.lexis.com/api/document?collection=cases-ca&amp;id=urn:contentItem:5F7T-S7K1-F528-G2VT-00000-00&amp;context=" TargetMode="External" /><Relationship Id="rId443" Type="http://schemas.openxmlformats.org/officeDocument/2006/relationships/header" Target="header61.xml" /><Relationship Id="rId444" Type="http://schemas.openxmlformats.org/officeDocument/2006/relationships/header" Target="header62.xml" /><Relationship Id="rId445" Type="http://schemas.openxmlformats.org/officeDocument/2006/relationships/footer" Target="footer61.xml" /><Relationship Id="rId446" Type="http://schemas.openxmlformats.org/officeDocument/2006/relationships/footer" Target="footer62.xml" /><Relationship Id="rId447" Type="http://schemas.openxmlformats.org/officeDocument/2006/relationships/header" Target="header63.xml" /><Relationship Id="rId448" Type="http://schemas.openxmlformats.org/officeDocument/2006/relationships/footer" Target="footer63.xml" /><Relationship Id="rId449" Type="http://schemas.openxmlformats.org/officeDocument/2006/relationships/hyperlink" Target="https://advance.lexis.com/api/document?collection=cases-ca&amp;id=urn:contentItem:5F7T-S7D1-FC6N-X0KV-00000-00&amp;context=" TargetMode="External" /><Relationship Id="rId45" Type="http://schemas.openxmlformats.org/officeDocument/2006/relationships/hyperlink" Target="https://advance.lexis.com/api/document?collection=cases-ca&amp;id=urn:contentItem:5F81-VJX1-FCK4-G1NM-00000-00&amp;context=" TargetMode="External" /><Relationship Id="rId450" Type="http://schemas.openxmlformats.org/officeDocument/2006/relationships/hyperlink" Target="https://advance.lexis.com/api/document?collection=cases-ca&amp;id=urn:contentItem:5F7T-S731-F60C-X122-00000-00&amp;context=" TargetMode="External" /><Relationship Id="rId451" Type="http://schemas.openxmlformats.org/officeDocument/2006/relationships/hyperlink" Target="https://advance.lexis.com/api/document?collection=cases-ca&amp;id=urn:contentItem:5F7T-S751-JG02-S29T-00000-00&amp;context=" TargetMode="External" /><Relationship Id="rId452" Type="http://schemas.openxmlformats.org/officeDocument/2006/relationships/hyperlink" Target="https://advance.lexis.com/api/document?collection=cases-ca&amp;id=urn:contentItem:5F7T-S781-F06F-23X6-00000-00&amp;context=" TargetMode="External" /><Relationship Id="rId453" Type="http://schemas.openxmlformats.org/officeDocument/2006/relationships/header" Target="header64.xml" /><Relationship Id="rId454" Type="http://schemas.openxmlformats.org/officeDocument/2006/relationships/header" Target="header65.xml" /><Relationship Id="rId455" Type="http://schemas.openxmlformats.org/officeDocument/2006/relationships/footer" Target="footer64.xml" /><Relationship Id="rId456" Type="http://schemas.openxmlformats.org/officeDocument/2006/relationships/footer" Target="footer65.xml" /><Relationship Id="rId457" Type="http://schemas.openxmlformats.org/officeDocument/2006/relationships/header" Target="header66.xml" /><Relationship Id="rId458" Type="http://schemas.openxmlformats.org/officeDocument/2006/relationships/footer" Target="footer66.xml" /><Relationship Id="rId459" Type="http://schemas.openxmlformats.org/officeDocument/2006/relationships/hyperlink" Target="https://advance.lexis.com/api/document?collection=cases-ca&amp;id=urn:contentItem:5F7T-S7D1-FC6N-X0KF-00000-00&amp;context=" TargetMode="External" /><Relationship Id="rId46" Type="http://schemas.openxmlformats.org/officeDocument/2006/relationships/hyperlink" Target="https://advance.lexis.com/api/document?collection=cases-ca&amp;id=urn:contentItem:5F8T-N3V1-JTGH-B1H4-00000-00&amp;context=" TargetMode="External" /><Relationship Id="rId460" Type="http://schemas.openxmlformats.org/officeDocument/2006/relationships/hyperlink" Target="https://advance.lexis.com/api/document?collection=cases-ca&amp;id=urn:contentItem:5F7T-S7D1-FC6N-X109-00000-00&amp;context=" TargetMode="External" /><Relationship Id="rId461" Type="http://schemas.openxmlformats.org/officeDocument/2006/relationships/hyperlink" Target="https://advance.lexis.com/api/document?collection=cases-ca&amp;id=urn:contentItem:5F7T-S6Y1-F7G6-6367-00000-00&amp;context=" TargetMode="External" /><Relationship Id="rId462" Type="http://schemas.openxmlformats.org/officeDocument/2006/relationships/hyperlink" Target="https://advance.lexis.com/api/document?collection=cases-ca&amp;id=urn:contentItem:5F81-VJT1-FD4T-B27S-00000-00&amp;context=" TargetMode="External" /><Relationship Id="rId463" Type="http://schemas.openxmlformats.org/officeDocument/2006/relationships/hyperlink" Target="https://advance.lexis.com/api/document?collection=cases-ca&amp;id=urn:contentItem:5F7H-KW61-K054-G07T-00000-00&amp;context=" TargetMode="External" /><Relationship Id="rId464" Type="http://schemas.openxmlformats.org/officeDocument/2006/relationships/hyperlink" Target="https://advance.lexis.com/api/document?collection=cases-ca&amp;id=urn:contentItem:5F7T-S701-JK4W-M188-00000-00&amp;context=" TargetMode="External" /><Relationship Id="rId465" Type="http://schemas.openxmlformats.org/officeDocument/2006/relationships/hyperlink" Target="https://advance.lexis.com/api/document?collection=cases-ca&amp;id=urn:contentItem:5F7T-S7C1-F7ND-G03D-00000-00&amp;context=" TargetMode="External" /><Relationship Id="rId466" Type="http://schemas.openxmlformats.org/officeDocument/2006/relationships/header" Target="header67.xml" /><Relationship Id="rId467" Type="http://schemas.openxmlformats.org/officeDocument/2006/relationships/header" Target="header68.xml" /><Relationship Id="rId468" Type="http://schemas.openxmlformats.org/officeDocument/2006/relationships/footer" Target="footer67.xml" /><Relationship Id="rId469" Type="http://schemas.openxmlformats.org/officeDocument/2006/relationships/footer" Target="footer68.xml" /><Relationship Id="rId47" Type="http://schemas.openxmlformats.org/officeDocument/2006/relationships/hyperlink" Target="https://advance.lexis.com/api/document?collection=cases-ca&amp;id=urn:contentItem:5F81-VJY1-JWBS-64B9-00000-00&amp;context=" TargetMode="External" /><Relationship Id="rId470" Type="http://schemas.openxmlformats.org/officeDocument/2006/relationships/header" Target="header69.xml" /><Relationship Id="rId471" Type="http://schemas.openxmlformats.org/officeDocument/2006/relationships/footer" Target="footer69.xml" /><Relationship Id="rId472" Type="http://schemas.openxmlformats.org/officeDocument/2006/relationships/hyperlink" Target="https://advance.lexis.com/api/document?collection=cases-ca&amp;id=urn:contentItem:5F7T-S781-F06F-244Y-00000-00&amp;context=" TargetMode="External" /><Relationship Id="rId473" Type="http://schemas.openxmlformats.org/officeDocument/2006/relationships/hyperlink" Target="https://advance.lexis.com/api/document?collection=cases-ca&amp;id=urn:contentItem:5K6Y-81T1-F361-M3H5-00000-00&amp;context=" TargetMode="External" /><Relationship Id="rId474" Type="http://schemas.openxmlformats.org/officeDocument/2006/relationships/hyperlink" Target="https://advance.lexis.com/api/document?collection=legislation-ca&amp;id=urn:contentItem:5F41-1FM1-JG59-220C-00000-00&amp;context=" TargetMode="External" /><Relationship Id="rId475" Type="http://schemas.openxmlformats.org/officeDocument/2006/relationships/hyperlink" Target="https://advance.lexis.com/api/document?collection=legislation-ca&amp;id=urn:contentItem:5F41-1FH1-F361-M0DV-00000-00&amp;context=" TargetMode="External" /><Relationship Id="rId476" Type="http://schemas.openxmlformats.org/officeDocument/2006/relationships/hyperlink" Target="https://advance.lexis.com/api/document?collection=legislation-ca&amp;id=urn:contentItem:5F41-1FJ1-JPGX-S0RN-00000-00&amp;context=" TargetMode="External" /><Relationship Id="rId477" Type="http://schemas.openxmlformats.org/officeDocument/2006/relationships/hyperlink" Target="https://advance.lexis.com/api/document?collection=cases-ca&amp;id=urn:contentItem:5F7T-S741-DY89-M3BM-00000-00&amp;context=" TargetMode="External" /><Relationship Id="rId478" Type="http://schemas.openxmlformats.org/officeDocument/2006/relationships/hyperlink" Target="https://advance.lexis.com/api/document?collection=cases-ca&amp;id=urn:contentItem:5F7T-S771-F81W-2287-00000-00&amp;context=" TargetMode="External" /><Relationship Id="rId479" Type="http://schemas.openxmlformats.org/officeDocument/2006/relationships/header" Target="header70.xml" /><Relationship Id="rId48" Type="http://schemas.openxmlformats.org/officeDocument/2006/relationships/hyperlink" Target="https://advance.lexis.com/api/document?collection=cases-ca&amp;id=urn:contentItem:5F8T-N3V1-JTGH-B0YX-00000-00&amp;context=" TargetMode="External" /><Relationship Id="rId480" Type="http://schemas.openxmlformats.org/officeDocument/2006/relationships/header" Target="header71.xml" /><Relationship Id="rId481" Type="http://schemas.openxmlformats.org/officeDocument/2006/relationships/footer" Target="footer70.xml" /><Relationship Id="rId482" Type="http://schemas.openxmlformats.org/officeDocument/2006/relationships/footer" Target="footer71.xml" /><Relationship Id="rId483" Type="http://schemas.openxmlformats.org/officeDocument/2006/relationships/header" Target="header72.xml" /><Relationship Id="rId484" Type="http://schemas.openxmlformats.org/officeDocument/2006/relationships/footer" Target="footer72.xml" /><Relationship Id="rId485" Type="http://schemas.openxmlformats.org/officeDocument/2006/relationships/hyperlink" Target="https://advance.lexis.com/api/document?collection=cases-ca&amp;id=urn:contentItem:5F7T-S7F1-JFKM-622J-00000-00&amp;context=" TargetMode="External" /><Relationship Id="rId486" Type="http://schemas.openxmlformats.org/officeDocument/2006/relationships/hyperlink" Target="https://advance.lexis.com/api/document?collection=cases-ca&amp;id=urn:contentItem:5K6Y-81M1-JGPY-X213-00000-00&amp;context=" TargetMode="External" /><Relationship Id="rId487" Type="http://schemas.openxmlformats.org/officeDocument/2006/relationships/hyperlink" Target="https://advance.lexis.com/api/document?collection=legislation-ca&amp;id=urn:contentItem:5VYK-47Y1-F06F-21ND-00000-00&amp;context=" TargetMode="External" /><Relationship Id="rId488" Type="http://schemas.openxmlformats.org/officeDocument/2006/relationships/hyperlink" Target="https://advance.lexis.com/api/document?collection=legislation-ca&amp;id=urn:contentItem:5X76-XJ31-JJ1H-X142-00000-00&amp;context=" TargetMode="External" /><Relationship Id="rId489" Type="http://schemas.openxmlformats.org/officeDocument/2006/relationships/hyperlink" Target="https://advance.lexis.com/api/document?collection=cases-ca&amp;id=urn:contentItem:5F7T-S711-JC0G-62R6-00000-00&amp;context=" TargetMode="External" /><Relationship Id="rId49" Type="http://schemas.openxmlformats.org/officeDocument/2006/relationships/hyperlink" Target="https://advance.lexis.com/api/document?collection=cases-ca&amp;id=urn:contentItem:5F8P-SFR1-JBDT-B414-00000-00&amp;context=" TargetMode="External" /><Relationship Id="rId490" Type="http://schemas.openxmlformats.org/officeDocument/2006/relationships/hyperlink" Target="https://advance.lexis.com/api/document?collection=cases-ca&amp;id=urn:contentItem:5F7T-S721-F5T5-M2F4-00000-00&amp;context=" TargetMode="External" /><Relationship Id="rId491" Type="http://schemas.openxmlformats.org/officeDocument/2006/relationships/hyperlink" Target="https://advance.lexis.com/api/document?collection=cases-ca&amp;id=urn:contentItem:5F7T-S761-JS5Y-B1GP-00000-00&amp;context=" TargetMode="External" /><Relationship Id="rId492" Type="http://schemas.openxmlformats.org/officeDocument/2006/relationships/hyperlink" Target="https://advance.lexis.com/api/document?collection=cases-ca&amp;id=urn:contentItem:5F7T-S7C1-FGRY-B0JX-00000-00&amp;context=" TargetMode="External" /><Relationship Id="rId493" Type="http://schemas.openxmlformats.org/officeDocument/2006/relationships/hyperlink" Target="https://advance.lexis.com/api/document?collection=cases-ca&amp;id=urn:contentItem:5F7T-S7D1-DY89-M4C5-00000-00&amp;context=" TargetMode="External" /><Relationship Id="rId494" Type="http://schemas.openxmlformats.org/officeDocument/2006/relationships/hyperlink" Target="https://advance.lexis.com/api/document?collection=cases-ca&amp;id=urn:contentItem:5F7T-S7D1-FBFS-S1XD-00000-00&amp;context=" TargetMode="External" /><Relationship Id="rId495" Type="http://schemas.openxmlformats.org/officeDocument/2006/relationships/hyperlink" Target="https://advance.lexis.com/api/document?collection=cases-ca&amp;id=urn:contentItem:5F7T-S7F1-JK4W-M1BF-00000-00&amp;context=" TargetMode="External" /><Relationship Id="rId496" Type="http://schemas.openxmlformats.org/officeDocument/2006/relationships/hyperlink" Target="https://advance.lexis.com/api/document?collection=cases-ca&amp;id=urn:contentItem:5F7T-S6T1-JP9P-G17R-00000-00&amp;context=" TargetMode="External" /><Relationship Id="rId497" Type="http://schemas.openxmlformats.org/officeDocument/2006/relationships/hyperlink" Target="https://advance.lexis.com/api/document?collection=cases-ca&amp;id=urn:contentItem:5F7T-S751-JGHR-M20V-00000-00&amp;context=" TargetMode="External" /><Relationship Id="rId498" Type="http://schemas.openxmlformats.org/officeDocument/2006/relationships/hyperlink" Target="https://advance.lexis.com/api/document?collection=cases-ca&amp;id=urn:contentItem:5F7T-S7C1-JSRM-60VC-00000-00&amp;context=" TargetMode="External" /><Relationship Id="rId499" Type="http://schemas.openxmlformats.org/officeDocument/2006/relationships/hyperlink" Target="https://advance.lexis.com/api/document?collection=cases-ca&amp;id=urn:contentItem:5F7T-S721-FD4T-B114-00000-00&amp;context=" TargetMode="External" /><Relationship Id="rId5" Type="http://schemas.openxmlformats.org/officeDocument/2006/relationships/header" Target="header2.xml" /><Relationship Id="rId50" Type="http://schemas.openxmlformats.org/officeDocument/2006/relationships/hyperlink" Target="https://advance.lexis.com/api/document?collection=cases-ca&amp;id=urn:contentItem:5F82-1SJ1-JS0R-24TW-00000-00&amp;context=" TargetMode="External" /><Relationship Id="rId500" Type="http://schemas.openxmlformats.org/officeDocument/2006/relationships/hyperlink" Target="https://advance.lexis.com/api/document?collection=cases-ca&amp;id=urn:contentItem:5F7T-S731-F1WF-M21W-00000-00&amp;context=" TargetMode="External" /><Relationship Id="rId501" Type="http://schemas.openxmlformats.org/officeDocument/2006/relationships/header" Target="header73.xml" /><Relationship Id="rId502" Type="http://schemas.openxmlformats.org/officeDocument/2006/relationships/header" Target="header74.xml" /><Relationship Id="rId503" Type="http://schemas.openxmlformats.org/officeDocument/2006/relationships/footer" Target="footer73.xml" /><Relationship Id="rId504" Type="http://schemas.openxmlformats.org/officeDocument/2006/relationships/footer" Target="footer74.xml" /><Relationship Id="rId505" Type="http://schemas.openxmlformats.org/officeDocument/2006/relationships/header" Target="header75.xml" /><Relationship Id="rId506" Type="http://schemas.openxmlformats.org/officeDocument/2006/relationships/footer" Target="footer75.xml" /><Relationship Id="rId507" Type="http://schemas.openxmlformats.org/officeDocument/2006/relationships/hyperlink" Target="https://advance.lexis.com/api/document?collection=cases-ca&amp;id=urn:contentItem:5F7T-S771-JTGH-B1HD-00000-00&amp;context=" TargetMode="External" /><Relationship Id="rId508" Type="http://schemas.openxmlformats.org/officeDocument/2006/relationships/hyperlink" Target="https://advance.lexis.com/api/document?collection=legislation-ca&amp;id=urn:contentItem:5F3B-BB81-DYMS-61JH-00000-00&amp;context=" TargetMode="External" /><Relationship Id="rId509" Type="http://schemas.openxmlformats.org/officeDocument/2006/relationships/hyperlink" Target="https://advance.lexis.com/api/document?collection=legislation-ca&amp;id=urn:contentItem:5VYK-WB31-F27X-6419-00000-00&amp;context=" TargetMode="External" /><Relationship Id="rId51" Type="http://schemas.openxmlformats.org/officeDocument/2006/relationships/header" Target="header4.xml" /><Relationship Id="rId510" Type="http://schemas.openxmlformats.org/officeDocument/2006/relationships/hyperlink" Target="https://advance.lexis.com/api/document?collection=cases-ca&amp;id=urn:contentItem:5F8T-N3V1-JF75-M3SJ-00000-00&amp;context=" TargetMode="External" /><Relationship Id="rId511" Type="http://schemas.openxmlformats.org/officeDocument/2006/relationships/header" Target="header76.xml" /><Relationship Id="rId512" Type="http://schemas.openxmlformats.org/officeDocument/2006/relationships/header" Target="header77.xml" /><Relationship Id="rId513" Type="http://schemas.openxmlformats.org/officeDocument/2006/relationships/footer" Target="footer76.xml" /><Relationship Id="rId514" Type="http://schemas.openxmlformats.org/officeDocument/2006/relationships/footer" Target="footer77.xml" /><Relationship Id="rId515" Type="http://schemas.openxmlformats.org/officeDocument/2006/relationships/header" Target="header78.xml" /><Relationship Id="rId516" Type="http://schemas.openxmlformats.org/officeDocument/2006/relationships/footer" Target="footer78.xml" /><Relationship Id="rId517" Type="http://schemas.openxmlformats.org/officeDocument/2006/relationships/hyperlink" Target="https://advance.lexis.com/api/document?collection=cases-ca&amp;id=urn:contentItem:5F7T-S7D1-DY89-M3X2-00000-00&amp;context=" TargetMode="External" /><Relationship Id="rId518" Type="http://schemas.openxmlformats.org/officeDocument/2006/relationships/hyperlink" Target="https://advance.lexis.com/api/document?collection=legislation-ca&amp;id=urn:contentItem:5F41-1FJ1-JG59-21BX-00000-00&amp;context=" TargetMode="External" /><Relationship Id="rId519" Type="http://schemas.openxmlformats.org/officeDocument/2006/relationships/hyperlink" Target="https://advance.lexis.com/api/document?collection=legislation-ca&amp;id=urn:contentItem:5F41-1FM1-FJM6-61S5-00000-00&amp;context=" TargetMode="External" /><Relationship Id="rId52" Type="http://schemas.openxmlformats.org/officeDocument/2006/relationships/header" Target="header5.xml" /><Relationship Id="rId520" Type="http://schemas.openxmlformats.org/officeDocument/2006/relationships/hyperlink" Target="https://advance.lexis.com/api/document?collection=legislation-ca&amp;id=urn:contentItem:5F41-1FK1-DY33-B0JT-00000-00&amp;context=" TargetMode="External" /><Relationship Id="rId521" Type="http://schemas.openxmlformats.org/officeDocument/2006/relationships/hyperlink" Target="https://advance.lexis.com/api/document?collection=cases-ca&amp;id=urn:contentItem:5F7T-S741-F57G-S1NV-00000-00&amp;context=" TargetMode="External" /><Relationship Id="rId522" Type="http://schemas.openxmlformats.org/officeDocument/2006/relationships/hyperlink" Target="https://advance.lexis.com/api/document?collection=cases-ca&amp;id=urn:contentItem:5F7T-S7D1-JN6B-S159-00000-00&amp;context=" TargetMode="External" /><Relationship Id="rId523" Type="http://schemas.openxmlformats.org/officeDocument/2006/relationships/hyperlink" Target="https://advance.lexis.com/api/document?collection=cases-ca&amp;id=urn:contentItem:5F7F-5RH1-FJM6-609T-00000-00&amp;context=" TargetMode="External" /><Relationship Id="rId524" Type="http://schemas.openxmlformats.org/officeDocument/2006/relationships/header" Target="header79.xml" /><Relationship Id="rId525" Type="http://schemas.openxmlformats.org/officeDocument/2006/relationships/header" Target="header80.xml" /><Relationship Id="rId526" Type="http://schemas.openxmlformats.org/officeDocument/2006/relationships/footer" Target="footer79.xml" /><Relationship Id="rId527" Type="http://schemas.openxmlformats.org/officeDocument/2006/relationships/footer" Target="footer80.xml" /><Relationship Id="rId528" Type="http://schemas.openxmlformats.org/officeDocument/2006/relationships/header" Target="header81.xml" /><Relationship Id="rId529" Type="http://schemas.openxmlformats.org/officeDocument/2006/relationships/footer" Target="footer81.xml" /><Relationship Id="rId53" Type="http://schemas.openxmlformats.org/officeDocument/2006/relationships/footer" Target="footer4.xml" /><Relationship Id="rId530" Type="http://schemas.openxmlformats.org/officeDocument/2006/relationships/hyperlink" Target="https://advance.lexis.com/api/document?collection=cases-ca&amp;id=urn:contentItem:5F7T-S7J1-FGCG-S0GF-00000-00&amp;context=" TargetMode="External" /><Relationship Id="rId531" Type="http://schemas.openxmlformats.org/officeDocument/2006/relationships/hyperlink" Target="https://advance.lexis.com/api/document?collection=cases-ca&amp;id=urn:contentItem:5F7T-S721-F956-S1BW-00000-00&amp;context=" TargetMode="External" /><Relationship Id="rId532" Type="http://schemas.openxmlformats.org/officeDocument/2006/relationships/hyperlink" Target="https://advance.lexis.com/api/document?collection=cases-ca&amp;id=urn:contentItem:5F7T-S721-FG12-6228-00000-00&amp;context=" TargetMode="External" /><Relationship Id="rId533" Type="http://schemas.openxmlformats.org/officeDocument/2006/relationships/hyperlink" Target="https://advance.lexis.com/api/document?collection=cases-ca&amp;id=urn:contentItem:5F7T-S6T1-FJTD-G1S3-00000-00&amp;context=" TargetMode="External" /><Relationship Id="rId534" Type="http://schemas.openxmlformats.org/officeDocument/2006/relationships/hyperlink" Target="https://advance.lexis.com/api/document?collection=cases-ca&amp;id=urn:contentItem:5F7T-S6S1-FFTT-X0FW-00000-00&amp;context=" TargetMode="External" /><Relationship Id="rId535" Type="http://schemas.openxmlformats.org/officeDocument/2006/relationships/hyperlink" Target="https://advance.lexis.com/api/document?collection=cases-ca&amp;id=urn:contentItem:5F7T-S771-JWBS-61GN-00000-00&amp;context=" TargetMode="External" /><Relationship Id="rId536" Type="http://schemas.openxmlformats.org/officeDocument/2006/relationships/hyperlink" Target="https://advance.lexis.com/api/document?collection=cases-ca&amp;id=urn:contentItem:5F7T-S781-FH4C-X2KN-00000-00&amp;context=" TargetMode="External" /><Relationship Id="rId537" Type="http://schemas.openxmlformats.org/officeDocument/2006/relationships/hyperlink" Target="https://advance.lexis.com/api/document?collection=cases-ca&amp;id=urn:contentItem:5F7T-S731-JNJT-B284-00000-00&amp;context=" TargetMode="External" /><Relationship Id="rId538" Type="http://schemas.openxmlformats.org/officeDocument/2006/relationships/hyperlink" Target="https://advance.lexis.com/api/document?collection=cases-ca&amp;id=urn:contentItem:5F7T-S741-DXPM-S10V-00000-00&amp;context=" TargetMode="External" /><Relationship Id="rId539" Type="http://schemas.openxmlformats.org/officeDocument/2006/relationships/header" Target="header82.xml" /><Relationship Id="rId54" Type="http://schemas.openxmlformats.org/officeDocument/2006/relationships/footer" Target="footer5.xml" /><Relationship Id="rId540" Type="http://schemas.openxmlformats.org/officeDocument/2006/relationships/header" Target="header83.xml" /><Relationship Id="rId541" Type="http://schemas.openxmlformats.org/officeDocument/2006/relationships/footer" Target="footer82.xml" /><Relationship Id="rId542" Type="http://schemas.openxmlformats.org/officeDocument/2006/relationships/footer" Target="footer83.xml" /><Relationship Id="rId543" Type="http://schemas.openxmlformats.org/officeDocument/2006/relationships/header" Target="header84.xml" /><Relationship Id="rId544" Type="http://schemas.openxmlformats.org/officeDocument/2006/relationships/footer" Target="footer84.xml" /><Relationship Id="rId545" Type="http://schemas.openxmlformats.org/officeDocument/2006/relationships/hyperlink" Target="https://advance.lexis.com/api/document?collection=cases-ca&amp;id=urn:contentItem:5F7T-S7G1-FBFS-S2KH-00000-00&amp;context=" TargetMode="External" /><Relationship Id="rId546" Type="http://schemas.openxmlformats.org/officeDocument/2006/relationships/hyperlink" Target="https://advance.lexis.com/api/document?collection=cases-ca&amp;id=urn:contentItem:5K6Y-81M1-DXHD-G2FJ-00000-00&amp;context=" TargetMode="External" /><Relationship Id="rId547" Type="http://schemas.openxmlformats.org/officeDocument/2006/relationships/hyperlink" Target="https://advance.lexis.com/api/document?collection=legislation-ca&amp;id=urn:contentItem:5F41-1FG1-JJYN-B032-00000-00&amp;context=" TargetMode="External" /><Relationship Id="rId548" Type="http://schemas.openxmlformats.org/officeDocument/2006/relationships/hyperlink" Target="https://advance.lexis.com/api/document?collection=legislation-ca&amp;id=urn:contentItem:5X76-XJ31-JKB3-X2FB-00000-00&amp;context=" TargetMode="External" /><Relationship Id="rId549" Type="http://schemas.openxmlformats.org/officeDocument/2006/relationships/hyperlink" Target="https://advance.lexis.com/api/document?collection=cases-ca&amp;id=urn:contentItem:5F7T-S7F1-F7VM-S4BV-00000-00&amp;context=" TargetMode="External" /><Relationship Id="rId55" Type="http://schemas.openxmlformats.org/officeDocument/2006/relationships/header" Target="header6.xml" /><Relationship Id="rId550" Type="http://schemas.openxmlformats.org/officeDocument/2006/relationships/hyperlink" Target="https://advance.lexis.com/api/document?collection=cases-ca&amp;id=urn:contentItem:5F7T-S7F1-FJTD-G3GJ-00000-00&amp;context=" TargetMode="External" /><Relationship Id="rId551" Type="http://schemas.openxmlformats.org/officeDocument/2006/relationships/hyperlink" Target="https://advance.lexis.com/api/document?collection=cases-ca&amp;id=urn:contentItem:5F7T-S741-F7VM-S34P-00000-00&amp;context=" TargetMode="External" /><Relationship Id="rId552" Type="http://schemas.openxmlformats.org/officeDocument/2006/relationships/hyperlink" Target="https://advance.lexis.com/api/document?collection=cases-ca&amp;id=urn:contentItem:5F7T-S761-JX8W-M2VH-00000-00&amp;context=" TargetMode="External" /><Relationship Id="rId553" Type="http://schemas.openxmlformats.org/officeDocument/2006/relationships/hyperlink" Target="https://advance.lexis.com/api/document?collection=cases-ca&amp;id=urn:contentItem:5F7T-S7F1-FFFC-B22N-00000-00&amp;context=" TargetMode="External" /><Relationship Id="rId554" Type="http://schemas.openxmlformats.org/officeDocument/2006/relationships/hyperlink" Target="https://advance.lexis.com/api/document?collection=cases-ca&amp;id=urn:contentItem:5F8T-N3V1-JTGH-B19T-00000-00&amp;context=" TargetMode="External" /><Relationship Id="rId555" Type="http://schemas.openxmlformats.org/officeDocument/2006/relationships/header" Target="header85.xml" /><Relationship Id="rId556" Type="http://schemas.openxmlformats.org/officeDocument/2006/relationships/header" Target="header86.xml" /><Relationship Id="rId557" Type="http://schemas.openxmlformats.org/officeDocument/2006/relationships/footer" Target="footer85.xml" /><Relationship Id="rId558" Type="http://schemas.openxmlformats.org/officeDocument/2006/relationships/footer" Target="footer86.xml" /><Relationship Id="rId559" Type="http://schemas.openxmlformats.org/officeDocument/2006/relationships/header" Target="header87.xml" /><Relationship Id="rId56" Type="http://schemas.openxmlformats.org/officeDocument/2006/relationships/footer" Target="footer6.xml" /><Relationship Id="rId560" Type="http://schemas.openxmlformats.org/officeDocument/2006/relationships/footer" Target="footer87.xml" /><Relationship Id="rId561" Type="http://schemas.openxmlformats.org/officeDocument/2006/relationships/hyperlink" Target="https://advance.lexis.com/api/document?collection=cases-ca&amp;id=urn:contentItem:5F7T-S7M1-F4W2-62B5-00000-00&amp;context=" TargetMode="External" /><Relationship Id="rId562" Type="http://schemas.openxmlformats.org/officeDocument/2006/relationships/hyperlink" Target="https://advance.lexis.com/api/document?collection=legislation-ca&amp;id=urn:contentItem:5F41-1FG1-FBN1-2104-00000-00&amp;context=" TargetMode="External" /><Relationship Id="rId563" Type="http://schemas.openxmlformats.org/officeDocument/2006/relationships/hyperlink" Target="https://advance.lexis.com/api/document?collection=cases-ca&amp;id=urn:contentItem:5F7T-S7K1-JSJC-X186-00000-00&amp;context=" TargetMode="External" /><Relationship Id="rId564" Type="http://schemas.openxmlformats.org/officeDocument/2006/relationships/hyperlink" Target="https://advance.lexis.com/api/document?collection=cases-ca&amp;id=urn:contentItem:5F7T-S6Y1-DY33-B036-00000-00&amp;context=" TargetMode="External" /><Relationship Id="rId565" Type="http://schemas.openxmlformats.org/officeDocument/2006/relationships/hyperlink" Target="https://advance.lexis.com/api/document?collection=cases-ca&amp;id=urn:contentItem:5F81-YH21-JPGX-S03N-00000-00&amp;context=" TargetMode="External" /><Relationship Id="rId566" Type="http://schemas.openxmlformats.org/officeDocument/2006/relationships/hyperlink" Target="https://advance.lexis.com/api/document?collection=cases-ca&amp;id=urn:contentItem:5F7T-S6W1-JJK6-S1CM-00000-00&amp;context=" TargetMode="External" /><Relationship Id="rId567" Type="http://schemas.openxmlformats.org/officeDocument/2006/relationships/header" Target="header88.xml" /><Relationship Id="rId568" Type="http://schemas.openxmlformats.org/officeDocument/2006/relationships/header" Target="header89.xml" /><Relationship Id="rId569" Type="http://schemas.openxmlformats.org/officeDocument/2006/relationships/footer" Target="footer88.xml" /><Relationship Id="rId57" Type="http://schemas.openxmlformats.org/officeDocument/2006/relationships/hyperlink" Target="https://advance.lexis.com/api/document?collection=cases-ca&amp;id=urn:contentItem:5F7T-S7D1-F7ND-G07W-00000-00&amp;context=" TargetMode="External" /><Relationship Id="rId570" Type="http://schemas.openxmlformats.org/officeDocument/2006/relationships/footer" Target="footer89.xml" /><Relationship Id="rId571" Type="http://schemas.openxmlformats.org/officeDocument/2006/relationships/header" Target="header90.xml" /><Relationship Id="rId572" Type="http://schemas.openxmlformats.org/officeDocument/2006/relationships/footer" Target="footer90.xml" /><Relationship Id="rId573" Type="http://schemas.openxmlformats.org/officeDocument/2006/relationships/hyperlink" Target="https://advance.lexis.com/api/document?collection=cases-ca&amp;id=urn:contentItem:5F7T-S7H1-FCSB-S3SN-00000-00&amp;context=" TargetMode="External" /><Relationship Id="rId574" Type="http://schemas.openxmlformats.org/officeDocument/2006/relationships/hyperlink" Target="https://advance.lexis.com/api/document?collection=cases-ca&amp;id=urn:contentItem:5K6Y-81M1-DXHD-G2BR-00000-00&amp;context=" TargetMode="External" /><Relationship Id="rId575" Type="http://schemas.openxmlformats.org/officeDocument/2006/relationships/hyperlink" Target="https://advance.lexis.com/api/document?collection=legislation-ca&amp;id=urn:contentItem:5F41-1FH1-F361-M0F5-00000-00&amp;context=" TargetMode="External" /><Relationship Id="rId576" Type="http://schemas.openxmlformats.org/officeDocument/2006/relationships/hyperlink" Target="https://advance.lexis.com/api/document?collection=cases-ca&amp;id=urn:contentItem:5F7T-S741-F2F4-G2K1-00000-00&amp;context=" TargetMode="External" /><Relationship Id="rId577" Type="http://schemas.openxmlformats.org/officeDocument/2006/relationships/hyperlink" Target="https://advance.lexis.com/api/document?collection=cases-ca&amp;id=urn:contentItem:5F81-YH41-JX8W-M05P-00000-00&amp;context=" TargetMode="External" /><Relationship Id="rId578" Type="http://schemas.openxmlformats.org/officeDocument/2006/relationships/hyperlink" Target="https://advance.lexis.com/api/document?collection=cases-ca&amp;id=urn:contentItem:5F8P-SC81-JN14-G258-00000-00&amp;context=" TargetMode="External" /><Relationship Id="rId579" Type="http://schemas.openxmlformats.org/officeDocument/2006/relationships/hyperlink" Target="https://advance.lexis.com/api/document?collection=cases-ca&amp;id=urn:contentItem:5F81-YH41-JX8W-M05N-00000-00&amp;context=" TargetMode="External" /><Relationship Id="rId58" Type="http://schemas.openxmlformats.org/officeDocument/2006/relationships/hyperlink" Target="https://advance.lexis.com/api/document?collection=legislation-ca&amp;id=urn:contentItem:5F41-1FH1-F361-M0FY-00000-00&amp;context=" TargetMode="External" /><Relationship Id="rId580" Type="http://schemas.openxmlformats.org/officeDocument/2006/relationships/hyperlink" Target="https://advance.lexis.com/api/document?collection=cases-ca&amp;id=urn:contentItem:5F7T-S7D1-FBFS-S1M7-00000-00&amp;context=" TargetMode="External" /><Relationship Id="rId581" Type="http://schemas.openxmlformats.org/officeDocument/2006/relationships/hyperlink" Target="https://advance.lexis.com/api/document?collection=cases-ca&amp;id=urn:contentItem:5F7T-S7H1-JFSV-G35Y-00000-00&amp;context=" TargetMode="External" /><Relationship Id="rId582" Type="http://schemas.openxmlformats.org/officeDocument/2006/relationships/hyperlink" Target="https://advance.lexis.com/api/document?collection=cases-ca&amp;id=urn:contentItem:5F8T-N3T1-JJSF-2361-00000-00&amp;context=" TargetMode="External" /><Relationship Id="rId583" Type="http://schemas.openxmlformats.org/officeDocument/2006/relationships/hyperlink" Target="https://advance.lexis.com/api/document?collection=cases-ca&amp;id=urn:contentItem:5F8T-N3S1-JT99-24MJ-00000-00&amp;context=" TargetMode="External" /><Relationship Id="rId584" Type="http://schemas.openxmlformats.org/officeDocument/2006/relationships/hyperlink" Target="https://advance.lexis.com/api/document?collection=cases-ca&amp;id=urn:contentItem:5F7T-S731-F60C-X11W-00000-00&amp;context=" TargetMode="External" /><Relationship Id="rId585" Type="http://schemas.openxmlformats.org/officeDocument/2006/relationships/hyperlink" Target="https://advance.lexis.com/api/document?collection=cases-ca&amp;id=urn:contentItem:5F7T-S7D1-JN6B-S119-00000-00&amp;context=" TargetMode="External" /><Relationship Id="rId586" Type="http://schemas.openxmlformats.org/officeDocument/2006/relationships/hyperlink" Target="https://advance.lexis.com/api/document?collection=cases-ca&amp;id=urn:contentItem:5F7T-S6W1-JYYX-61TX-00000-00&amp;context=" TargetMode="External" /><Relationship Id="rId587" Type="http://schemas.openxmlformats.org/officeDocument/2006/relationships/hyperlink" Target="https://advance.lexis.com/api/document?collection=cases-ca&amp;id=urn:contentItem:5F7T-S771-JN14-G2PR-00000-00&amp;context=" TargetMode="External" /><Relationship Id="rId588" Type="http://schemas.openxmlformats.org/officeDocument/2006/relationships/hyperlink" Target="https://advance.lexis.com/api/document?collection=cases-ca&amp;id=urn:contentItem:5F7T-S7F1-DXWW-242B-00000-00&amp;context=" TargetMode="External" /><Relationship Id="rId589" Type="http://schemas.openxmlformats.org/officeDocument/2006/relationships/hyperlink" Target="https://advance.lexis.com/api/document?collection=cases-ca&amp;id=urn:contentItem:5F7T-S761-F81W-21RK-00000-00&amp;context=" TargetMode="External" /><Relationship Id="rId59" Type="http://schemas.openxmlformats.org/officeDocument/2006/relationships/hyperlink" Target="https://advance.lexis.com/api/document?collection=legislation-ca&amp;id=urn:contentItem:5F41-1FJ1-JBDT-B066-00000-00&amp;context=" TargetMode="External" /><Relationship Id="rId590" Type="http://schemas.openxmlformats.org/officeDocument/2006/relationships/hyperlink" Target="https://advance.lexis.com/api/document?collection=cases-ca&amp;id=urn:contentItem:5F7T-S7D1-FBFS-S1TD-00000-00&amp;context=" TargetMode="External" /><Relationship Id="rId591" Type="http://schemas.openxmlformats.org/officeDocument/2006/relationships/hyperlink" Target="https://advance.lexis.com/api/document?collection=cases-ca&amp;id=urn:contentItem:5F7T-S701-JBT7-X23F-00000-00&amp;context=" TargetMode="External" /><Relationship Id="rId592" Type="http://schemas.openxmlformats.org/officeDocument/2006/relationships/hyperlink" Target="https://advance.lexis.com/api/document?collection=cases-ca&amp;id=urn:contentItem:5F7T-S701-JF75-M4DT-00000-00&amp;context=" TargetMode="External" /><Relationship Id="rId593" Type="http://schemas.openxmlformats.org/officeDocument/2006/relationships/hyperlink" Target="https://advance.lexis.com/api/document?collection=cases-ca&amp;id=urn:contentItem:5F8T-N3V1-JF75-M3S6-00000-00&amp;context=" TargetMode="External" /><Relationship Id="rId594" Type="http://schemas.openxmlformats.org/officeDocument/2006/relationships/hyperlink" Target="https://advance.lexis.com/api/document?collection=cases-ca&amp;id=urn:contentItem:5F8T-N3S1-JT99-250W-00000-00&amp;context=" TargetMode="External" /><Relationship Id="rId595" Type="http://schemas.openxmlformats.org/officeDocument/2006/relationships/hyperlink" Target="https://advance.lexis.com/api/document?collection=cases-ca&amp;id=urn:contentItem:5F7T-S7F1-DXWW-23RN-00000-00&amp;context=" TargetMode="External" /><Relationship Id="rId596" Type="http://schemas.openxmlformats.org/officeDocument/2006/relationships/hyperlink" Target="https://advance.lexis.com/api/document?collection=cases-ca&amp;id=urn:contentItem:5F7T-S7D1-JN6B-S184-00000-00&amp;context=" TargetMode="External" /><Relationship Id="rId597" Type="http://schemas.openxmlformats.org/officeDocument/2006/relationships/header" Target="header91.xml" /><Relationship Id="rId598" Type="http://schemas.openxmlformats.org/officeDocument/2006/relationships/header" Target="header92.xml" /><Relationship Id="rId599" Type="http://schemas.openxmlformats.org/officeDocument/2006/relationships/footer" Target="footer91.xml" /><Relationship Id="rId6" Type="http://schemas.openxmlformats.org/officeDocument/2006/relationships/footer" Target="footer1.xml" /><Relationship Id="rId60" Type="http://schemas.openxmlformats.org/officeDocument/2006/relationships/hyperlink" Target="https://advance.lexis.com/api/document?collection=cases-ca&amp;id=urn:contentItem:5F8T-N3R1-FBV7-B04P-00000-00&amp;context=" TargetMode="External" /><Relationship Id="rId600" Type="http://schemas.openxmlformats.org/officeDocument/2006/relationships/footer" Target="footer92.xml" /><Relationship Id="rId601" Type="http://schemas.openxmlformats.org/officeDocument/2006/relationships/header" Target="header93.xml" /><Relationship Id="rId602" Type="http://schemas.openxmlformats.org/officeDocument/2006/relationships/footer" Target="footer93.xml" /><Relationship Id="rId603" Type="http://schemas.openxmlformats.org/officeDocument/2006/relationships/hyperlink" Target="https://advance.lexis.com/api/document?collection=cases-ca&amp;id=urn:contentItem:5F7T-S7N1-DXWW-203W-00000-00&amp;context=" TargetMode="External" /><Relationship Id="rId604" Type="http://schemas.openxmlformats.org/officeDocument/2006/relationships/header" Target="header94.xml" /><Relationship Id="rId605" Type="http://schemas.openxmlformats.org/officeDocument/2006/relationships/header" Target="header95.xml" /><Relationship Id="rId606" Type="http://schemas.openxmlformats.org/officeDocument/2006/relationships/footer" Target="footer94.xml" /><Relationship Id="rId607" Type="http://schemas.openxmlformats.org/officeDocument/2006/relationships/footer" Target="footer95.xml" /><Relationship Id="rId608" Type="http://schemas.openxmlformats.org/officeDocument/2006/relationships/header" Target="header96.xml" /><Relationship Id="rId609" Type="http://schemas.openxmlformats.org/officeDocument/2006/relationships/footer" Target="footer96.xml" /><Relationship Id="rId61" Type="http://schemas.openxmlformats.org/officeDocument/2006/relationships/hyperlink" Target="https://advance.lexis.com/api/document?collection=cases-ca&amp;id=urn:contentItem:5F8T-N3P1-FC6N-X1FM-00000-00&amp;context=" TargetMode="External" /><Relationship Id="rId610" Type="http://schemas.openxmlformats.org/officeDocument/2006/relationships/hyperlink" Target="https://advance.lexis.com/api/document?collection=cases-ca&amp;id=urn:contentItem:5F7T-S7G1-JX3N-B2FS-00000-00&amp;context=" TargetMode="External" /><Relationship Id="rId611" Type="http://schemas.openxmlformats.org/officeDocument/2006/relationships/hyperlink" Target="https://advance.lexis.com/api/document?collection=cases-ca&amp;id=urn:contentItem:5K6Y-81M1-DXHD-G2D5-00000-00&amp;context=" TargetMode="External" /><Relationship Id="rId612" Type="http://schemas.openxmlformats.org/officeDocument/2006/relationships/hyperlink" Target="https://advance.lexis.com/api/document?collection=cases-ca&amp;id=urn:contentItem:5F7T-S731-F016-S3D3-00000-00&amp;context=" TargetMode="External" /><Relationship Id="rId613" Type="http://schemas.openxmlformats.org/officeDocument/2006/relationships/hyperlink" Target="https://advance.lexis.com/api/document?collection=cases-ca&amp;id=urn:contentItem:5F7T-S751-JCJ5-24CV-00000-00&amp;context=" TargetMode="External" /><Relationship Id="rId614" Type="http://schemas.openxmlformats.org/officeDocument/2006/relationships/hyperlink" Target="https://advance.lexis.com/api/document?collection=cases-ca&amp;id=urn:contentItem:5F7T-S711-JNY7-X30K-00000-00&amp;context=" TargetMode="External" /><Relationship Id="rId615" Type="http://schemas.openxmlformats.org/officeDocument/2006/relationships/hyperlink" Target="https://advance.lexis.com/api/document?collection=cases-ca&amp;id=urn:contentItem:5F7T-S731-DY33-B0YN-00000-00&amp;context=" TargetMode="External" /><Relationship Id="rId616" Type="http://schemas.openxmlformats.org/officeDocument/2006/relationships/hyperlink" Target="https://advance.lexis.com/api/document?collection=cases-ca&amp;id=urn:contentItem:5F7T-S731-F1WF-M2HD-00000-00&amp;context=" TargetMode="External" /><Relationship Id="rId617" Type="http://schemas.openxmlformats.org/officeDocument/2006/relationships/header" Target="header97.xml" /><Relationship Id="rId618" Type="http://schemas.openxmlformats.org/officeDocument/2006/relationships/header" Target="header98.xml" /><Relationship Id="rId619" Type="http://schemas.openxmlformats.org/officeDocument/2006/relationships/footer" Target="footer97.xml" /><Relationship Id="rId62" Type="http://schemas.openxmlformats.org/officeDocument/2006/relationships/hyperlink" Target="https://advance.lexis.com/api/document?collection=cases-ca&amp;id=urn:contentItem:5F7T-S701-JK4W-M11D-00000-00&amp;context=" TargetMode="External" /><Relationship Id="rId620" Type="http://schemas.openxmlformats.org/officeDocument/2006/relationships/footer" Target="footer98.xml" /><Relationship Id="rId621" Type="http://schemas.openxmlformats.org/officeDocument/2006/relationships/header" Target="header99.xml" /><Relationship Id="rId622" Type="http://schemas.openxmlformats.org/officeDocument/2006/relationships/footer" Target="footer99.xml" /><Relationship Id="rId623" Type="http://schemas.openxmlformats.org/officeDocument/2006/relationships/hyperlink" Target="https://advance.lexis.com/api/document?collection=cases-ca&amp;id=urn:contentItem:5K6Y-81M1-DXHD-G2BX-00000-00&amp;context=" TargetMode="External" /><Relationship Id="rId624" Type="http://schemas.openxmlformats.org/officeDocument/2006/relationships/hyperlink" Target="https://advance.lexis.com/api/document?collection=cases-ca&amp;id=urn:contentItem:5F7T-S7H1-JS5Y-B2MT-00000-00&amp;context=" TargetMode="External" /><Relationship Id="rId625" Type="http://schemas.openxmlformats.org/officeDocument/2006/relationships/hyperlink" Target="https://advance.lexis.com/api/document?collection=cases-ca&amp;id=urn:contentItem:5F7T-S771-JTGH-B19P-00000-00&amp;context=" TargetMode="External" /><Relationship Id="rId626" Type="http://schemas.openxmlformats.org/officeDocument/2006/relationships/hyperlink" Target="https://advance.lexis.com/api/document?collection=cases-ca&amp;id=urn:contentItem:5F7T-S731-FFFC-B0K2-00000-00&amp;context=" TargetMode="External" /><Relationship Id="rId627" Type="http://schemas.openxmlformats.org/officeDocument/2006/relationships/hyperlink" Target="https://advance.lexis.com/api/document?collection=cases-ca&amp;id=urn:contentItem:5F7T-S7D1-F7ND-G0MH-00000-00&amp;context=" TargetMode="External" /><Relationship Id="rId628" Type="http://schemas.openxmlformats.org/officeDocument/2006/relationships/header" Target="header100.xml" /><Relationship Id="rId629" Type="http://schemas.openxmlformats.org/officeDocument/2006/relationships/header" Target="header101.xml" /><Relationship Id="rId63" Type="http://schemas.openxmlformats.org/officeDocument/2006/relationships/hyperlink" Target="https://advance.lexis.com/api/document?collection=cases-ca&amp;id=urn:contentItem:5F7T-S741-F1H1-21KJ-00000-00&amp;context=" TargetMode="External" /><Relationship Id="rId630" Type="http://schemas.openxmlformats.org/officeDocument/2006/relationships/footer" Target="footer100.xml" /><Relationship Id="rId631" Type="http://schemas.openxmlformats.org/officeDocument/2006/relationships/footer" Target="footer101.xml" /><Relationship Id="rId632" Type="http://schemas.openxmlformats.org/officeDocument/2006/relationships/header" Target="header102.xml" /><Relationship Id="rId633" Type="http://schemas.openxmlformats.org/officeDocument/2006/relationships/footer" Target="footer102.xml" /><Relationship Id="rId634" Type="http://schemas.openxmlformats.org/officeDocument/2006/relationships/hyperlink" Target="https://advance.lexis.com/api/document?collection=cases-ca&amp;id=urn:contentItem:5F7T-S781-DYMS-61BH-00000-00&amp;context=" TargetMode="External" /><Relationship Id="rId635" Type="http://schemas.openxmlformats.org/officeDocument/2006/relationships/hyperlink" Target="https://advance.lexis.com/api/document?collection=cases-ca&amp;id=urn:contentItem:5F81-VJX1-F5T5-M3YH-00000-00&amp;context=" TargetMode="External" /><Relationship Id="rId636" Type="http://schemas.openxmlformats.org/officeDocument/2006/relationships/hyperlink" Target="https://advance.lexis.com/api/document?collection=cases-ca&amp;id=urn:contentItem:5F7T-S781-JSC5-M3XB-00000-00&amp;context=" TargetMode="External" /><Relationship Id="rId637" Type="http://schemas.openxmlformats.org/officeDocument/2006/relationships/header" Target="header103.xml" /><Relationship Id="rId638" Type="http://schemas.openxmlformats.org/officeDocument/2006/relationships/header" Target="header104.xml" /><Relationship Id="rId639" Type="http://schemas.openxmlformats.org/officeDocument/2006/relationships/footer" Target="footer103.xml" /><Relationship Id="rId64" Type="http://schemas.openxmlformats.org/officeDocument/2006/relationships/hyperlink" Target="https://advance.lexis.com/api/document?collection=cases-ca&amp;id=urn:contentItem:5F7T-S6R1-JGPY-X0T4-00000-00&amp;context=" TargetMode="External" /><Relationship Id="rId640" Type="http://schemas.openxmlformats.org/officeDocument/2006/relationships/footer" Target="footer104.xml" /><Relationship Id="rId641" Type="http://schemas.openxmlformats.org/officeDocument/2006/relationships/header" Target="header105.xml" /><Relationship Id="rId642" Type="http://schemas.openxmlformats.org/officeDocument/2006/relationships/footer" Target="footer105.xml" /><Relationship Id="rId643" Type="http://schemas.openxmlformats.org/officeDocument/2006/relationships/hyperlink" Target="https://advance.lexis.com/api/document?collection=cases-ca&amp;id=urn:contentItem:5F7T-S7J1-JGBH-B2HV-00000-00&amp;context=" TargetMode="External" /><Relationship Id="rId644" Type="http://schemas.openxmlformats.org/officeDocument/2006/relationships/hyperlink" Target="https://advance.lexis.com/api/document?collection=legislation-ca&amp;id=urn:contentItem:5F41-1FJ1-F7ND-G098-00000-00&amp;context=" TargetMode="External" /><Relationship Id="rId645" Type="http://schemas.openxmlformats.org/officeDocument/2006/relationships/hyperlink" Target="https://advance.lexis.com/api/document?collection=cases-ca&amp;id=urn:contentItem:5F8T-N3V1-FC1F-M4C7-00000-00&amp;context=" TargetMode="External" /><Relationship Id="rId646" Type="http://schemas.openxmlformats.org/officeDocument/2006/relationships/hyperlink" Target="https://advance.lexis.com/api/document?collection=cases-ca&amp;id=urn:contentItem:5F8T-N3V1-FC1F-M41M-00000-00&amp;context=" TargetMode="External" /><Relationship Id="rId647" Type="http://schemas.openxmlformats.org/officeDocument/2006/relationships/hyperlink" Target="https://advance.lexis.com/api/document?collection=cases-ca&amp;id=urn:contentItem:5F8T-N3V1-JTGH-B132-00000-00&amp;context=" TargetMode="External" /><Relationship Id="rId648" Type="http://schemas.openxmlformats.org/officeDocument/2006/relationships/hyperlink" Target="https://advance.lexis.com/api/document?collection=cases-ca&amp;id=urn:contentItem:5F7T-S771-F2TK-22YP-00000-00&amp;context=" TargetMode="External" /><Relationship Id="rId649" Type="http://schemas.openxmlformats.org/officeDocument/2006/relationships/hyperlink" Target="https://advance.lexis.com/api/document?collection=cases-ca&amp;id=urn:contentItem:5F7T-S751-JG02-S26G-00000-00&amp;context=" TargetMode="External" /><Relationship Id="rId65" Type="http://schemas.openxmlformats.org/officeDocument/2006/relationships/hyperlink" Target="https://advance.lexis.com/api/document?collection=cases-ca&amp;id=urn:contentItem:5F7T-S711-F27X-60PD-00000-00&amp;context=" TargetMode="External" /><Relationship Id="rId650" Type="http://schemas.openxmlformats.org/officeDocument/2006/relationships/hyperlink" Target="https://advance.lexis.com/api/document?collection=cases-ca&amp;id=urn:contentItem:5F7T-S731-JC0G-63RP-00000-00&amp;context=" TargetMode="External" /><Relationship Id="rId651" Type="http://schemas.openxmlformats.org/officeDocument/2006/relationships/hyperlink" Target="https://advance.lexis.com/api/document?collection=cases-ca&amp;id=urn:contentItem:5F7T-S741-F8D9-M1V7-00000-00&amp;context=" TargetMode="External" /><Relationship Id="rId652" Type="http://schemas.openxmlformats.org/officeDocument/2006/relationships/header" Target="header106.xml" /><Relationship Id="rId653" Type="http://schemas.openxmlformats.org/officeDocument/2006/relationships/header" Target="header107.xml" /><Relationship Id="rId654" Type="http://schemas.openxmlformats.org/officeDocument/2006/relationships/footer" Target="footer106.xml" /><Relationship Id="rId655" Type="http://schemas.openxmlformats.org/officeDocument/2006/relationships/footer" Target="footer107.xml" /><Relationship Id="rId656" Type="http://schemas.openxmlformats.org/officeDocument/2006/relationships/header" Target="header108.xml" /><Relationship Id="rId657" Type="http://schemas.openxmlformats.org/officeDocument/2006/relationships/footer" Target="footer108.xml" /><Relationship Id="rId658" Type="http://schemas.openxmlformats.org/officeDocument/2006/relationships/hyperlink" Target="https://advance.lexis.com/api/document?collection=cases-ca&amp;id=urn:contentItem:5F7T-S7M1-DYMS-628P-00000-00&amp;context=" TargetMode="External" /><Relationship Id="rId659" Type="http://schemas.openxmlformats.org/officeDocument/2006/relationships/hyperlink" Target="https://advance.lexis.com/api/document?collection=cases-ca&amp;id=urn:contentItem:5F7T-S6X1-K0BB-S0F0-00000-00&amp;context=" TargetMode="External" /><Relationship Id="rId66" Type="http://schemas.openxmlformats.org/officeDocument/2006/relationships/hyperlink" Target="https://advance.lexis.com/api/document?collection=cases-ca&amp;id=urn:contentItem:5F7T-S751-JGHR-M20M-00000-00&amp;context=" TargetMode="External" /><Relationship Id="rId660" Type="http://schemas.openxmlformats.org/officeDocument/2006/relationships/hyperlink" Target="https://advance.lexis.com/api/document?collection=cases-ca&amp;id=urn:contentItem:5F8T-N3T1-JJSF-234B-00000-00&amp;context=" TargetMode="External" /><Relationship Id="rId661" Type="http://schemas.openxmlformats.org/officeDocument/2006/relationships/hyperlink" Target="https://advance.lexis.com/api/document?collection=cases-ca&amp;id=urn:contentItem:5F7T-S6X1-F7ND-G3GD-00000-00&amp;context=" TargetMode="External" /><Relationship Id="rId662" Type="http://schemas.openxmlformats.org/officeDocument/2006/relationships/hyperlink" Target="https://advance.lexis.com/api/document?collection=cases-ca&amp;id=urn:contentItem:5F7T-S771-JJD0-G1F2-00000-00&amp;context=" TargetMode="External" /><Relationship Id="rId663" Type="http://schemas.openxmlformats.org/officeDocument/2006/relationships/header" Target="header109.xml" /><Relationship Id="rId664" Type="http://schemas.openxmlformats.org/officeDocument/2006/relationships/header" Target="header110.xml" /><Relationship Id="rId665" Type="http://schemas.openxmlformats.org/officeDocument/2006/relationships/footer" Target="footer109.xml" /><Relationship Id="rId666" Type="http://schemas.openxmlformats.org/officeDocument/2006/relationships/footer" Target="footer110.xml" /><Relationship Id="rId667" Type="http://schemas.openxmlformats.org/officeDocument/2006/relationships/header" Target="header111.xml" /><Relationship Id="rId668" Type="http://schemas.openxmlformats.org/officeDocument/2006/relationships/footer" Target="footer111.xml" /><Relationship Id="rId669" Type="http://schemas.openxmlformats.org/officeDocument/2006/relationships/hyperlink" Target="https://advance.lexis.com/api/document?collection=cases-ca&amp;id=urn:contentItem:5H9V-0GJ1-JSJC-X3SC-00000-00&amp;context=" TargetMode="External" /><Relationship Id="rId67" Type="http://schemas.openxmlformats.org/officeDocument/2006/relationships/hyperlink" Target="https://advance.lexis.com/api/document?collection=cases-ca&amp;id=urn:contentItem:5F7T-S7B1-JCJ5-206H-00000-00&amp;context=" TargetMode="External" /><Relationship Id="rId670" Type="http://schemas.openxmlformats.org/officeDocument/2006/relationships/hyperlink" Target="https://advance.lexis.com/api/document?collection=cases-ca&amp;id=urn:contentItem:5F7T-S7K1-DY33-B1N6-00000-00&amp;context=" TargetMode="External" /><Relationship Id="rId671" Type="http://schemas.openxmlformats.org/officeDocument/2006/relationships/hyperlink" Target="https://advance.lexis.com/api/document?collection=cases-ca&amp;id=urn:contentItem:5F7T-S7M1-JCRC-B1HT-00000-00&amp;context=" TargetMode="External" /><Relationship Id="rId672" Type="http://schemas.openxmlformats.org/officeDocument/2006/relationships/hyperlink" Target="https://advance.lexis.com/api/document?collection=cases-ca&amp;id=urn:contentItem:5F8T-N3T1-JJSF-235W-00000-00&amp;context=" TargetMode="External" /><Relationship Id="rId673" Type="http://schemas.openxmlformats.org/officeDocument/2006/relationships/hyperlink" Target="https://advance.lexis.com/api/document?collection=cases-ca&amp;id=urn:contentItem:5F7T-S761-JX8W-M2MC-00000-00&amp;context=" TargetMode="External" /><Relationship Id="rId674" Type="http://schemas.openxmlformats.org/officeDocument/2006/relationships/hyperlink" Target="https://advance.lexis.com/api/document?collection=cases-ca&amp;id=urn:contentItem:5F7T-S741-F1H1-21TC-00000-00&amp;context=" TargetMode="External" /><Relationship Id="rId675" Type="http://schemas.openxmlformats.org/officeDocument/2006/relationships/hyperlink" Target="https://advance.lexis.com/api/document?collection=cases-ca&amp;id=urn:contentItem:5F7T-S7G1-JWR6-S1JW-00000-00&amp;context=" TargetMode="External" /><Relationship Id="rId676" Type="http://schemas.openxmlformats.org/officeDocument/2006/relationships/hyperlink" Target="https://advance.lexis.com/api/document?collection=cases-ca&amp;id=urn:contentItem:5F7T-S741-F2F4-G225-00000-00&amp;context=" TargetMode="External" /><Relationship Id="rId677" Type="http://schemas.openxmlformats.org/officeDocument/2006/relationships/hyperlink" Target="https://advance.lexis.com/api/document?collection=cases-ca&amp;id=urn:contentItem:5F7T-S7P1-JBDT-B0YN-00000-00&amp;context=" TargetMode="External" /><Relationship Id="rId678" Type="http://schemas.openxmlformats.org/officeDocument/2006/relationships/hyperlink" Target="https://advance.lexis.com/api/document?collection=cases-ca&amp;id=urn:contentItem:5GXH-C351-FC6N-X4XD-00000-00&amp;context=" TargetMode="External" /><Relationship Id="rId679" Type="http://schemas.openxmlformats.org/officeDocument/2006/relationships/hyperlink" Target="https://advance.lexis.com/api/document?collection=cases-ca&amp;id=urn:contentItem:5F7T-S7M1-F4W2-626G-00000-00&amp;context=" TargetMode="External" /><Relationship Id="rId68" Type="http://schemas.openxmlformats.org/officeDocument/2006/relationships/hyperlink" Target="https://advance.lexis.com/api/document?collection=cases-ca&amp;id=urn:contentItem:5F7T-S721-F8D9-M153-00000-00&amp;context=" TargetMode="External" /><Relationship Id="rId680" Type="http://schemas.openxmlformats.org/officeDocument/2006/relationships/header" Target="header112.xml" /><Relationship Id="rId681" Type="http://schemas.openxmlformats.org/officeDocument/2006/relationships/header" Target="header113.xml" /><Relationship Id="rId682" Type="http://schemas.openxmlformats.org/officeDocument/2006/relationships/footer" Target="footer112.xml" /><Relationship Id="rId683" Type="http://schemas.openxmlformats.org/officeDocument/2006/relationships/footer" Target="footer113.xml" /><Relationship Id="rId684" Type="http://schemas.openxmlformats.org/officeDocument/2006/relationships/header" Target="header114.xml" /><Relationship Id="rId685" Type="http://schemas.openxmlformats.org/officeDocument/2006/relationships/footer" Target="footer114.xml" /><Relationship Id="rId686" Type="http://schemas.openxmlformats.org/officeDocument/2006/relationships/hyperlink" Target="https://advance.lexis.com/api/document?collection=cases-ca&amp;id=urn:contentItem:5F7T-S7C1-JS0R-224V-00000-00&amp;context=" TargetMode="External" /><Relationship Id="rId687" Type="http://schemas.openxmlformats.org/officeDocument/2006/relationships/header" Target="header115.xml" /><Relationship Id="rId688" Type="http://schemas.openxmlformats.org/officeDocument/2006/relationships/header" Target="header116.xml" /><Relationship Id="rId689" Type="http://schemas.openxmlformats.org/officeDocument/2006/relationships/footer" Target="footer115.xml" /><Relationship Id="rId69" Type="http://schemas.openxmlformats.org/officeDocument/2006/relationships/hyperlink" Target="https://advance.lexis.com/api/document?collection=cases-ca&amp;id=urn:contentItem:5F7T-S6Y1-JP9P-G1VH-00000-00&amp;context=" TargetMode="External" /><Relationship Id="rId690" Type="http://schemas.openxmlformats.org/officeDocument/2006/relationships/footer" Target="footer116.xml" /><Relationship Id="rId691" Type="http://schemas.openxmlformats.org/officeDocument/2006/relationships/header" Target="header117.xml" /><Relationship Id="rId692" Type="http://schemas.openxmlformats.org/officeDocument/2006/relationships/footer" Target="footer117.xml" /><Relationship Id="rId693" Type="http://schemas.openxmlformats.org/officeDocument/2006/relationships/hyperlink" Target="https://advance.lexis.com/api/document?collection=cases-ca&amp;id=urn:contentItem:5F7T-S7B1-FH4C-X3M5-00000-00&amp;context=" TargetMode="External" /><Relationship Id="rId694" Type="http://schemas.openxmlformats.org/officeDocument/2006/relationships/hyperlink" Target="https://advance.lexis.com/api/document?collection=cases-ca&amp;id=urn:contentItem:5F8T-N3V1-JF75-M3S5-00000-00&amp;context=" TargetMode="External" /><Relationship Id="rId695" Type="http://schemas.openxmlformats.org/officeDocument/2006/relationships/hyperlink" Target="https://advance.lexis.com/api/document?collection=cases-ca&amp;id=urn:contentItem:5F8P-SCT1-JP4G-60PX-00000-00&amp;context=" TargetMode="External" /><Relationship Id="rId696" Type="http://schemas.openxmlformats.org/officeDocument/2006/relationships/header" Target="header118.xml" /><Relationship Id="rId697" Type="http://schemas.openxmlformats.org/officeDocument/2006/relationships/header" Target="header119.xml" /><Relationship Id="rId698" Type="http://schemas.openxmlformats.org/officeDocument/2006/relationships/footer" Target="footer118.xml" /><Relationship Id="rId699" Type="http://schemas.openxmlformats.org/officeDocument/2006/relationships/footer" Target="footer119.xml" /><Relationship Id="rId7" Type="http://schemas.openxmlformats.org/officeDocument/2006/relationships/footer" Target="footer2.xml" /><Relationship Id="rId70" Type="http://schemas.openxmlformats.org/officeDocument/2006/relationships/header" Target="header7.xml" /><Relationship Id="rId700" Type="http://schemas.openxmlformats.org/officeDocument/2006/relationships/header" Target="header120.xml" /><Relationship Id="rId701" Type="http://schemas.openxmlformats.org/officeDocument/2006/relationships/footer" Target="footer120.xml" /><Relationship Id="rId702" Type="http://schemas.openxmlformats.org/officeDocument/2006/relationships/hyperlink" Target="https://advance.lexis.com/api/document?collection=cases-ca&amp;id=urn:contentItem:5F7T-S781-F7G6-63KB-00000-00&amp;context=" TargetMode="External" /><Relationship Id="rId703" Type="http://schemas.openxmlformats.org/officeDocument/2006/relationships/hyperlink" Target="https://advance.lexis.com/api/document?collection=cases-ca&amp;id=urn:contentItem:5F7T-S701-JK4W-M0R9-00000-00&amp;context=" TargetMode="External" /><Relationship Id="rId704" Type="http://schemas.openxmlformats.org/officeDocument/2006/relationships/hyperlink" Target="https://advance.lexis.com/api/document?collection=cases-ca&amp;id=urn:contentItem:5F8T-N3P1-K0BB-S0JJ-00000-00&amp;context=" TargetMode="External" /><Relationship Id="rId705" Type="http://schemas.openxmlformats.org/officeDocument/2006/relationships/hyperlink" Target="https://advance.lexis.com/api/document?collection=cases-ca&amp;id=urn:contentItem:5F8T-N3T1-JJSF-23P9-00000-00&amp;context=" TargetMode="External" /><Relationship Id="rId706" Type="http://schemas.openxmlformats.org/officeDocument/2006/relationships/header" Target="header121.xml" /><Relationship Id="rId707" Type="http://schemas.openxmlformats.org/officeDocument/2006/relationships/header" Target="header122.xml" /><Relationship Id="rId708" Type="http://schemas.openxmlformats.org/officeDocument/2006/relationships/footer" Target="footer121.xml" /><Relationship Id="rId709" Type="http://schemas.openxmlformats.org/officeDocument/2006/relationships/footer" Target="footer122.xml" /><Relationship Id="rId71" Type="http://schemas.openxmlformats.org/officeDocument/2006/relationships/header" Target="header8.xml" /><Relationship Id="rId710" Type="http://schemas.openxmlformats.org/officeDocument/2006/relationships/header" Target="header123.xml" /><Relationship Id="rId711" Type="http://schemas.openxmlformats.org/officeDocument/2006/relationships/footer" Target="footer123.xml" /><Relationship Id="rId712" Type="http://schemas.openxmlformats.org/officeDocument/2006/relationships/hyperlink" Target="https://advance.lexis.com/api/document?collection=cases-ca&amp;id=urn:contentItem:5F7T-S781-JSC5-M3X0-00000-00&amp;context=" TargetMode="External" /><Relationship Id="rId713" Type="http://schemas.openxmlformats.org/officeDocument/2006/relationships/hyperlink" Target="https://advance.lexis.com/api/document?collection=cases-ca&amp;id=urn:contentItem:5F7T-S741-DY89-M3R5-00000-00&amp;context=" TargetMode="External" /><Relationship Id="rId714" Type="http://schemas.openxmlformats.org/officeDocument/2006/relationships/hyperlink" Target="https://advance.lexis.com/api/document?collection=cases-ca&amp;id=urn:contentItem:5F7T-S751-JGHR-M1YC-00000-00&amp;context=" TargetMode="External" /><Relationship Id="rId715" Type="http://schemas.openxmlformats.org/officeDocument/2006/relationships/hyperlink" Target="https://advance.lexis.com/api/document?collection=cases-ca&amp;id=urn:contentItem:5F7T-S731-JC0G-63DD-00000-00&amp;context=" TargetMode="External" /><Relationship Id="rId716" Type="http://schemas.openxmlformats.org/officeDocument/2006/relationships/hyperlink" Target="https://advance.lexis.com/api/document?collection=cases-ca&amp;id=urn:contentItem:5F7T-S741-DXPM-S0Y5-00000-00&amp;context=" TargetMode="External" /><Relationship Id="rId717" Type="http://schemas.openxmlformats.org/officeDocument/2006/relationships/hyperlink" Target="https://advance.lexis.com/api/document?collection=cases-ca&amp;id=urn:contentItem:5F7T-S771-JW5H-X1R7-00000-00&amp;context=" TargetMode="External" /><Relationship Id="rId718" Type="http://schemas.openxmlformats.org/officeDocument/2006/relationships/hyperlink" Target="https://advance.lexis.com/api/document?collection=cases-ca&amp;id=urn:contentItem:5F7T-S771-F361-M1XY-00000-00&amp;context=" TargetMode="External" /><Relationship Id="rId719" Type="http://schemas.openxmlformats.org/officeDocument/2006/relationships/hyperlink" Target="https://advance.lexis.com/api/document?collection=cases-ca&amp;id=urn:contentItem:5F7T-S771-JW5H-X1PH-00000-00&amp;context=" TargetMode="External" /><Relationship Id="rId72" Type="http://schemas.openxmlformats.org/officeDocument/2006/relationships/footer" Target="footer7.xml" /><Relationship Id="rId720" Type="http://schemas.openxmlformats.org/officeDocument/2006/relationships/hyperlink" Target="https://advance.lexis.com/api/document?collection=cases-ca&amp;id=urn:contentItem:5F7T-S731-FG12-62D7-00000-00&amp;context=" TargetMode="External" /><Relationship Id="rId721" Type="http://schemas.openxmlformats.org/officeDocument/2006/relationships/hyperlink" Target="https://advance.lexis.com/api/document?collection=cases-ca&amp;id=urn:contentItem:5F7T-S761-FGJR-22NR-00000-00&amp;context=" TargetMode="External" /><Relationship Id="rId722" Type="http://schemas.openxmlformats.org/officeDocument/2006/relationships/hyperlink" Target="https://advance.lexis.com/api/document?collection=cases-ca&amp;id=urn:contentItem:5F8T-N3V1-JFKM-609G-00000-00&amp;context=" TargetMode="External" /><Relationship Id="rId723" Type="http://schemas.openxmlformats.org/officeDocument/2006/relationships/hyperlink" Target="https://advance.lexis.com/api/document?collection=cases-ca&amp;id=urn:contentItem:5F7T-S771-JW5H-X1S1-00000-00&amp;context=" TargetMode="External" /><Relationship Id="rId724" Type="http://schemas.openxmlformats.org/officeDocument/2006/relationships/hyperlink" Target="https://advance.lexis.com/api/document?collection=cases-ca&amp;id=urn:contentItem:5F7T-S6T1-JT99-20Y8-00000-00&amp;context=" TargetMode="External" /><Relationship Id="rId725" Type="http://schemas.openxmlformats.org/officeDocument/2006/relationships/header" Target="header124.xml" /><Relationship Id="rId726" Type="http://schemas.openxmlformats.org/officeDocument/2006/relationships/header" Target="header125.xml" /><Relationship Id="rId727" Type="http://schemas.openxmlformats.org/officeDocument/2006/relationships/footer" Target="footer124.xml" /><Relationship Id="rId728" Type="http://schemas.openxmlformats.org/officeDocument/2006/relationships/footer" Target="footer125.xml" /><Relationship Id="rId729" Type="http://schemas.openxmlformats.org/officeDocument/2006/relationships/header" Target="header126.xml" /><Relationship Id="rId73" Type="http://schemas.openxmlformats.org/officeDocument/2006/relationships/footer" Target="footer8.xml" /><Relationship Id="rId730" Type="http://schemas.openxmlformats.org/officeDocument/2006/relationships/footer" Target="footer126.xml" /><Relationship Id="rId731" Type="http://schemas.openxmlformats.org/officeDocument/2006/relationships/hyperlink" Target="https://advance.lexis.com/api/document?collection=cases-ca&amp;id=urn:contentItem:5F7T-S7P1-JCRC-B24V-00000-00&amp;context=" TargetMode="External" /><Relationship Id="rId732" Type="http://schemas.openxmlformats.org/officeDocument/2006/relationships/hyperlink" Target="https://advance.lexis.com/api/document?collection=cases-ca&amp;id=urn:contentItem:5F7T-S7N1-JJ1H-X2VM-00000-00&amp;context=" TargetMode="External" /><Relationship Id="rId733" Type="http://schemas.openxmlformats.org/officeDocument/2006/relationships/hyperlink" Target="https://advance.lexis.com/api/document?collection=cases-ca&amp;id=urn:contentItem:5F7T-S7M1-JJK6-S26K-00000-00&amp;context=" TargetMode="External" /><Relationship Id="rId734" Type="http://schemas.openxmlformats.org/officeDocument/2006/relationships/hyperlink" Target="https://advance.lexis.com/api/document?collection=cases-ca&amp;id=urn:contentItem:5F7T-S7M1-JFSV-G3D5-00000-00&amp;context=" TargetMode="External" /><Relationship Id="rId735" Type="http://schemas.openxmlformats.org/officeDocument/2006/relationships/hyperlink" Target="https://advance.lexis.com/api/document?collection=cases-ca&amp;id=urn:contentItem:5F7T-S7M1-F4W2-61YR-00000-00&amp;context=" TargetMode="External" /><Relationship Id="rId736" Type="http://schemas.openxmlformats.org/officeDocument/2006/relationships/hyperlink" Target="https://advance.lexis.com/api/document?collection=cases-ca&amp;id=urn:contentItem:5F7T-S7H1-JCRC-B0XG-00000-00&amp;context=" TargetMode="External" /><Relationship Id="rId737" Type="http://schemas.openxmlformats.org/officeDocument/2006/relationships/hyperlink" Target="https://advance.lexis.com/api/document?collection=cases-ca&amp;id=urn:contentItem:5F8T-N3V1-JTGH-B100-00000-00&amp;context=" TargetMode="External" /><Relationship Id="rId738" Type="http://schemas.openxmlformats.org/officeDocument/2006/relationships/hyperlink" Target="https://advance.lexis.com/api/document?collection=cases-ca&amp;id=urn:contentItem:5F81-VJY1-FBN1-22Y9-00000-00&amp;context=" TargetMode="External" /><Relationship Id="rId739" Type="http://schemas.openxmlformats.org/officeDocument/2006/relationships/hyperlink" Target="https://advance.lexis.com/api/document?collection=cases-ca&amp;id=urn:contentItem:5F7T-S741-F2F4-G2B8-00000-00&amp;context=" TargetMode="External" /><Relationship Id="rId74" Type="http://schemas.openxmlformats.org/officeDocument/2006/relationships/header" Target="header9.xml" /><Relationship Id="rId740" Type="http://schemas.openxmlformats.org/officeDocument/2006/relationships/hyperlink" Target="https://advance.lexis.com/api/document?collection=cases-ca&amp;id=urn:contentItem:5F7T-S7K1-JWXF-218J-00000-00&amp;context=" TargetMode="External" /><Relationship Id="rId741" Type="http://schemas.openxmlformats.org/officeDocument/2006/relationships/hyperlink" Target="https://advance.lexis.com/api/document?collection=cases-ca&amp;id=urn:contentItem:5F7T-S731-JC0G-63HG-00000-00&amp;context=" TargetMode="External" /><Relationship Id="rId742" Type="http://schemas.openxmlformats.org/officeDocument/2006/relationships/hyperlink" Target="https://advance.lexis.com/api/document?collection=cases-ca&amp;id=urn:contentItem:5F8T-N3V1-JF75-M39V-00000-00&amp;context=" TargetMode="External" /><Relationship Id="rId743" Type="http://schemas.openxmlformats.org/officeDocument/2006/relationships/hyperlink" Target="https://advance.lexis.com/api/document?collection=cases-ca&amp;id=urn:contentItem:5F7T-S721-F5T5-M236-00000-00&amp;context=" TargetMode="External" /><Relationship Id="rId744" Type="http://schemas.openxmlformats.org/officeDocument/2006/relationships/hyperlink" Target="https://advance.lexis.com/api/document?collection=cases-ca&amp;id=urn:contentItem:5F7T-S731-JNJT-B288-00000-00&amp;context=" TargetMode="External" /><Relationship Id="rId745" Type="http://schemas.openxmlformats.org/officeDocument/2006/relationships/hyperlink" Target="https://advance.lexis.com/api/document?collection=cases-ca&amp;id=urn:contentItem:5F7T-S7J1-FGCG-S05C-00000-00&amp;context=" TargetMode="External" /><Relationship Id="rId746" Type="http://schemas.openxmlformats.org/officeDocument/2006/relationships/hyperlink" Target="https://advance.lexis.com/api/document?collection=cases-ca&amp;id=urn:contentItem:5F8T-N3V1-JTGH-B10F-00000-00&amp;context=" TargetMode="External" /><Relationship Id="rId747" Type="http://schemas.openxmlformats.org/officeDocument/2006/relationships/hyperlink" Target="https://advance.lexis.com/api/document?collection=cases-ca&amp;id=urn:contentItem:5F7T-S741-F2F4-G27H-00000-00&amp;context=" TargetMode="External" /><Relationship Id="rId748" Type="http://schemas.openxmlformats.org/officeDocument/2006/relationships/hyperlink" Target="https://advance.lexis.com/api/document?collection=cases-ca&amp;id=urn:contentItem:5F7T-S761-FFMK-M0YP-00000-00&amp;context=" TargetMode="External" /><Relationship Id="rId749" Type="http://schemas.openxmlformats.org/officeDocument/2006/relationships/hyperlink" Target="https://advance.lexis.com/api/document?collection=cases-ca&amp;id=urn:contentItem:5F7T-S751-JCJ5-249J-00000-00&amp;context=" TargetMode="External" /><Relationship Id="rId75" Type="http://schemas.openxmlformats.org/officeDocument/2006/relationships/footer" Target="footer9.xml" /><Relationship Id="rId750" Type="http://schemas.openxmlformats.org/officeDocument/2006/relationships/hyperlink" Target="https://advance.lexis.com/api/document?collection=cases-ca&amp;id=urn:contentItem:5F7T-S7J1-DXWW-24T4-00000-00&amp;context=" TargetMode="External" /><Relationship Id="rId751" Type="http://schemas.openxmlformats.org/officeDocument/2006/relationships/hyperlink" Target="https://advance.lexis.com/api/document?collection=cases-ca&amp;id=urn:contentItem:5F7T-S7H1-JFSV-G2RF-00000-00&amp;context=" TargetMode="External" /><Relationship Id="rId752" Type="http://schemas.openxmlformats.org/officeDocument/2006/relationships/hyperlink" Target="https://advance.lexis.com/api/document?collection=cases-ca&amp;id=urn:contentItem:5F7T-S721-F57G-S15M-00000-00&amp;context=" TargetMode="External" /><Relationship Id="rId753" Type="http://schemas.openxmlformats.org/officeDocument/2006/relationships/hyperlink" Target="https://advance.lexis.com/api/document?collection=cases-ca&amp;id=urn:contentItem:5F7T-S7C1-FCSB-S23K-00000-00&amp;context=" TargetMode="External" /><Relationship Id="rId754" Type="http://schemas.openxmlformats.org/officeDocument/2006/relationships/hyperlink" Target="https://advance.lexis.com/api/document?collection=cases-ca&amp;id=urn:contentItem:5F7T-S7F1-DXWW-2473-00000-00&amp;context=" TargetMode="External" /><Relationship Id="rId755" Type="http://schemas.openxmlformats.org/officeDocument/2006/relationships/hyperlink" Target="https://advance.lexis.com/api/document?collection=cases-ca&amp;id=urn:contentItem:5F7T-S7C1-F4NT-X33F-00000-00&amp;context=" TargetMode="External" /><Relationship Id="rId756" Type="http://schemas.openxmlformats.org/officeDocument/2006/relationships/hyperlink" Target="https://advance.lexis.com/api/document?collection=cases-ca&amp;id=urn:contentItem:5F7T-S781-FH4C-X2TW-00000-00&amp;context=" TargetMode="External" /><Relationship Id="rId757" Type="http://schemas.openxmlformats.org/officeDocument/2006/relationships/hyperlink" Target="https://advance.lexis.com/api/document?collection=cases-ca&amp;id=urn:contentItem:5F7T-S791-FJTD-G313-00000-00&amp;context=" TargetMode="External" /><Relationship Id="rId758" Type="http://schemas.openxmlformats.org/officeDocument/2006/relationships/hyperlink" Target="https://advance.lexis.com/api/document?collection=cases-ca&amp;id=urn:contentItem:5F7T-S7F1-JBT7-X2R9-00000-00&amp;context=" TargetMode="External" /><Relationship Id="rId759" Type="http://schemas.openxmlformats.org/officeDocument/2006/relationships/hyperlink" Target="https://advance.lexis.com/api/document?collection=cases-ca&amp;id=urn:contentItem:5F7T-S7D1-DY89-M3Y2-00000-00&amp;context=" TargetMode="External" /><Relationship Id="rId76" Type="http://schemas.openxmlformats.org/officeDocument/2006/relationships/hyperlink" Target="https://advance.lexis.com/api/document?collection=cases-ca&amp;id=urn:contentItem:5F7T-S7D1-JG02-S2T7-00000-00&amp;context=" TargetMode="External" /><Relationship Id="rId760" Type="http://schemas.openxmlformats.org/officeDocument/2006/relationships/hyperlink" Target="https://advance.lexis.com/api/document?collection=cases-ca&amp;id=urn:contentItem:5F7T-S7H1-F016-S3R1-00000-00&amp;context=" TargetMode="External" /><Relationship Id="rId761" Type="http://schemas.openxmlformats.org/officeDocument/2006/relationships/hyperlink" Target="https://advance.lexis.com/api/document?collection=cases-ca&amp;id=urn:contentItem:5F7T-S7F1-F7VM-S43Y-00000-00&amp;context=" TargetMode="External" /><Relationship Id="rId762" Type="http://schemas.openxmlformats.org/officeDocument/2006/relationships/hyperlink" Target="https://advance.lexis.com/api/document?collection=cases-ca&amp;id=urn:contentItem:5F7T-S781-DYMS-61D4-00000-00&amp;context=" TargetMode="External" /><Relationship Id="rId763" Type="http://schemas.openxmlformats.org/officeDocument/2006/relationships/hyperlink" Target="https://advance.lexis.com/api/document?collection=cases-ca&amp;id=urn:contentItem:5F7T-S7K1-JNY7-X4K3-00000-00&amp;context=" TargetMode="External" /><Relationship Id="rId764" Type="http://schemas.openxmlformats.org/officeDocument/2006/relationships/hyperlink" Target="https://advance.lexis.com/api/document?collection=cases-ca&amp;id=urn:contentItem:5F7T-S7G1-JN6B-S1F9-00000-00&amp;context=" TargetMode="External" /><Relationship Id="rId765" Type="http://schemas.openxmlformats.org/officeDocument/2006/relationships/hyperlink" Target="https://advance.lexis.com/api/document?collection=cases-ca&amp;id=urn:contentItem:5F7T-S771-JTGH-B1JR-00000-00&amp;context=" TargetMode="External" /><Relationship Id="rId766" Type="http://schemas.openxmlformats.org/officeDocument/2006/relationships/hyperlink" Target="https://advance.lexis.com/api/document?collection=cases-ca&amp;id=urn:contentItem:5F7T-S761-JS5Y-B1WK-00000-00&amp;context=" TargetMode="External" /><Relationship Id="rId767" Type="http://schemas.openxmlformats.org/officeDocument/2006/relationships/hyperlink" Target="https://advance.lexis.com/api/document?collection=cases-ca&amp;id=urn:contentItem:5F7T-S751-JG02-S227-00000-00&amp;context=" TargetMode="External" /><Relationship Id="rId768" Type="http://schemas.openxmlformats.org/officeDocument/2006/relationships/hyperlink" Target="https://advance.lexis.com/api/document?collection=cases-ca&amp;id=urn:contentItem:5F7T-S7M1-JPP5-22RG-00000-00&amp;context=" TargetMode="External" /><Relationship Id="rId769" Type="http://schemas.openxmlformats.org/officeDocument/2006/relationships/hyperlink" Target="https://advance.lexis.com/api/document?collection=cases-ca&amp;id=urn:contentItem:5F7T-S7K1-DY33-B1GH-00000-00&amp;context=" TargetMode="External" /><Relationship Id="rId77" Type="http://schemas.openxmlformats.org/officeDocument/2006/relationships/hyperlink" Target="https://advance.lexis.com/api/document?collection=cases-ca&amp;id=urn:contentItem:5F7T-S6Y1-F4GK-M211-00000-00&amp;context=" TargetMode="External" /><Relationship Id="rId770" Type="http://schemas.openxmlformats.org/officeDocument/2006/relationships/hyperlink" Target="https://advance.lexis.com/api/document?collection=cases-ca&amp;id=urn:contentItem:5F7T-S7M1-F4W2-62JS-00000-00&amp;context=" TargetMode="External" /><Relationship Id="rId771" Type="http://schemas.openxmlformats.org/officeDocument/2006/relationships/hyperlink" Target="https://advance.lexis.com/api/document?collection=cases-ca&amp;id=urn:contentItem:5F7T-S7M1-JJK6-S1X4-00000-00&amp;context=" TargetMode="External" /><Relationship Id="rId772" Type="http://schemas.openxmlformats.org/officeDocument/2006/relationships/hyperlink" Target="https://advance.lexis.com/api/document?collection=cases-ca&amp;id=urn:contentItem:5F7T-S7K1-JWXF-20SM-00000-00&amp;context=" TargetMode="External" /><Relationship Id="rId773" Type="http://schemas.openxmlformats.org/officeDocument/2006/relationships/hyperlink" Target="https://advance.lexis.com/api/document?collection=cases-ca&amp;id=urn:contentItem:5F7T-S7K1-JSJC-X100-00000-00&amp;context=" TargetMode="External" /><Relationship Id="rId774" Type="http://schemas.openxmlformats.org/officeDocument/2006/relationships/hyperlink" Target="https://advance.lexis.com/api/document?collection=cases-ca&amp;id=urn:contentItem:5F7T-S7C1-FCSB-S28Y-00000-00&amp;context=" TargetMode="External" /><Relationship Id="rId775" Type="http://schemas.openxmlformats.org/officeDocument/2006/relationships/hyperlink" Target="https://advance.lexis.com/api/document?collection=cases-ca&amp;id=urn:contentItem:5F7T-S771-F81W-22F8-00000-00&amp;context=" TargetMode="External" /><Relationship Id="rId776" Type="http://schemas.openxmlformats.org/officeDocument/2006/relationships/hyperlink" Target="https://advance.lexis.com/api/document?collection=cases-ca&amp;id=urn:contentItem:5F7T-S7M1-JNCK-22D3-00000-00&amp;context=" TargetMode="External" /><Relationship Id="rId777" Type="http://schemas.openxmlformats.org/officeDocument/2006/relationships/hyperlink" Target="https://advance.lexis.com/api/document?collection=cases-ca&amp;id=urn:contentItem:5F82-1SJ1-JBDT-B4N6-00000-00&amp;context=" TargetMode="External" /><Relationship Id="rId778" Type="http://schemas.openxmlformats.org/officeDocument/2006/relationships/hyperlink" Target="https://advance.lexis.com/api/document?collection=cases-ca&amp;id=urn:contentItem:5F7T-S761-FFMK-M0XP-00000-00&amp;context=" TargetMode="External" /><Relationship Id="rId779" Type="http://schemas.openxmlformats.org/officeDocument/2006/relationships/hyperlink" Target="https://advance.lexis.com/api/document?collection=cases-ca&amp;id=urn:contentItem:5F7T-S751-JP4G-61DH-00000-00&amp;context=" TargetMode="External" /><Relationship Id="rId78" Type="http://schemas.openxmlformats.org/officeDocument/2006/relationships/hyperlink" Target="https://advance.lexis.com/api/document?collection=cases-ca&amp;id=urn:contentItem:5F7T-S711-F27X-60DS-00000-00&amp;context=" TargetMode="External" /><Relationship Id="rId780" Type="http://schemas.openxmlformats.org/officeDocument/2006/relationships/hyperlink" Target="https://advance.lexis.com/api/document?collection=cases-ca&amp;id=urn:contentItem:5F7T-S7J1-DXWW-254D-00000-00&amp;context=" TargetMode="External" /><Relationship Id="rId781" Type="http://schemas.openxmlformats.org/officeDocument/2006/relationships/hyperlink" Target="https://advance.lexis.com/api/document?collection=cases-ca&amp;id=urn:contentItem:5F7T-S7H1-F016-S438-00000-00&amp;context=" TargetMode="External" /><Relationship Id="rId782" Type="http://schemas.openxmlformats.org/officeDocument/2006/relationships/hyperlink" Target="https://advance.lexis.com/api/document?collection=cases-ca&amp;id=urn:contentItem:5F7T-S7M1-JCRC-B1J7-00000-00&amp;context=" TargetMode="External" /><Relationship Id="rId783" Type="http://schemas.openxmlformats.org/officeDocument/2006/relationships/hyperlink" Target="https://advance.lexis.com/api/document?collection=cases-ca&amp;id=urn:contentItem:5F82-1SJ1-K0BB-S2TH-00000-00&amp;context=" TargetMode="External" /><Relationship Id="rId784" Type="http://schemas.openxmlformats.org/officeDocument/2006/relationships/hyperlink" Target="https://advance.lexis.com/api/document?collection=cases-ca&amp;id=urn:contentItem:5F7T-S7K1-JNY7-X49F-00000-00&amp;context=" TargetMode="External" /><Relationship Id="rId785" Type="http://schemas.openxmlformats.org/officeDocument/2006/relationships/hyperlink" Target="https://advance.lexis.com/api/document?collection=cases-ca&amp;id=urn:contentItem:5F7T-S7K1-JX3N-B315-00000-00&amp;context=" TargetMode="External" /><Relationship Id="rId786" Type="http://schemas.openxmlformats.org/officeDocument/2006/relationships/hyperlink" Target="https://advance.lexis.com/api/document?collection=cases-ca&amp;id=urn:contentItem:5F7T-S7M1-F4W2-62B4-00000-00&amp;context=" TargetMode="External" /><Relationship Id="rId787" Type="http://schemas.openxmlformats.org/officeDocument/2006/relationships/hyperlink" Target="https://advance.lexis.com/api/document?collection=cases-ca&amp;id=urn:contentItem:5F7T-S7G1-JBT7-X3X7-00000-00&amp;context=" TargetMode="External" /><Relationship Id="rId788" Type="http://schemas.openxmlformats.org/officeDocument/2006/relationships/hyperlink" Target="https://advance.lexis.com/api/document?collection=cases-ca&amp;id=urn:contentItem:5F7T-S711-FJDY-X3DP-00000-00&amp;context=" TargetMode="External" /><Relationship Id="rId789" Type="http://schemas.openxmlformats.org/officeDocument/2006/relationships/hyperlink" Target="https://advance.lexis.com/api/document?collection=cases-ca&amp;id=urn:contentItem:5F7T-S781-F7G6-63BD-00000-00&amp;context=" TargetMode="External" /><Relationship Id="rId79" Type="http://schemas.openxmlformats.org/officeDocument/2006/relationships/hyperlink" Target="https://advance.lexis.com/api/document?collection=cases-ca&amp;id=urn:contentItem:5F8T-N3T1-JFKM-652N-00000-00&amp;context=" TargetMode="External" /><Relationship Id="rId790" Type="http://schemas.openxmlformats.org/officeDocument/2006/relationships/hyperlink" Target="https://advance.lexis.com/api/document?collection=cases-ca&amp;id=urn:contentItem:5F7T-S781-F7G6-63DG-00000-00&amp;context=" TargetMode="External" /><Relationship Id="rId791" Type="http://schemas.openxmlformats.org/officeDocument/2006/relationships/hyperlink" Target="https://advance.lexis.com/api/document?collection=cases-ca&amp;id=urn:contentItem:5F7T-S781-F7G6-63BX-00000-00&amp;context=" TargetMode="External" /><Relationship Id="rId792" Type="http://schemas.openxmlformats.org/officeDocument/2006/relationships/hyperlink" Target="https://advance.lexis.com/api/document?collection=cases-ca&amp;id=urn:contentItem:5F7T-S7K1-F1H1-223T-00000-00&amp;context=" TargetMode="External" /><Relationship Id="rId793" Type="http://schemas.openxmlformats.org/officeDocument/2006/relationships/hyperlink" Target="https://advance.lexis.com/api/document?collection=cases-ca&amp;id=urn:contentItem:5F7T-S721-FG12-61KR-00000-00&amp;context=" TargetMode="External" /><Relationship Id="rId794" Type="http://schemas.openxmlformats.org/officeDocument/2006/relationships/hyperlink" Target="https://advance.lexis.com/api/document?collection=cases-ca&amp;id=urn:contentItem:5F7T-S7K1-F528-G343-00000-00&amp;context=" TargetMode="External" /><Relationship Id="rId795" Type="http://schemas.openxmlformats.org/officeDocument/2006/relationships/hyperlink" Target="https://advance.lexis.com/api/document?collection=cases-ca&amp;id=urn:contentItem:5F8P-SF61-JP4G-62V0-00000-00&amp;context=" TargetMode="External" /><Relationship Id="rId796" Type="http://schemas.openxmlformats.org/officeDocument/2006/relationships/hyperlink" Target="https://advance.lexis.com/api/document?collection=cases-ca&amp;id=urn:contentItem:5F8P-SDF1-F81W-20MJ-00000-00&amp;context=" TargetMode="External" /><Relationship Id="rId797" Type="http://schemas.openxmlformats.org/officeDocument/2006/relationships/hyperlink" Target="https://advance.lexis.com/api/document?collection=cases-ca&amp;id=urn:contentItem:5F7T-S731-F1WF-M226-00000-00&amp;context=" TargetMode="External" /><Relationship Id="rId798" Type="http://schemas.openxmlformats.org/officeDocument/2006/relationships/hyperlink" Target="https://advance.lexis.com/api/document?collection=cases-ca&amp;id=urn:contentItem:5F8P-SD51-JS0R-24VC-00000-00&amp;context=" TargetMode="External" /><Relationship Id="rId799" Type="http://schemas.openxmlformats.org/officeDocument/2006/relationships/hyperlink" Target="https://advance.lexis.com/api/document?collection=cases-ca&amp;id=urn:contentItem:5F8P-SCW1-FCSB-S1D7-00000-00&amp;context=" TargetMode="External" /><Relationship Id="rId8" Type="http://schemas.openxmlformats.org/officeDocument/2006/relationships/header" Target="header3.xml" /><Relationship Id="rId80" Type="http://schemas.openxmlformats.org/officeDocument/2006/relationships/hyperlink" Target="https://advance.lexis.com/api/document?collection=cases-ca&amp;id=urn:contentItem:5F7T-S751-JCJ5-2498-00000-00&amp;context=" TargetMode="External" /><Relationship Id="rId800" Type="http://schemas.openxmlformats.org/officeDocument/2006/relationships/hyperlink" Target="https://advance.lexis.com/api/document?collection=cases-ca&amp;id=urn:contentItem:5F7T-S771-JW5H-X1KP-00000-00&amp;context=" TargetMode="External" /><Relationship Id="rId801" Type="http://schemas.openxmlformats.org/officeDocument/2006/relationships/hyperlink" Target="https://advance.lexis.com/api/document?collection=cases-ca&amp;id=urn:contentItem:5F16-9321-JW09-M081-00000-00&amp;context=" TargetMode="External" /><Relationship Id="rId802" Type="http://schemas.openxmlformats.org/officeDocument/2006/relationships/header" Target="header127.xml" /><Relationship Id="rId803" Type="http://schemas.openxmlformats.org/officeDocument/2006/relationships/header" Target="header128.xml" /><Relationship Id="rId804" Type="http://schemas.openxmlformats.org/officeDocument/2006/relationships/footer" Target="footer127.xml" /><Relationship Id="rId805" Type="http://schemas.openxmlformats.org/officeDocument/2006/relationships/footer" Target="footer128.xml" /><Relationship Id="rId806" Type="http://schemas.openxmlformats.org/officeDocument/2006/relationships/header" Target="header129.xml" /><Relationship Id="rId807" Type="http://schemas.openxmlformats.org/officeDocument/2006/relationships/footer" Target="footer129.xml" /><Relationship Id="rId808" Type="http://schemas.openxmlformats.org/officeDocument/2006/relationships/hyperlink" Target="https://advance.lexis.com/api/document?collection=cases-ca&amp;id=urn:contentItem:5GCC-XVC1-F900-G4T1-00000-00&amp;context=" TargetMode="External" /><Relationship Id="rId809" Type="http://schemas.openxmlformats.org/officeDocument/2006/relationships/hyperlink" Target="https://advance.lexis.com/api/document?collection=cases-ca&amp;id=urn:contentItem:5F7T-S7M1-JCRC-B1KG-00000-00&amp;context=" TargetMode="External" /><Relationship Id="rId81" Type="http://schemas.openxmlformats.org/officeDocument/2006/relationships/hyperlink" Target="https://advance.lexis.com/api/document?collection=cases-ca&amp;id=urn:contentItem:5F7T-S7C1-JXG3-X047-00000-00&amp;context=" TargetMode="External" /><Relationship Id="rId810" Type="http://schemas.openxmlformats.org/officeDocument/2006/relationships/hyperlink" Target="https://advance.lexis.com/api/document?collection=cases-ca&amp;id=urn:contentItem:5F8N-K751-F016-S4TD-00000-00&amp;context=" TargetMode="External" /><Relationship Id="rId811" Type="http://schemas.openxmlformats.org/officeDocument/2006/relationships/hyperlink" Target="https://advance.lexis.com/api/document?collection=cases-ca&amp;id=urn:contentItem:5F7T-S7P1-JNJT-B2P3-00000-00&amp;context=" TargetMode="External" /><Relationship Id="rId812" Type="http://schemas.openxmlformats.org/officeDocument/2006/relationships/hyperlink" Target="https://advance.lexis.com/api/document?collection=cases-ca&amp;id=urn:contentItem:5F8T-N3V1-FC1F-M4G5-00000-00&amp;context=" TargetMode="External" /><Relationship Id="rId813" Type="http://schemas.openxmlformats.org/officeDocument/2006/relationships/hyperlink" Target="https://advance.lexis.com/api/document?collection=cases-ca&amp;id=urn:contentItem:5F81-VJY1-FBN1-22YR-00000-00&amp;context=" TargetMode="External" /><Relationship Id="rId814" Type="http://schemas.openxmlformats.org/officeDocument/2006/relationships/hyperlink" Target="https://advance.lexis.com/api/document?collection=cases-ca&amp;id=urn:contentItem:5F82-1SJ1-JWXF-2203-00000-00&amp;context=" TargetMode="External" /><Relationship Id="rId815" Type="http://schemas.openxmlformats.org/officeDocument/2006/relationships/hyperlink" Target="https://advance.lexis.com/api/document?collection=cases-ca&amp;id=urn:contentItem:5F7T-S741-DXPM-S18W-00000-00&amp;context=" TargetMode="External" /><Relationship Id="rId816" Type="http://schemas.openxmlformats.org/officeDocument/2006/relationships/hyperlink" Target="https://advance.lexis.com/api/document?collection=cases-ca&amp;id=urn:contentItem:5F8P-SDY1-F30T-B09B-00000-00&amp;context=" TargetMode="External" /><Relationship Id="rId817" Type="http://schemas.openxmlformats.org/officeDocument/2006/relationships/hyperlink" Target="https://advance.lexis.com/api/document?collection=cases-ca&amp;id=urn:contentItem:5F8P-SF11-F8SS-63K5-00000-00&amp;context=" TargetMode="External" /><Relationship Id="rId818" Type="http://schemas.openxmlformats.org/officeDocument/2006/relationships/hyperlink" Target="https://advance.lexis.com/api/document?collection=cases-ca&amp;id=urn:contentItem:5F82-1SJ1-K0BB-S2KW-00000-00&amp;context=" TargetMode="External" /><Relationship Id="rId819" Type="http://schemas.openxmlformats.org/officeDocument/2006/relationships/hyperlink" Target="https://advance.lexis.com/api/document?collection=cases-ca&amp;id=urn:contentItem:5F7T-S7K1-JNY7-X4GK-00000-00&amp;context=" TargetMode="External" /><Relationship Id="rId82" Type="http://schemas.openxmlformats.org/officeDocument/2006/relationships/hyperlink" Target="https://advance.lexis.com/api/document?collection=cases-ca&amp;id=urn:contentItem:5F7T-S741-F1H1-21W1-00000-00&amp;context=" TargetMode="External" /><Relationship Id="rId820" Type="http://schemas.openxmlformats.org/officeDocument/2006/relationships/hyperlink" Target="https://advance.lexis.com/api/document?collection=cases-ca&amp;id=urn:contentItem:5F7T-S761-JX8W-M33W-00000-00&amp;context=" TargetMode="External" /><Relationship Id="rId821" Type="http://schemas.openxmlformats.org/officeDocument/2006/relationships/hyperlink" Target="https://advance.lexis.com/api/document?collection=cases-ca&amp;id=urn:contentItem:5F8T-N3V1-FH4C-X1YT-00000-00&amp;context=" TargetMode="External" /><Relationship Id="rId822" Type="http://schemas.openxmlformats.org/officeDocument/2006/relationships/hyperlink" Target="https://advance.lexis.com/api/document?collection=cases-ca&amp;id=urn:contentItem:5F8T-N3T1-JGHR-M20F-00000-00&amp;context=" TargetMode="External" /><Relationship Id="rId823" Type="http://schemas.openxmlformats.org/officeDocument/2006/relationships/hyperlink" Target="https://advance.lexis.com/api/document?collection=cases-ca&amp;id=urn:contentItem:5F7T-S7K1-JKHB-62SX-00000-00&amp;context=" TargetMode="External" /><Relationship Id="rId824" Type="http://schemas.openxmlformats.org/officeDocument/2006/relationships/hyperlink" Target="https://advance.lexis.com/api/document?collection=cases-ca&amp;id=urn:contentItem:5F82-1SJ1-JWXF-21W1-00000-00&amp;context=" TargetMode="External" /><Relationship Id="rId825" Type="http://schemas.openxmlformats.org/officeDocument/2006/relationships/hyperlink" Target="https://advance.lexis.com/api/document?collection=cases-ca&amp;id=urn:contentItem:5F7T-S7G1-JWR6-S1R5-00000-00&amp;context=" TargetMode="External" /><Relationship Id="rId826" Type="http://schemas.openxmlformats.org/officeDocument/2006/relationships/hyperlink" Target="https://advance.lexis.com/api/document?collection=cases-ca&amp;id=urn:contentItem:5F7T-S7F1-JFKM-61TY-00000-00&amp;context=" TargetMode="External" /><Relationship Id="rId827" Type="http://schemas.openxmlformats.org/officeDocument/2006/relationships/hyperlink" Target="https://advance.lexis.com/api/document?collection=cases-ca&amp;id=urn:contentItem:5F7T-S7M1-DYMS-626W-00000-00&amp;context=" TargetMode="External" /><Relationship Id="rId828" Type="http://schemas.openxmlformats.org/officeDocument/2006/relationships/hyperlink" Target="https://advance.lexis.com/api/document?collection=cases-ca&amp;id=urn:contentItem:5F7T-S7N1-DXWW-203J-00000-00&amp;context=" TargetMode="External" /><Relationship Id="rId829" Type="http://schemas.openxmlformats.org/officeDocument/2006/relationships/hyperlink" Target="https://advance.lexis.com/api/document?collection=cases-ca&amp;id=urn:contentItem:5F7T-S7G1-JWR6-S1R8-00000-00&amp;context=" TargetMode="External" /><Relationship Id="rId83" Type="http://schemas.openxmlformats.org/officeDocument/2006/relationships/hyperlink" Target="https://advance.lexis.com/api/document?collection=cases-ca&amp;id=urn:contentItem:5F7T-S771-JWBS-61CX-00000-00&amp;context=" TargetMode="External" /><Relationship Id="rId830" Type="http://schemas.openxmlformats.org/officeDocument/2006/relationships/hyperlink" Target="https://advance.lexis.com/api/document?collection=cases-ca&amp;id=urn:contentItem:5F7T-S7H1-JS5Y-B306-00000-00&amp;context=" TargetMode="External" /><Relationship Id="rId831" Type="http://schemas.openxmlformats.org/officeDocument/2006/relationships/hyperlink" Target="https://advance.lexis.com/api/document?collection=cases-ca&amp;id=urn:contentItem:5F7T-S7K1-F1H1-22DB-00000-00&amp;context=" TargetMode="External" /><Relationship Id="rId832" Type="http://schemas.openxmlformats.org/officeDocument/2006/relationships/hyperlink" Target="https://advance.lexis.com/api/document?collection=cases-ca&amp;id=urn:contentItem:5F7T-S7P1-JSJC-X18P-00000-00&amp;context=" TargetMode="External" /><Relationship Id="rId833" Type="http://schemas.openxmlformats.org/officeDocument/2006/relationships/header" Target="header130.xml" /><Relationship Id="rId834" Type="http://schemas.openxmlformats.org/officeDocument/2006/relationships/header" Target="header131.xml" /><Relationship Id="rId835" Type="http://schemas.openxmlformats.org/officeDocument/2006/relationships/footer" Target="footer130.xml" /><Relationship Id="rId836" Type="http://schemas.openxmlformats.org/officeDocument/2006/relationships/footer" Target="footer131.xml" /><Relationship Id="rId837" Type="http://schemas.openxmlformats.org/officeDocument/2006/relationships/header" Target="header132.xml" /><Relationship Id="rId838" Type="http://schemas.openxmlformats.org/officeDocument/2006/relationships/footer" Target="footer132.xml" /><Relationship Id="rId839" Type="http://schemas.openxmlformats.org/officeDocument/2006/relationships/hyperlink" Target="https://advance.lexis.com/api/document?collection=cases-ca&amp;id=urn:contentItem:5F7T-S7P1-JSJC-X1BG-00000-00&amp;context=" TargetMode="External" /><Relationship Id="rId84" Type="http://schemas.openxmlformats.org/officeDocument/2006/relationships/hyperlink" Target="https://advance.lexis.com/api/document?collection=cases-ca&amp;id=urn:contentItem:5F8T-N3V1-FC1F-M45W-00000-00&amp;context=" TargetMode="External" /><Relationship Id="rId840" Type="http://schemas.openxmlformats.org/officeDocument/2006/relationships/hyperlink" Target="https://advance.lexis.com/api/document?collection=cases-ca&amp;id=urn:contentItem:5K6X-WKJ1-JSC5-M15R-00000-00&amp;context=" TargetMode="External" /><Relationship Id="rId841" Type="http://schemas.openxmlformats.org/officeDocument/2006/relationships/hyperlink" Target="https://advance.lexis.com/api/document?collection=legislation-ca&amp;id=urn:contentItem:5W2C-X5H1-FCYK-200Y-00000-00&amp;context=" TargetMode="External" /><Relationship Id="rId842" Type="http://schemas.openxmlformats.org/officeDocument/2006/relationships/hyperlink" Target="https://advance.lexis.com/api/document?collection=legislation-ca&amp;id=urn:contentItem:5F41-1FM1-JG02-S09R-00000-00&amp;context=" TargetMode="External" /><Relationship Id="rId843" Type="http://schemas.openxmlformats.org/officeDocument/2006/relationships/hyperlink" Target="https://advance.lexis.com/api/document?collection=legislation-ca&amp;id=urn:contentItem:5F41-1FM1-JG02-S0B3-00000-00&amp;context=" TargetMode="External" /><Relationship Id="rId844" Type="http://schemas.openxmlformats.org/officeDocument/2006/relationships/hyperlink" Target="https://advance.lexis.com/api/document?collection=cases-ca&amp;id=urn:contentItem:5F8T-N3V1-JTGH-B1DV-00000-00&amp;context=" TargetMode="External" /><Relationship Id="rId845" Type="http://schemas.openxmlformats.org/officeDocument/2006/relationships/hyperlink" Target="https://advance.lexis.com/api/document?collection=cases-ca&amp;id=urn:contentItem:5F81-VJY1-F016-S284-00000-00&amp;context=" TargetMode="External" /><Relationship Id="rId846" Type="http://schemas.openxmlformats.org/officeDocument/2006/relationships/hyperlink" Target="https://advance.lexis.com/api/document?collection=cases-ca&amp;id=urn:contentItem:5F8T-N3V1-FC1F-M4GK-00000-00&amp;context=" TargetMode="External" /><Relationship Id="rId847" Type="http://schemas.openxmlformats.org/officeDocument/2006/relationships/hyperlink" Target="https://advance.lexis.com/api/document?collection=cases-ca&amp;id=urn:contentItem:5F8T-N3V1-FC1F-M4D5-00000-00&amp;context=" TargetMode="External" /><Relationship Id="rId848" Type="http://schemas.openxmlformats.org/officeDocument/2006/relationships/hyperlink" Target="https://advance.lexis.com/api/document?collection=cases-ca&amp;id=urn:contentItem:5F7T-S7K1-DY33-B1VF-00000-00&amp;context=" TargetMode="External" /><Relationship Id="rId849" Type="http://schemas.openxmlformats.org/officeDocument/2006/relationships/hyperlink" Target="https://advance.lexis.com/api/document?collection=cases-ca&amp;id=urn:contentItem:5F7T-S7M1-DYMS-62D4-00000-00&amp;context=" TargetMode="External" /><Relationship Id="rId85" Type="http://schemas.openxmlformats.org/officeDocument/2006/relationships/hyperlink" Target="https://advance.lexis.com/api/document?collection=cases-ca&amp;id=urn:contentItem:5F16-9351-F2MB-S0CX-00000-00&amp;context=" TargetMode="External" /><Relationship Id="rId850" Type="http://schemas.openxmlformats.org/officeDocument/2006/relationships/hyperlink" Target="https://advance.lexis.com/api/document?collection=cases-ca&amp;id=urn:contentItem:5F7T-S7N1-DXWW-2037-00000-00&amp;context=" TargetMode="External" /><Relationship Id="rId851" Type="http://schemas.openxmlformats.org/officeDocument/2006/relationships/hyperlink" Target="https://advance.lexis.com/api/document?collection=cases-ca&amp;id=urn:contentItem:5F7T-S7N1-JW09-M16J-00000-00&amp;context=" TargetMode="External" /><Relationship Id="rId852" Type="http://schemas.openxmlformats.org/officeDocument/2006/relationships/hyperlink" Target="https://advance.lexis.com/api/document?collection=cases-ca&amp;id=urn:contentItem:5F8W-V3S1-F1WF-M3N6-00000-00&amp;context=" TargetMode="External" /><Relationship Id="rId853" Type="http://schemas.openxmlformats.org/officeDocument/2006/relationships/hyperlink" Target="https://advance.lexis.com/api/document?collection=cases-ca&amp;id=urn:contentItem:5F7T-S7C1-F7VM-S370-00000-00&amp;context=" TargetMode="External" /><Relationship Id="rId854" Type="http://schemas.openxmlformats.org/officeDocument/2006/relationships/hyperlink" Target="https://advance.lexis.com/api/document?collection=cases-ca&amp;id=urn:contentItem:5F8T-N3V1-JF75-M3NY-00000-00&amp;context=" TargetMode="External" /><Relationship Id="rId855" Type="http://schemas.openxmlformats.org/officeDocument/2006/relationships/hyperlink" Target="https://advance.lexis.com/api/document?collection=cases-ca&amp;id=urn:contentItem:5F8T-N3T1-JGHR-M29F-00000-00&amp;context=" TargetMode="External" /><Relationship Id="rId856" Type="http://schemas.openxmlformats.org/officeDocument/2006/relationships/hyperlink" Target="https://advance.lexis.com/api/document?collection=cases-ca&amp;id=urn:contentItem:5F8T-N3T1-JJSF-23CF-00000-00&amp;context=" TargetMode="External" /><Relationship Id="rId857" Type="http://schemas.openxmlformats.org/officeDocument/2006/relationships/hyperlink" Target="https://advance.lexis.com/api/document?collection=cases-ca&amp;id=urn:contentItem:5F8T-N3V1-JF75-M3GD-00000-00&amp;context=" TargetMode="External" /><Relationship Id="rId858" Type="http://schemas.openxmlformats.org/officeDocument/2006/relationships/hyperlink" Target="https://advance.lexis.com/api/document?collection=cases-ca&amp;id=urn:contentItem:5F8T-N3V1-FC1F-M49Y-00000-00&amp;context=" TargetMode="External" /><Relationship Id="rId859" Type="http://schemas.openxmlformats.org/officeDocument/2006/relationships/hyperlink" Target="https://advance.lexis.com/api/document?collection=cases-ca&amp;id=urn:contentItem:5F7T-S7M1-DYMS-624B-00000-00&amp;context=" TargetMode="External" /><Relationship Id="rId86" Type="http://schemas.openxmlformats.org/officeDocument/2006/relationships/hyperlink" Target="https://advance.lexis.com/api/document?collection=cases-ca&amp;id=urn:contentItem:5F7T-S761-JX8W-M2NN-00000-00&amp;context=" TargetMode="External" /><Relationship Id="rId860" Type="http://schemas.openxmlformats.org/officeDocument/2006/relationships/hyperlink" Target="https://advance.lexis.com/api/document?collection=cases-ca&amp;id=urn:contentItem:5F7T-S7P1-JCRC-B29T-00000-00&amp;context=" TargetMode="External" /><Relationship Id="rId861" Type="http://schemas.openxmlformats.org/officeDocument/2006/relationships/hyperlink" Target="https://advance.lexis.com/api/document?collection=cases-ca&amp;id=urn:contentItem:5F7T-S7F1-JK4W-M1R0-00000-00&amp;context=" TargetMode="External" /><Relationship Id="rId862" Type="http://schemas.openxmlformats.org/officeDocument/2006/relationships/hyperlink" Target="https://advance.lexis.com/api/document?collection=cases-ca&amp;id=urn:contentItem:5F7T-S7C1-F4NT-X32J-00000-00&amp;context=" TargetMode="External" /><Relationship Id="rId863" Type="http://schemas.openxmlformats.org/officeDocument/2006/relationships/hyperlink" Target="https://advance.lexis.com/api/document?collection=cases-ca&amp;id=urn:contentItem:5F7T-S7B1-JSRM-60KF-00000-00&amp;context=" TargetMode="External" /><Relationship Id="rId864" Type="http://schemas.openxmlformats.org/officeDocument/2006/relationships/hyperlink" Target="https://advance.lexis.com/api/document?collection=cases-ca&amp;id=urn:contentItem:5F8T-N3V1-JTGH-B195-00000-00&amp;context=" TargetMode="External" /><Relationship Id="rId865" Type="http://schemas.openxmlformats.org/officeDocument/2006/relationships/hyperlink" Target="https://advance.lexis.com/api/document?collection=cases-ca&amp;id=urn:contentItem:5F7T-S7P1-F2TK-23BS-00000-00&amp;context=" TargetMode="External" /><Relationship Id="rId866" Type="http://schemas.openxmlformats.org/officeDocument/2006/relationships/hyperlink" Target="https://advance.lexis.com/api/document?collection=cases-ca&amp;id=urn:contentItem:5F8T-N3V1-FC1F-M4BH-00000-00&amp;context=" TargetMode="External" /><Relationship Id="rId867" Type="http://schemas.openxmlformats.org/officeDocument/2006/relationships/hyperlink" Target="https://advance.lexis.com/api/document?collection=cases-ca&amp;id=urn:contentItem:5F8W-M4G1-F5T5-M3CF-00000-00&amp;context=" TargetMode="External" /><Relationship Id="rId868" Type="http://schemas.openxmlformats.org/officeDocument/2006/relationships/hyperlink" Target="https://advance.lexis.com/api/document?collection=cases-ca&amp;id=urn:contentItem:5F81-VJY1-JPGX-S4WT-00000-00&amp;context=" TargetMode="External" /><Relationship Id="rId869" Type="http://schemas.openxmlformats.org/officeDocument/2006/relationships/hyperlink" Target="https://advance.lexis.com/api/document?collection=cases-ca&amp;id=urn:contentItem:5F8T-N3V1-JTGH-B0YC-00000-00&amp;context=" TargetMode="External" /><Relationship Id="rId87" Type="http://schemas.openxmlformats.org/officeDocument/2006/relationships/hyperlink" Target="https://advance.lexis.com/api/document?collection=cases-ca&amp;id=urn:contentItem:5F8T-N3R1-JNS1-M0YX-00000-00&amp;context=" TargetMode="External" /><Relationship Id="rId870" Type="http://schemas.openxmlformats.org/officeDocument/2006/relationships/hyperlink" Target="https://advance.lexis.com/api/document?collection=cases-ca&amp;id=urn:contentItem:5F8T-N3V1-FH4C-X1WT-00000-00&amp;context=" TargetMode="External" /><Relationship Id="rId871" Type="http://schemas.openxmlformats.org/officeDocument/2006/relationships/hyperlink" Target="https://advance.lexis.com/api/document?collection=cases-ca&amp;id=urn:contentItem:5F8T-N3V1-JTGH-B11S-00000-00&amp;context=" TargetMode="External" /><Relationship Id="rId872" Type="http://schemas.openxmlformats.org/officeDocument/2006/relationships/hyperlink" Target="https://advance.lexis.com/api/document?collection=cases-ca&amp;id=urn:contentItem:5F8T-N3V1-JTGH-B1BC-00000-00&amp;context=" TargetMode="External" /><Relationship Id="rId873" Type="http://schemas.openxmlformats.org/officeDocument/2006/relationships/hyperlink" Target="https://advance.lexis.com/api/document?collection=cases-ca&amp;id=urn:contentItem:5F8T-N3V1-FC1F-M49F-00000-00&amp;context=" TargetMode="External" /><Relationship Id="rId874" Type="http://schemas.openxmlformats.org/officeDocument/2006/relationships/hyperlink" Target="https://advance.lexis.com/api/document?collection=cases-ca&amp;id=urn:contentItem:5F8T-N3V1-JF75-M3N3-00000-00&amp;context=" TargetMode="External" /><Relationship Id="rId875" Type="http://schemas.openxmlformats.org/officeDocument/2006/relationships/hyperlink" Target="https://advance.lexis.com/api/document?collection=cases-ca&amp;id=urn:contentItem:5F8T-N3V1-FC1F-M4CM-00000-00&amp;context=" TargetMode="External" /><Relationship Id="rId876" Type="http://schemas.openxmlformats.org/officeDocument/2006/relationships/hyperlink" Target="https://advance.lexis.com/api/document?collection=cases-ca&amp;id=urn:contentItem:5F8T-N3V1-JTGH-B1HX-00000-00&amp;context=" TargetMode="External" /><Relationship Id="rId877" Type="http://schemas.openxmlformats.org/officeDocument/2006/relationships/hyperlink" Target="https://advance.lexis.com/api/document?collection=legislation-ca&amp;id=urn:contentItem:5V0H-MBK1-JCRC-B38W-00000-00&amp;context=" TargetMode="External" /><Relationship Id="rId878" Type="http://schemas.openxmlformats.org/officeDocument/2006/relationships/hyperlink" Target="https://advance.lexis.com/api/document?collection=analytical-materials-ca&amp;id=urn:contentItem:5HSF-1SC1-JJSF-251C-00000-00&amp;context=" TargetMode="External" /><Relationship Id="rId879" Type="http://schemas.openxmlformats.org/officeDocument/2006/relationships/hyperlink" Target="https://advance.lexis.com/api/document?collection=cases-ca&amp;id=urn:contentItem:5F8T-N3V1-FC1F-M3Y3-00000-00&amp;context=" TargetMode="External" /><Relationship Id="rId88" Type="http://schemas.openxmlformats.org/officeDocument/2006/relationships/header" Target="header10.xml" /><Relationship Id="rId880" Type="http://schemas.openxmlformats.org/officeDocument/2006/relationships/hyperlink" Target="https://advance.lexis.com/api/document?collection=cases-ca&amp;id=urn:contentItem:5F8T-N3V1-FC1F-M46S-00000-00&amp;context=" TargetMode="External" /><Relationship Id="rId881" Type="http://schemas.openxmlformats.org/officeDocument/2006/relationships/hyperlink" Target="https://advance.lexis.com/api/document?collection=cases-ca&amp;id=urn:contentItem:5F8T-N3V1-JTGH-B1G2-00000-00&amp;context=" TargetMode="External" /><Relationship Id="rId882" Type="http://schemas.openxmlformats.org/officeDocument/2006/relationships/hyperlink" Target="https://advance.lexis.com/api/document?collection=cases-ca&amp;id=urn:contentItem:5F8T-N3V1-JTGH-B172-00000-00&amp;context=" TargetMode="External" /><Relationship Id="rId883" Type="http://schemas.openxmlformats.org/officeDocument/2006/relationships/header" Target="header133.xml" /><Relationship Id="rId884" Type="http://schemas.openxmlformats.org/officeDocument/2006/relationships/header" Target="header134.xml" /><Relationship Id="rId885" Type="http://schemas.openxmlformats.org/officeDocument/2006/relationships/footer" Target="footer133.xml" /><Relationship Id="rId886" Type="http://schemas.openxmlformats.org/officeDocument/2006/relationships/footer" Target="footer134.xml" /><Relationship Id="rId887" Type="http://schemas.openxmlformats.org/officeDocument/2006/relationships/header" Target="header135.xml" /><Relationship Id="rId888" Type="http://schemas.openxmlformats.org/officeDocument/2006/relationships/footer" Target="footer135.xml" /><Relationship Id="rId889" Type="http://schemas.openxmlformats.org/officeDocument/2006/relationships/hyperlink" Target="https://advance.lexis.com/api/document?collection=cases-ca&amp;id=urn:contentItem:5F7T-S7M1-JJK6-S1PW-00000-00&amp;context=" TargetMode="External" /><Relationship Id="rId89" Type="http://schemas.openxmlformats.org/officeDocument/2006/relationships/header" Target="header11.xml" /><Relationship Id="rId890" Type="http://schemas.openxmlformats.org/officeDocument/2006/relationships/hyperlink" Target="https://advance.lexis.com/api/document?collection=cases-ca&amp;id=urn:contentItem:5F7D-TK01-JW5H-X0K9-00000-00&amp;context=" TargetMode="External" /><Relationship Id="rId891" Type="http://schemas.openxmlformats.org/officeDocument/2006/relationships/hyperlink" Target="https://advance.lexis.com/api/document?collection=legislation-ca&amp;id=urn:contentItem:5PRM-YF51-JW09-M170-00000-00&amp;context=" TargetMode="External" /><Relationship Id="rId892" Type="http://schemas.openxmlformats.org/officeDocument/2006/relationships/hyperlink" Target="https://advance.lexis.com/api/document?collection=legislation-ca&amp;id=urn:contentItem:5F3B-B911-DXWW-2293-00000-00&amp;context=" TargetMode="External" /><Relationship Id="rId893" Type="http://schemas.openxmlformats.org/officeDocument/2006/relationships/hyperlink" Target="https://advance.lexis.com/api/document?collection=cases-ca&amp;id=urn:contentItem:5F7T-S7H1-JCRC-B18G-00000-00&amp;context=" TargetMode="External" /><Relationship Id="rId894" Type="http://schemas.openxmlformats.org/officeDocument/2006/relationships/hyperlink" Target="https://advance.lexis.com/api/document?collection=cases-ca&amp;id=urn:contentItem:5F7T-S7G1-JWR6-S1NB-00000-00&amp;context=" TargetMode="External" /><Relationship Id="rId895" Type="http://schemas.openxmlformats.org/officeDocument/2006/relationships/hyperlink" Target="https://advance.lexis.com/api/document?collection=legislation-ca&amp;id=urn:contentItem:5VYK-WB61-JJD0-G4F3-00000-00&amp;context=" TargetMode="External" /><Relationship Id="rId896" Type="http://schemas.openxmlformats.org/officeDocument/2006/relationships/hyperlink" Target="https://advance.lexis.com/api/document?collection=cases-ca&amp;id=urn:contentItem:5F8W-M4C1-JT99-20WM-00000-00&amp;context=" TargetMode="External" /><Relationship Id="rId897" Type="http://schemas.openxmlformats.org/officeDocument/2006/relationships/hyperlink" Target="https://advance.lexis.com/api/document?collection=cases-ca&amp;id=urn:contentItem:5F81-VJX1-FD4T-B309-00000-00&amp;context=" TargetMode="External" /><Relationship Id="rId898" Type="http://schemas.openxmlformats.org/officeDocument/2006/relationships/hyperlink" Target="https://advance.lexis.com/api/document?collection=cases-ca&amp;id=urn:contentItem:5F8W-M441-F900-G0P6-00000-00&amp;context=" TargetMode="External" /><Relationship Id="rId899" Type="http://schemas.openxmlformats.org/officeDocument/2006/relationships/hyperlink" Target="https://advance.lexis.com/api/document?collection=cases-ca&amp;id=urn:contentItem:5F8W-M441-JTNR-M0F6-00000-00&amp;context=" TargetMode="External" /><Relationship Id="rId9" Type="http://schemas.openxmlformats.org/officeDocument/2006/relationships/footer" Target="footer3.xml" /><Relationship Id="rId90" Type="http://schemas.openxmlformats.org/officeDocument/2006/relationships/footer" Target="footer10.xml" /><Relationship Id="rId900" Type="http://schemas.openxmlformats.org/officeDocument/2006/relationships/hyperlink" Target="https://advance.lexis.com/api/document?collection=cases-ca&amp;id=urn:contentItem:5F8W-M441-DXWW-248B-00000-00&amp;context=" TargetMode="External" /><Relationship Id="rId901" Type="http://schemas.openxmlformats.org/officeDocument/2006/relationships/hyperlink" Target="https://advance.lexis.com/api/document?collection=cases-ca&amp;id=urn:contentItem:5F81-VJX1-F5T5-M4BT-00000-00&amp;context=" TargetMode="External" /><Relationship Id="rId902" Type="http://schemas.openxmlformats.org/officeDocument/2006/relationships/hyperlink" Target="https://advance.lexis.com/api/document?collection=cases-ca&amp;id=urn:contentItem:5F8P-SCK1-JF75-M0B7-00000-00&amp;context=" TargetMode="External" /><Relationship Id="rId903" Type="http://schemas.openxmlformats.org/officeDocument/2006/relationships/hyperlink" Target="https://advance.lexis.com/api/document?collection=cases-ca&amp;id=urn:contentItem:5F7H-KW61-F7VM-S03D-00000-00&amp;context=" TargetMode="External" /><Relationship Id="rId904" Type="http://schemas.openxmlformats.org/officeDocument/2006/relationships/hyperlink" Target="https://advance.lexis.com/api/document?collection=cases-ca&amp;id=urn:contentItem:5F7T-S771-F81W-22JJ-00000-00&amp;context=" TargetMode="External" /><Relationship Id="rId905" Type="http://schemas.openxmlformats.org/officeDocument/2006/relationships/hyperlink" Target="https://advance.lexis.com/api/document?collection=cases-ca&amp;id=urn:contentItem:5F7F-5RH1-FD4T-B0FF-00000-00&amp;context=" TargetMode="External" /><Relationship Id="rId906" Type="http://schemas.openxmlformats.org/officeDocument/2006/relationships/hyperlink" Target="https://advance.lexis.com/api/document?collection=cases-ca&amp;id=urn:contentItem:5F8T-N3V1-FC1F-M48B-00000-00&amp;context=" TargetMode="External" /><Relationship Id="rId907" Type="http://schemas.openxmlformats.org/officeDocument/2006/relationships/hyperlink" Target="https://advance.lexis.com/api/document?collection=cases-ca&amp;id=urn:contentItem:5F8T-N3V1-FC1F-M42R-00000-00&amp;context=" TargetMode="External" /><Relationship Id="rId908" Type="http://schemas.openxmlformats.org/officeDocument/2006/relationships/hyperlink" Target="https://advance.lexis.com/api/document?collection=cases-ca&amp;id=urn:contentItem:5F16-9371-F5DR-23BG-00000-00&amp;context=" TargetMode="External" /><Relationship Id="rId909" Type="http://schemas.openxmlformats.org/officeDocument/2006/relationships/hyperlink" Target="https://advance.lexis.com/api/document?collection=cases-ca&amp;id=urn:contentItem:5F8W-M431-F900-G03F-00000-00&amp;context=" TargetMode="External" /><Relationship Id="rId91" Type="http://schemas.openxmlformats.org/officeDocument/2006/relationships/footer" Target="footer11.xml" /><Relationship Id="rId910" Type="http://schemas.openxmlformats.org/officeDocument/2006/relationships/hyperlink" Target="https://advance.lexis.com/api/document?collection=cases-ca&amp;id=urn:contentItem:5F7F-5RH1-FJM6-600G-00000-00&amp;context=" TargetMode="External" /><Relationship Id="rId911" Type="http://schemas.openxmlformats.org/officeDocument/2006/relationships/hyperlink" Target="https://advance.lexis.com/api/document?collection=cases-ca&amp;id=urn:contentItem:5F7F-5RG1-JC5P-G0DC-00000-00&amp;context=" TargetMode="External" /><Relationship Id="rId912" Type="http://schemas.openxmlformats.org/officeDocument/2006/relationships/hyperlink" Target="https://advance.lexis.com/api/document?collection=cases-ca&amp;id=urn:contentItem:5F8W-M401-FK0M-S4W2-00000-00&amp;context=" TargetMode="External" /><Relationship Id="rId913" Type="http://schemas.openxmlformats.org/officeDocument/2006/relationships/hyperlink" Target="https://advance.lexis.com/api/document?collection=cases-ca&amp;id=urn:contentItem:5F8W-M451-F8KH-X16Y-00000-00&amp;context=" TargetMode="External" /><Relationship Id="rId914" Type="http://schemas.openxmlformats.org/officeDocument/2006/relationships/hyperlink" Target="https://advance.lexis.com/api/document?collection=cases-ca&amp;id=urn:contentItem:5F8W-M461-JF1Y-B52K-00000-00&amp;context=" TargetMode="External" /><Relationship Id="rId915" Type="http://schemas.openxmlformats.org/officeDocument/2006/relationships/hyperlink" Target="https://advance.lexis.com/api/document?collection=cases-ca&amp;id=urn:contentItem:5F7T-S7D1-JXG3-X0WD-00000-00&amp;context=" TargetMode="External" /><Relationship Id="rId916" Type="http://schemas.openxmlformats.org/officeDocument/2006/relationships/hyperlink" Target="https://advance.lexis.com/api/document?collection=cases-ca&amp;id=urn:contentItem:5F7T-S711-JB2B-S118-00000-00&amp;context=" TargetMode="External" /><Relationship Id="rId917" Type="http://schemas.openxmlformats.org/officeDocument/2006/relationships/hyperlink" Target="https://advance.lexis.com/api/document?collection=cases-ca&amp;id=urn:contentItem:5F7T-S741-DXPM-S0XM-00000-00&amp;context=" TargetMode="External" /><Relationship Id="rId918" Type="http://schemas.openxmlformats.org/officeDocument/2006/relationships/hyperlink" Target="https://advance.lexis.com/api/document?collection=cases-ca&amp;id=urn:contentItem:5F7T-S711-JB2B-S146-00000-00&amp;context=" TargetMode="External" /><Relationship Id="rId919" Type="http://schemas.openxmlformats.org/officeDocument/2006/relationships/hyperlink" Target="https://advance.lexis.com/api/document?collection=cases-ca&amp;id=urn:contentItem:5F8T-N3T1-JGHR-M1TV-00000-00&amp;context=" TargetMode="External" /><Relationship Id="rId92" Type="http://schemas.openxmlformats.org/officeDocument/2006/relationships/header" Target="header12.xml" /><Relationship Id="rId920" Type="http://schemas.openxmlformats.org/officeDocument/2006/relationships/hyperlink" Target="https://advance.lexis.com/api/document?collection=cases-ca&amp;id=urn:contentItem:5F8T-N3T1-JJSF-236M-00000-00&amp;context=" TargetMode="External" /><Relationship Id="rId921" Type="http://schemas.openxmlformats.org/officeDocument/2006/relationships/hyperlink" Target="https://advance.lexis.com/api/document?collection=cases-ca&amp;id=urn:contentItem:5F7T-S771-JTGH-B1BD-00000-00&amp;context=" TargetMode="External" /><Relationship Id="rId922" Type="http://schemas.openxmlformats.org/officeDocument/2006/relationships/hyperlink" Target="https://advance.lexis.com/api/document?collection=cases-ca&amp;id=urn:contentItem:5F8P-SDJ1-K054-G2HB-00000-00&amp;context=" TargetMode="External" /><Relationship Id="rId923" Type="http://schemas.openxmlformats.org/officeDocument/2006/relationships/hyperlink" Target="https://advance.lexis.com/api/document?collection=cases-ca&amp;id=urn:contentItem:5F7T-S6X1-F1H1-20V0-00000-00&amp;context=" TargetMode="External" /><Relationship Id="rId924" Type="http://schemas.openxmlformats.org/officeDocument/2006/relationships/hyperlink" Target="https://advance.lexis.com/api/document?collection=cases-ca&amp;id=urn:contentItem:5F7T-S771-F361-M1CC-00000-00&amp;context=" TargetMode="External" /><Relationship Id="rId925" Type="http://schemas.openxmlformats.org/officeDocument/2006/relationships/hyperlink" Target="https://advance.lexis.com/api/document?collection=cases-ca&amp;id=urn:contentItem:5F7T-S7K1-JKHB-62S6-00000-00&amp;context=" TargetMode="External" /><Relationship Id="rId926" Type="http://schemas.openxmlformats.org/officeDocument/2006/relationships/hyperlink" Target="https://advance.lexis.com/api/document?collection=cases-ca&amp;id=urn:contentItem:5F8T-N3V1-FC1F-M3WT-00000-00&amp;context=" TargetMode="External" /><Relationship Id="rId927" Type="http://schemas.openxmlformats.org/officeDocument/2006/relationships/hyperlink" Target="https://advance.lexis.com/api/document?collection=cases-ca&amp;id=urn:contentItem:5F7T-S7F1-JX3N-B1SN-00000-00&amp;context=" TargetMode="External" /><Relationship Id="rId928" Type="http://schemas.openxmlformats.org/officeDocument/2006/relationships/hyperlink" Target="https://advance.lexis.com/api/document?collection=cases-ca&amp;id=urn:contentItem:5F7T-S7G1-FCYK-207Y-00000-00&amp;context=" TargetMode="External" /><Relationship Id="rId929" Type="http://schemas.openxmlformats.org/officeDocument/2006/relationships/hyperlink" Target="https://advance.lexis.com/api/document?collection=cases-ca&amp;id=urn:contentItem:5F81-VJY1-FBN1-22PM-00000-00&amp;context=" TargetMode="External" /><Relationship Id="rId93" Type="http://schemas.openxmlformats.org/officeDocument/2006/relationships/footer" Target="footer12.xml" /><Relationship Id="rId930" Type="http://schemas.openxmlformats.org/officeDocument/2006/relationships/hyperlink" Target="https://advance.lexis.com/api/document?collection=cases-ca&amp;id=urn:contentItem:5F8W-M491-JWBS-608K-00000-00&amp;context=" TargetMode="External" /><Relationship Id="rId931" Type="http://schemas.openxmlformats.org/officeDocument/2006/relationships/header" Target="header136.xml" /><Relationship Id="rId932" Type="http://schemas.openxmlformats.org/officeDocument/2006/relationships/header" Target="header137.xml" /><Relationship Id="rId933" Type="http://schemas.openxmlformats.org/officeDocument/2006/relationships/footer" Target="footer136.xml" /><Relationship Id="rId934" Type="http://schemas.openxmlformats.org/officeDocument/2006/relationships/footer" Target="footer137.xml" /><Relationship Id="rId935" Type="http://schemas.openxmlformats.org/officeDocument/2006/relationships/header" Target="header138.xml" /><Relationship Id="rId936" Type="http://schemas.openxmlformats.org/officeDocument/2006/relationships/footer" Target="footer138.xml" /><Relationship Id="rId937" Type="http://schemas.openxmlformats.org/officeDocument/2006/relationships/hyperlink" Target="https://advance.lexis.com/api/document?collection=cases-ca&amp;id=urn:contentItem:5K7J-N351-F2TK-20G1-00000-00&amp;context=" TargetMode="External" /><Relationship Id="rId938" Type="http://schemas.openxmlformats.org/officeDocument/2006/relationships/hyperlink" Target="https://advance.lexis.com/api/document?collection=cases-ca&amp;id=urn:contentItem:5K7J-VYX1-FJTD-G382-00000-00&amp;context=" TargetMode="External" /><Relationship Id="rId939" Type="http://schemas.openxmlformats.org/officeDocument/2006/relationships/hyperlink" Target="https://advance.lexis.com/api/document?collection=legislation-ca&amp;id=urn:contentItem:5W2C-X5M1-F7ND-G00M-00000-00&amp;context=" TargetMode="External" /><Relationship Id="rId94" Type="http://schemas.openxmlformats.org/officeDocument/2006/relationships/hyperlink" Target="https://advance.lexis.com/api/document?collection=cases-ca&amp;id=urn:contentItem:5F7T-S781-F27X-616R-00000-00&amp;context=" TargetMode="External" /><Relationship Id="rId940" Type="http://schemas.openxmlformats.org/officeDocument/2006/relationships/hyperlink" Target="https://advance.lexis.com/api/document?collection=legislation-ca&amp;id=urn:contentItem:5TBM-3RN1-FBV7-B0M1-00000-00&amp;context=" TargetMode="External" /><Relationship Id="rId941" Type="http://schemas.openxmlformats.org/officeDocument/2006/relationships/hyperlink" Target="https://advance.lexis.com/api/document?collection=legislation-ca&amp;id=urn:contentItem:5W2C-X5N1-JNCK-20M0-00000-00&amp;context=" TargetMode="External" /><Relationship Id="rId942" Type="http://schemas.openxmlformats.org/officeDocument/2006/relationships/hyperlink" Target="https://advance.lexis.com/api/document?collection=legislation-ca&amp;id=urn:contentItem:5F41-1FK1-JSJC-X1S4-00000-00&amp;context=" TargetMode="External" /><Relationship Id="rId943" Type="http://schemas.openxmlformats.org/officeDocument/2006/relationships/hyperlink" Target="https://advance.lexis.com/api/document?collection=cases-ca&amp;id=urn:contentItem:5GCD-F7W1-JGPY-X3H1-00000-00&amp;context=" TargetMode="External" /><Relationship Id="rId944" Type="http://schemas.openxmlformats.org/officeDocument/2006/relationships/hyperlink" Target="https://advance.lexis.com/api/document?collection=cases-ca&amp;id=urn:contentItem:5F7T-S7N1-JWR6-S2MY-00000-00&amp;context=" TargetMode="External" /><Relationship Id="rId945" Type="http://schemas.openxmlformats.org/officeDocument/2006/relationships/hyperlink" Target="https://advance.lexis.com/api/document?collection=cases-ca&amp;id=urn:contentItem:5F8T-N3V1-FC1F-M46D-00000-00&amp;context=" TargetMode="External" /><Relationship Id="rId946" Type="http://schemas.openxmlformats.org/officeDocument/2006/relationships/hyperlink" Target="https://advance.lexis.com/api/document?collection=cases-ca&amp;id=urn:contentItem:5F8T-N3V1-FC1F-M497-00000-00&amp;context=" TargetMode="External" /><Relationship Id="rId947" Type="http://schemas.openxmlformats.org/officeDocument/2006/relationships/hyperlink" Target="https://advance.lexis.com/api/document?collection=cases-ca&amp;id=urn:contentItem:5F8T-N3V1-FH4C-X247-00000-00&amp;context=" TargetMode="External" /><Relationship Id="rId948" Type="http://schemas.openxmlformats.org/officeDocument/2006/relationships/hyperlink" Target="https://advance.lexis.com/api/document?collection=cases-ca&amp;id=urn:contentItem:5F7T-S7D1-JS5Y-B2D4-00000-00&amp;context=" TargetMode="External" /><Relationship Id="rId949" Type="http://schemas.openxmlformats.org/officeDocument/2006/relationships/hyperlink" Target="https://advance.lexis.com/api/document?collection=cases-ca&amp;id=urn:contentItem:5F7T-S7P1-JSJC-X1CY-00000-00&amp;context=" TargetMode="External" /><Relationship Id="rId95" Type="http://schemas.openxmlformats.org/officeDocument/2006/relationships/hyperlink" Target="https://advance.lexis.com/api/document?collection=cases-ca&amp;id=urn:contentItem:5F7T-S701-JJ6S-61J5-00000-00&amp;context=" TargetMode="External" /><Relationship Id="rId950" Type="http://schemas.openxmlformats.org/officeDocument/2006/relationships/hyperlink" Target="https://advance.lexis.com/api/document?collection=cases-ca&amp;id=urn:contentItem:5F7T-S7K1-DY33-B1FT-00000-00&amp;context=" TargetMode="External" /><Relationship Id="rId951" Type="http://schemas.openxmlformats.org/officeDocument/2006/relationships/hyperlink" Target="https://advance.lexis.com/api/document?collection=cases-ca&amp;id=urn:contentItem:5F7T-S6V1-JFKM-6132-00000-00&amp;context=" TargetMode="External" /><Relationship Id="rId952" Type="http://schemas.openxmlformats.org/officeDocument/2006/relationships/hyperlink" Target="https://advance.lexis.com/api/document?collection=cases-ca&amp;id=urn:contentItem:5F7T-S7H1-F016-S3NK-00000-00&amp;context=" TargetMode="External" /><Relationship Id="rId953" Type="http://schemas.openxmlformats.org/officeDocument/2006/relationships/hyperlink" Target="https://advance.lexis.com/api/document?collection=cases-ca&amp;id=urn:contentItem:5F7T-S761-FFMK-M15W-00000-00&amp;context=" TargetMode="External" /><Relationship Id="rId954" Type="http://schemas.openxmlformats.org/officeDocument/2006/relationships/hyperlink" Target="https://advance.lexis.com/api/document?collection=cases-ca&amp;id=urn:contentItem:5F7T-S711-FJDY-X352-00000-00&amp;context=" TargetMode="External" /><Relationship Id="rId955" Type="http://schemas.openxmlformats.org/officeDocument/2006/relationships/hyperlink" Target="https://advance.lexis.com/api/document?collection=cases-ca&amp;id=urn:contentItem:5F7T-S7K1-F1H1-221P-00000-00&amp;context=" TargetMode="External" /><Relationship Id="rId956" Type="http://schemas.openxmlformats.org/officeDocument/2006/relationships/hyperlink" Target="https://advance.lexis.com/api/document?collection=cases-ca&amp;id=urn:contentItem:5F7T-S7P1-JP4G-61XK-00000-00&amp;context=" TargetMode="External" /><Relationship Id="rId957" Type="http://schemas.openxmlformats.org/officeDocument/2006/relationships/hyperlink" Target="https://advance.lexis.com/api/document?collection=cases-ca&amp;id=urn:contentItem:5GSP-CPF1-JB7K-2008-00000-00&amp;context=" TargetMode="External" /><Relationship Id="rId958" Type="http://schemas.openxmlformats.org/officeDocument/2006/relationships/hyperlink" Target="https://advance.lexis.com/api/document?collection=legislation-ca&amp;id=urn:contentItem:5F41-1FF1-F06F-21W0-00000-00&amp;context=" TargetMode="External" /><Relationship Id="rId959" Type="http://schemas.openxmlformats.org/officeDocument/2006/relationships/hyperlink" Target="https://advance.lexis.com/api/document?collection=cases-ca&amp;id=urn:contentItem:5F8T-N3V1-FC1F-M3WC-00000-00&amp;context=" TargetMode="External" /><Relationship Id="rId96" Type="http://schemas.openxmlformats.org/officeDocument/2006/relationships/hyperlink" Target="https://advance.lexis.com/api/document?collection=cases-ca&amp;id=urn:contentItem:5F7T-S751-FJDY-X3RJ-00000-00&amp;context=" TargetMode="External" /><Relationship Id="rId960" Type="http://schemas.openxmlformats.org/officeDocument/2006/relationships/hyperlink" Target="https://advance.lexis.com/api/document?collection=cases-ca&amp;id=urn:contentItem:5F8T-N3V1-FC1F-M45P-00000-00&amp;context=" TargetMode="External" /><Relationship Id="rId961" Type="http://schemas.openxmlformats.org/officeDocument/2006/relationships/hyperlink" Target="https://advance.lexis.com/api/document?collection=cases-ca&amp;id=urn:contentItem:5G83-DPX1-FGCG-S0XV-00000-00&amp;context=" TargetMode="External" /><Relationship Id="rId962" Type="http://schemas.openxmlformats.org/officeDocument/2006/relationships/hyperlink" Target="https://advance.lexis.com/api/document?collection=cases-ca&amp;id=urn:contentItem:5HSK-VDB1-JPP5-22FD-00000-00&amp;context=" TargetMode="External" /><Relationship Id="rId963" Type="http://schemas.openxmlformats.org/officeDocument/2006/relationships/hyperlink" Target="https://advance.lexis.com/api/document?collection=cases-ca&amp;id=urn:contentItem:5F8T-N3T1-JJSF-23GT-00000-00&amp;context=" TargetMode="External" /><Relationship Id="rId964" Type="http://schemas.openxmlformats.org/officeDocument/2006/relationships/hyperlink" Target="https://advance.lexis.com/api/document?collection=cases-ca&amp;id=urn:contentItem:5F8T-N3T1-JFKM-653T-00000-00&amp;context=" TargetMode="External" /><Relationship Id="rId965" Type="http://schemas.openxmlformats.org/officeDocument/2006/relationships/hyperlink" Target="https://advance.lexis.com/api/document?collection=cases-ca&amp;id=urn:contentItem:5F8T-N3V1-JF75-M3G9-00000-00&amp;context=" TargetMode="External" /><Relationship Id="rId966" Type="http://schemas.openxmlformats.org/officeDocument/2006/relationships/hyperlink" Target="https://advance.lexis.com/api/document?collection=cases-ca&amp;id=urn:contentItem:5F8T-N3V1-JF75-M3CK-00000-00&amp;context=" TargetMode="External" /><Relationship Id="rId967" Type="http://schemas.openxmlformats.org/officeDocument/2006/relationships/hyperlink" Target="https://advance.lexis.com/api/document?collection=cases-ca&amp;id=urn:contentItem:5F7T-S7J1-DXWW-24PM-00000-00&amp;context=" TargetMode="External" /><Relationship Id="rId968" Type="http://schemas.openxmlformats.org/officeDocument/2006/relationships/hyperlink" Target="https://advance.lexis.com/api/document?collection=cases-ca&amp;id=urn:contentItem:5GJG-DJW1-JP4G-62HJ-00000-00&amp;context=" TargetMode="External" /><Relationship Id="rId969" Type="http://schemas.openxmlformats.org/officeDocument/2006/relationships/hyperlink" Target="https://advance.lexis.com/api/document?collection=cases-ca&amp;id=urn:contentItem:5F16-9391-F5KY-B1SJ-00000-00&amp;context=" TargetMode="External" /><Relationship Id="rId97" Type="http://schemas.openxmlformats.org/officeDocument/2006/relationships/hyperlink" Target="https://advance.lexis.com/api/document?collection=cases-ca&amp;id=urn:contentItem:5F8T-N3T1-JGHR-M1Y2-00000-00&amp;context=" TargetMode="External" /><Relationship Id="rId970" Type="http://schemas.openxmlformats.org/officeDocument/2006/relationships/hyperlink" Target="https://advance.lexis.com/api/document?collection=cases-ca&amp;id=urn:contentItem:5F8T-N3V1-JTGH-B103-00000-00&amp;context=" TargetMode="External" /><Relationship Id="rId971" Type="http://schemas.openxmlformats.org/officeDocument/2006/relationships/hyperlink" Target="https://advance.lexis.com/api/document?collection=cases-ca&amp;id=urn:contentItem:5F8T-N3T1-JJSF-23H0-00000-00&amp;context=" TargetMode="External" /><Relationship Id="rId972" Type="http://schemas.openxmlformats.org/officeDocument/2006/relationships/hyperlink" Target="https://advance.lexis.com/api/document?collection=cases-ca&amp;id=urn:contentItem:5F81-VJX1-JJYN-B4X4-00000-00&amp;context=" TargetMode="External" /><Relationship Id="rId973" Type="http://schemas.openxmlformats.org/officeDocument/2006/relationships/hyperlink" Target="https://advance.lexis.com/api/document?collection=cases-ca&amp;id=urn:contentItem:5F7T-S7P1-JBDT-B108-00000-00&amp;context=" TargetMode="External" /><Relationship Id="rId974" Type="http://schemas.openxmlformats.org/officeDocument/2006/relationships/hyperlink" Target="https://advance.lexis.com/api/document?collection=cases-ca&amp;id=urn:contentItem:5F8T-N3V1-FH4C-X24V-00000-00&amp;context=" TargetMode="External" /><Relationship Id="rId975" Type="http://schemas.openxmlformats.org/officeDocument/2006/relationships/hyperlink" Target="https://advance.lexis.com/api/document?collection=cases-ca&amp;id=urn:contentItem:5F8T-N3V1-FC1F-M486-00000-00&amp;context=" TargetMode="External" /><Relationship Id="rId976" Type="http://schemas.openxmlformats.org/officeDocument/2006/relationships/hyperlink" Target="https://advance.lexis.com/api/document?collection=cases-ca&amp;id=urn:contentItem:5GCC-XVB1-FK0M-S4V5-00000-00&amp;context=" TargetMode="External" /><Relationship Id="rId977" Type="http://schemas.openxmlformats.org/officeDocument/2006/relationships/hyperlink" Target="https://advance.lexis.com/api/document?collection=cases-ca&amp;id=urn:contentItem:5GCC-XVC1-FK0M-S01N-00000-00&amp;context=" TargetMode="External" /><Relationship Id="rId978" Type="http://schemas.openxmlformats.org/officeDocument/2006/relationships/hyperlink" Target="https://advance.lexis.com/api/document?collection=cases-ca&amp;id=urn:contentItem:5GNP-DGD1-JJYN-B1W2-00000-00&amp;context=" TargetMode="External" /><Relationship Id="rId979" Type="http://schemas.openxmlformats.org/officeDocument/2006/relationships/hyperlink" Target="https://advance.lexis.com/api/document?collection=cases-ca&amp;id=urn:contentItem:5F7T-S7H1-FCSB-S37Y-00000-00&amp;context=" TargetMode="External" /><Relationship Id="rId98" Type="http://schemas.openxmlformats.org/officeDocument/2006/relationships/hyperlink" Target="https://advance.lexis.com/api/document?collection=cases-ca&amp;id=urn:contentItem:5F7T-S6Y1-F65M-6050-00000-00&amp;context=" TargetMode="External" /><Relationship Id="rId980" Type="http://schemas.openxmlformats.org/officeDocument/2006/relationships/hyperlink" Target="https://advance.lexis.com/api/document?collection=cases-ca&amp;id=urn:contentItem:5GCC-XVB1-JGHR-M4JK-00000-00&amp;context=" TargetMode="External" /><Relationship Id="rId981" Type="http://schemas.openxmlformats.org/officeDocument/2006/relationships/hyperlink" Target="https://advance.lexis.com/api/document?collection=cases-ca&amp;id=urn:contentItem:5F7T-S771-JJD0-G15J-00000-00&amp;context=" TargetMode="External" /><Relationship Id="rId982" Type="http://schemas.openxmlformats.org/officeDocument/2006/relationships/header" Target="header139.xml" /><Relationship Id="rId983" Type="http://schemas.openxmlformats.org/officeDocument/2006/relationships/header" Target="header140.xml" /><Relationship Id="rId984" Type="http://schemas.openxmlformats.org/officeDocument/2006/relationships/footer" Target="footer139.xml" /><Relationship Id="rId985" Type="http://schemas.openxmlformats.org/officeDocument/2006/relationships/footer" Target="footer140.xml" /><Relationship Id="rId986" Type="http://schemas.openxmlformats.org/officeDocument/2006/relationships/header" Target="header141.xml" /><Relationship Id="rId987" Type="http://schemas.openxmlformats.org/officeDocument/2006/relationships/footer" Target="footer141.xml" /><Relationship Id="rId988" Type="http://schemas.openxmlformats.org/officeDocument/2006/relationships/hyperlink" Target="https://advance.lexis.com/api/document?collection=cases-ca&amp;id=urn:contentItem:5F7T-S7H1-F016-S44K-00000-00&amp;context=" TargetMode="External" /><Relationship Id="rId989" Type="http://schemas.openxmlformats.org/officeDocument/2006/relationships/hyperlink" Target="https://advance.lexis.com/api/document?collection=cases-ca&amp;id=urn:contentItem:5F8T-N3V1-JTGH-B18F-00000-00&amp;context=" TargetMode="External" /><Relationship Id="rId99" Type="http://schemas.openxmlformats.org/officeDocument/2006/relationships/hyperlink" Target="https://advance.lexis.com/api/document?collection=cases-ca&amp;id=urn:contentItem:5F7T-S781-F06F-23Y5-00000-00&amp;context=" TargetMode="External" /><Relationship Id="rId990" Type="http://schemas.openxmlformats.org/officeDocument/2006/relationships/hyperlink" Target="https://advance.lexis.com/api/document?collection=cases-ca&amp;id=urn:contentItem:5F8T-N3T1-JFKM-655K-00000-00&amp;context=" TargetMode="External" /><Relationship Id="rId991" Type="http://schemas.openxmlformats.org/officeDocument/2006/relationships/hyperlink" Target="https://advance.lexis.com/api/document?collection=cases-ca&amp;id=urn:contentItem:5F7T-S7G1-JNY7-X3K8-00000-00&amp;context=" TargetMode="External" /><Relationship Id="rId992" Type="http://schemas.openxmlformats.org/officeDocument/2006/relationships/hyperlink" Target="https://advance.lexis.com/api/document?collection=cases-ca&amp;id=urn:contentItem:5F7T-S7C1-F7VM-S3T7-00000-00&amp;context=" TargetMode="External" /><Relationship Id="rId993" Type="http://schemas.openxmlformats.org/officeDocument/2006/relationships/hyperlink" Target="https://advance.lexis.com/api/document?collection=cases-ca&amp;id=urn:contentItem:5F7T-S7D1-JN6B-S131-00000-00&amp;context=" TargetMode="External" /><Relationship Id="rId994" Type="http://schemas.openxmlformats.org/officeDocument/2006/relationships/hyperlink" Target="https://advance.lexis.com/api/document?collection=cases-ca&amp;id=urn:contentItem:5F7T-S7B1-FH4C-X3NY-00000-00&amp;context=" TargetMode="External" /><Relationship Id="rId995" Type="http://schemas.openxmlformats.org/officeDocument/2006/relationships/hyperlink" Target="https://advance.lexis.com/api/document?collection=cases-ca&amp;id=urn:contentItem:5F7T-S7F1-JFKM-61GW-00000-00&amp;context=" TargetMode="External" /><Relationship Id="rId996" Type="http://schemas.openxmlformats.org/officeDocument/2006/relationships/hyperlink" Target="https://advance.lexis.com/api/document?collection=cases-ca&amp;id=urn:contentItem:5F7T-S781-F27X-6134-00000-00&amp;context=" TargetMode="External" /><Relationship Id="rId997" Type="http://schemas.openxmlformats.org/officeDocument/2006/relationships/hyperlink" Target="https://advance.lexis.com/api/document?collection=cases-ca&amp;id=urn:contentItem:5F7T-S7B1-FH4C-X3ST-00000-00&amp;context=" TargetMode="External" /><Relationship Id="rId998" Type="http://schemas.openxmlformats.org/officeDocument/2006/relationships/hyperlink" Target="https://advance.lexis.com/api/document?collection=cases-ca&amp;id=urn:contentItem:5F7T-S7D1-F7ND-G0G4-00000-00&amp;context=" TargetMode="External" /><Relationship Id="rId999" Type="http://schemas.openxmlformats.org/officeDocument/2006/relationships/hyperlink" Target="https://advance.lexis.com/api/document?collection=cases-ca&amp;id=urn:contentItem:5F7T-S771-JWBS-619C-00000-00&amp;context=" TargetMode="External" /></Relationships>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Paul v. Vancouver International Airport Authority, [2000] B.C.J. No. 537</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115046592</vt:lpwstr>
  </property>
  <property fmtid="{D5CDD505-2E9C-101B-9397-08002B2CF9AE}" pid="3" name="LADocCount">
    <vt:i4>50</vt:i4>
  </property>
  <property fmtid="{D5CDD505-2E9C-101B-9397-08002B2CF9AE}" pid="4" name="Language">
    <vt:lpwstr>en-CA</vt:lpwstr>
  </property>
  <property fmtid="{D5CDD505-2E9C-101B-9397-08002B2CF9AE}" pid="5" name="UserPermID">
    <vt:lpwstr>urn:user:PA187417739</vt:lpwstr>
  </property>
</Properties>
</file>